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088"/>
        <w:gridCol w:w="2943"/>
      </w:tblGrid>
      <w:tr w:rsidR="00CE496F" w:rsidRPr="00AA1DF1" w14:paraId="4484B0C5" w14:textId="77777777" w:rsidTr="00490624">
        <w:trPr>
          <w:cantSplit/>
          <w:trHeight w:hRule="exact" w:val="1418"/>
          <w:jc w:val="center"/>
        </w:trPr>
        <w:tc>
          <w:tcPr>
            <w:tcW w:w="10031" w:type="dxa"/>
            <w:gridSpan w:val="2"/>
            <w:tcMar>
              <w:left w:w="0" w:type="dxa"/>
              <w:right w:w="0" w:type="dxa"/>
            </w:tcMar>
            <w:vAlign w:val="center"/>
          </w:tcPr>
          <w:p w14:paraId="7A1CF8E0" w14:textId="7C0CAF36" w:rsidR="00CE496F" w:rsidRPr="00AA1DF1" w:rsidRDefault="00BD6B23" w:rsidP="00CE496F">
            <w:pPr>
              <w:spacing w:before="0" w:line="240" w:lineRule="atLeast"/>
              <w:rPr>
                <w:rFonts w:cstheme="minorHAnsi"/>
              </w:rPr>
            </w:pPr>
            <w:r>
              <w:rPr>
                <w:rFonts w:cstheme="minorHAnsi"/>
                <w:noProof/>
              </w:rPr>
              <w:drawing>
                <wp:inline distT="0" distB="0" distL="0" distR="0" wp14:anchorId="0DAAA2F5" wp14:editId="5C731DDD">
                  <wp:extent cx="6660000" cy="971793"/>
                  <wp:effectExtent l="0" t="0" r="7620" b="0"/>
                  <wp:docPr id="1890762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762840" name="Picture 1890762840"/>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60000" cy="971793"/>
                          </a:xfrm>
                          <a:prstGeom prst="rect">
                            <a:avLst/>
                          </a:prstGeom>
                        </pic:spPr>
                      </pic:pic>
                    </a:graphicData>
                  </a:graphic>
                </wp:inline>
              </w:drawing>
            </w:r>
          </w:p>
        </w:tc>
      </w:tr>
      <w:tr w:rsidR="002E1AF7" w:rsidRPr="00AA1DF1" w14:paraId="3120A8D9" w14:textId="77777777" w:rsidTr="00BD5C12">
        <w:trPr>
          <w:cantSplit/>
          <w:jc w:val="center"/>
        </w:trPr>
        <w:tc>
          <w:tcPr>
            <w:tcW w:w="10031" w:type="dxa"/>
            <w:gridSpan w:val="2"/>
            <w:tcBorders>
              <w:bottom w:val="single" w:sz="12" w:space="0" w:color="71716F"/>
            </w:tcBorders>
          </w:tcPr>
          <w:p w14:paraId="57068B73" w14:textId="77777777" w:rsidR="002E1AF7" w:rsidRPr="00AA1DF1" w:rsidRDefault="002E1AF7" w:rsidP="00CE496F">
            <w:pPr>
              <w:spacing w:before="0" w:line="240" w:lineRule="atLeast"/>
              <w:rPr>
                <w:rFonts w:cstheme="minorHAnsi"/>
                <w:b/>
                <w:smallCaps/>
                <w:szCs w:val="24"/>
              </w:rPr>
            </w:pPr>
            <w:bookmarkStart w:id="0" w:name="dhead"/>
          </w:p>
        </w:tc>
      </w:tr>
      <w:tr w:rsidR="00BD1614" w:rsidRPr="00AA1DF1" w14:paraId="20A2296F" w14:textId="77777777" w:rsidTr="00490624">
        <w:trPr>
          <w:cantSplit/>
          <w:jc w:val="center"/>
        </w:trPr>
        <w:tc>
          <w:tcPr>
            <w:tcW w:w="7088" w:type="dxa"/>
            <w:tcBorders>
              <w:top w:val="single" w:sz="12" w:space="0" w:color="71716F"/>
            </w:tcBorders>
          </w:tcPr>
          <w:p w14:paraId="4CFA6027" w14:textId="77777777" w:rsidR="00BD1614" w:rsidRPr="00AA1DF1" w:rsidRDefault="00BD1614" w:rsidP="007A47E9">
            <w:pPr>
              <w:spacing w:before="0"/>
              <w:rPr>
                <w:rFonts w:cstheme="minorHAnsi"/>
                <w:b/>
                <w:smallCaps/>
                <w:szCs w:val="24"/>
              </w:rPr>
            </w:pPr>
          </w:p>
        </w:tc>
        <w:tc>
          <w:tcPr>
            <w:tcW w:w="2943" w:type="dxa"/>
            <w:tcBorders>
              <w:top w:val="single" w:sz="12" w:space="0" w:color="71716F"/>
            </w:tcBorders>
            <w:tcMar>
              <w:left w:w="142" w:type="dxa"/>
              <w:right w:w="0" w:type="dxa"/>
            </w:tcMar>
          </w:tcPr>
          <w:p w14:paraId="3C479168" w14:textId="77777777" w:rsidR="00BD1614" w:rsidRPr="00AA1DF1" w:rsidRDefault="00BD1614" w:rsidP="007A47E9">
            <w:pPr>
              <w:spacing w:before="0"/>
              <w:rPr>
                <w:rFonts w:cstheme="minorHAnsi"/>
                <w:szCs w:val="24"/>
              </w:rPr>
            </w:pPr>
          </w:p>
        </w:tc>
      </w:tr>
      <w:tr w:rsidR="00BD1614" w:rsidRPr="00AA1DF1" w14:paraId="5EBA9561" w14:textId="77777777" w:rsidTr="00490624">
        <w:trPr>
          <w:cantSplit/>
          <w:jc w:val="center"/>
        </w:trPr>
        <w:tc>
          <w:tcPr>
            <w:tcW w:w="7088" w:type="dxa"/>
          </w:tcPr>
          <w:p w14:paraId="081C5B53" w14:textId="579B80EB" w:rsidR="00BD1614" w:rsidRPr="00AA1DF1" w:rsidRDefault="00BD1614" w:rsidP="00801154">
            <w:pPr>
              <w:pStyle w:val="Committee"/>
              <w:framePr w:hSpace="0" w:wrap="auto" w:hAnchor="text" w:yAlign="inline"/>
              <w:spacing w:after="0" w:line="240" w:lineRule="auto"/>
              <w:rPr>
                <w:lang w:val="fr-FR"/>
              </w:rPr>
            </w:pPr>
          </w:p>
        </w:tc>
        <w:tc>
          <w:tcPr>
            <w:tcW w:w="2943" w:type="dxa"/>
            <w:tcMar>
              <w:left w:w="142" w:type="dxa"/>
              <w:right w:w="0" w:type="dxa"/>
            </w:tcMar>
          </w:tcPr>
          <w:p w14:paraId="42E82404" w14:textId="267392B7" w:rsidR="00BD1614" w:rsidRPr="00AA1DF1" w:rsidRDefault="00BD1614" w:rsidP="007A47E9">
            <w:pPr>
              <w:spacing w:before="0"/>
              <w:rPr>
                <w:rFonts w:cstheme="minorHAnsi"/>
                <w:szCs w:val="24"/>
              </w:rPr>
            </w:pPr>
          </w:p>
        </w:tc>
      </w:tr>
      <w:tr w:rsidR="00BD1614" w:rsidRPr="00AA1DF1" w14:paraId="5C605E2F" w14:textId="77777777" w:rsidTr="00490624">
        <w:trPr>
          <w:cantSplit/>
          <w:jc w:val="center"/>
        </w:trPr>
        <w:tc>
          <w:tcPr>
            <w:tcW w:w="7088" w:type="dxa"/>
          </w:tcPr>
          <w:p w14:paraId="3701819B" w14:textId="4343949C" w:rsidR="00BD1614" w:rsidRPr="00AA1DF1" w:rsidRDefault="00BD1614" w:rsidP="007A47E9">
            <w:pPr>
              <w:spacing w:before="0"/>
              <w:rPr>
                <w:rFonts w:cstheme="minorHAnsi"/>
                <w:b/>
                <w:szCs w:val="24"/>
              </w:rPr>
            </w:pPr>
          </w:p>
        </w:tc>
        <w:tc>
          <w:tcPr>
            <w:tcW w:w="2943" w:type="dxa"/>
            <w:tcMar>
              <w:left w:w="142" w:type="dxa"/>
              <w:right w:w="0" w:type="dxa"/>
            </w:tcMar>
          </w:tcPr>
          <w:p w14:paraId="4FD5E934" w14:textId="09C00459" w:rsidR="00BD1614" w:rsidRPr="00AA1DF1" w:rsidRDefault="00376A48" w:rsidP="007A47E9">
            <w:pPr>
              <w:spacing w:before="0"/>
              <w:rPr>
                <w:rFonts w:cstheme="minorHAnsi"/>
                <w:b/>
                <w:szCs w:val="24"/>
              </w:rPr>
            </w:pPr>
            <w:r>
              <w:rPr>
                <w:b/>
              </w:rPr>
              <w:t>29 avril</w:t>
            </w:r>
            <w:r w:rsidR="00C550C5" w:rsidRPr="00AA1DF1">
              <w:rPr>
                <w:b/>
              </w:rPr>
              <w:t xml:space="preserve"> 2026</w:t>
            </w:r>
          </w:p>
        </w:tc>
      </w:tr>
      <w:tr w:rsidR="00BD1614" w:rsidRPr="00AA1DF1" w14:paraId="6B2B4BC1" w14:textId="77777777" w:rsidTr="00490624">
        <w:trPr>
          <w:cantSplit/>
          <w:jc w:val="center"/>
        </w:trPr>
        <w:tc>
          <w:tcPr>
            <w:tcW w:w="7088" w:type="dxa"/>
          </w:tcPr>
          <w:p w14:paraId="780A194C" w14:textId="77777777" w:rsidR="00BD1614" w:rsidRPr="00AA1DF1" w:rsidRDefault="00BD1614" w:rsidP="007A47E9">
            <w:pPr>
              <w:spacing w:before="0"/>
              <w:rPr>
                <w:rFonts w:cstheme="minorHAnsi"/>
                <w:b/>
                <w:smallCaps/>
                <w:szCs w:val="24"/>
              </w:rPr>
            </w:pPr>
          </w:p>
        </w:tc>
        <w:tc>
          <w:tcPr>
            <w:tcW w:w="2943" w:type="dxa"/>
            <w:tcMar>
              <w:left w:w="142" w:type="dxa"/>
              <w:right w:w="0" w:type="dxa"/>
            </w:tcMar>
          </w:tcPr>
          <w:p w14:paraId="36796BDA" w14:textId="7A166A47" w:rsidR="00BD1614" w:rsidRPr="00AA1DF1" w:rsidRDefault="00801154" w:rsidP="007A47E9">
            <w:pPr>
              <w:spacing w:before="0"/>
              <w:rPr>
                <w:rFonts w:cstheme="minorHAnsi"/>
                <w:b/>
                <w:szCs w:val="24"/>
              </w:rPr>
            </w:pPr>
            <w:r w:rsidRPr="00AA1DF1">
              <w:rPr>
                <w:rFonts w:cstheme="minorHAnsi"/>
                <w:b/>
                <w:szCs w:val="24"/>
              </w:rPr>
              <w:t xml:space="preserve">Original: </w:t>
            </w:r>
            <w:r w:rsidR="00C550C5" w:rsidRPr="00AA1DF1">
              <w:rPr>
                <w:b/>
                <w:bCs/>
                <w:color w:val="000000"/>
                <w:szCs w:val="24"/>
              </w:rPr>
              <w:t>anglais</w:t>
            </w:r>
          </w:p>
        </w:tc>
      </w:tr>
      <w:tr w:rsidR="00BD1614" w:rsidRPr="00AA1DF1" w14:paraId="4259B884" w14:textId="77777777" w:rsidTr="002E1AF7">
        <w:trPr>
          <w:cantSplit/>
          <w:jc w:val="center"/>
        </w:trPr>
        <w:tc>
          <w:tcPr>
            <w:tcW w:w="10031" w:type="dxa"/>
            <w:gridSpan w:val="2"/>
          </w:tcPr>
          <w:p w14:paraId="770628D7" w14:textId="77777777" w:rsidR="00BD1614" w:rsidRPr="00AA1DF1" w:rsidRDefault="00BD1614" w:rsidP="007A47E9">
            <w:pPr>
              <w:spacing w:before="0" w:line="240" w:lineRule="atLeast"/>
              <w:rPr>
                <w:rFonts w:cstheme="minorHAnsi"/>
                <w:b/>
                <w:szCs w:val="24"/>
              </w:rPr>
            </w:pPr>
          </w:p>
        </w:tc>
      </w:tr>
    </w:tbl>
    <w:p w14:paraId="27797598" w14:textId="575A5D28" w:rsidR="00495100" w:rsidRPr="00AA1DF1" w:rsidRDefault="009D51E6" w:rsidP="00495100">
      <w:pPr>
        <w:pStyle w:val="RecNo"/>
      </w:pPr>
      <w:bookmarkStart w:id="1" w:name="_Hlk182852311"/>
      <w:bookmarkEnd w:id="0"/>
      <w:r w:rsidRPr="00AA1DF1">
        <w:rPr>
          <w:caps w:val="0"/>
        </w:rPr>
        <w:t>PROJET D'AVIS 2</w:t>
      </w:r>
    </w:p>
    <w:p w14:paraId="79A115D7" w14:textId="77777777" w:rsidR="00495100" w:rsidRPr="00AA1DF1" w:rsidRDefault="00495100" w:rsidP="00495100">
      <w:pPr>
        <w:pStyle w:val="Rectitle"/>
      </w:pPr>
      <w:r w:rsidRPr="00AA1DF1">
        <w:t>Transformation numérique écologique: changements</w:t>
      </w:r>
      <w:r w:rsidRPr="00AA1DF1">
        <w:br/>
        <w:t>climatiques et durabilité environnementale</w:t>
      </w:r>
    </w:p>
    <w:p w14:paraId="33CFE034" w14:textId="77777777" w:rsidR="00495100" w:rsidRPr="00AA1DF1" w:rsidRDefault="00495100" w:rsidP="00BD6B23">
      <w:pPr>
        <w:pStyle w:val="Normalaftertitle"/>
        <w:jc w:val="both"/>
        <w:rPr>
          <w:rFonts w:eastAsiaTheme="minorEastAsia"/>
        </w:rPr>
      </w:pPr>
      <w:r w:rsidRPr="00AA1DF1">
        <w:t>Le septième Forum mondial des politiques de télécommunication et des technologies de l'information et de la communication (Nassau, 2026),</w:t>
      </w:r>
    </w:p>
    <w:p w14:paraId="48D8F18C" w14:textId="77777777" w:rsidR="00495100" w:rsidRPr="00AA1DF1" w:rsidRDefault="00495100" w:rsidP="00434918">
      <w:pPr>
        <w:pStyle w:val="Call"/>
        <w:rPr>
          <w:rFonts w:asciiTheme="minorHAnsi" w:eastAsiaTheme="minorEastAsia" w:hAnsiTheme="minorHAnsi" w:cstheme="minorHAnsi"/>
        </w:rPr>
      </w:pPr>
      <w:r w:rsidRPr="00AA1DF1">
        <w:t>rappelant</w:t>
      </w:r>
    </w:p>
    <w:p w14:paraId="45B76CB6" w14:textId="77777777" w:rsidR="00495100" w:rsidRPr="00AA1DF1" w:rsidRDefault="00495100" w:rsidP="00BD6B23">
      <w:pPr>
        <w:jc w:val="both"/>
        <w:rPr>
          <w:rFonts w:asciiTheme="minorHAnsi" w:eastAsiaTheme="minorEastAsia" w:hAnsiTheme="minorHAnsi" w:cstheme="minorHAnsi"/>
        </w:rPr>
      </w:pPr>
      <w:r w:rsidRPr="00AA1DF1">
        <w:rPr>
          <w:i/>
          <w:iCs/>
        </w:rPr>
        <w:t>a)</w:t>
      </w:r>
      <w:r w:rsidRPr="00AA1DF1">
        <w:tab/>
        <w:t>la Résolution 70/1 de l'Assemblée générale des Nations Unies, intitulée "Transformer notre monde: le Programme de développement durable à l'horizon 2030", en particulier l'Objectif de développement durable 12 qui vise à établir des modes de consommation et de production durables et l'Objectif de développement durable 13 qui vise à prendre d'urgence des mesures pour lutter contre les changements climatiques et leurs répercussions;</w:t>
      </w:r>
    </w:p>
    <w:p w14:paraId="28D26EB1" w14:textId="77777777" w:rsidR="00495100" w:rsidRPr="00AA1DF1" w:rsidRDefault="00495100" w:rsidP="00BD6B23">
      <w:pPr>
        <w:jc w:val="both"/>
        <w:rPr>
          <w:rFonts w:asciiTheme="minorHAnsi" w:eastAsiaTheme="minorEastAsia" w:hAnsiTheme="minorHAnsi" w:cstheme="minorHAnsi"/>
        </w:rPr>
      </w:pPr>
      <w:r w:rsidRPr="00AA1DF1">
        <w:rPr>
          <w:i/>
          <w:iCs/>
        </w:rPr>
        <w:t>b)</w:t>
      </w:r>
      <w:r w:rsidRPr="00AA1DF1">
        <w:tab/>
        <w:t>la Résolution 80/173 de l'Assemblée générale des Nations Unies, intitulée "Document final de la réunion de haut niveau de l'Assemblée générale sur l'examen d'ensemble de la mise en œuvre des textes issus du Sommet mondial sur la société de l'information" (SMSI+20);</w:t>
      </w:r>
    </w:p>
    <w:p w14:paraId="2BED3759" w14:textId="77777777" w:rsidR="00495100" w:rsidRPr="00AA1DF1" w:rsidRDefault="00495100" w:rsidP="00BD6B23">
      <w:pPr>
        <w:jc w:val="both"/>
        <w:rPr>
          <w:rFonts w:asciiTheme="minorHAnsi" w:eastAsiaTheme="minorEastAsia" w:hAnsiTheme="minorHAnsi" w:cstheme="minorHAnsi"/>
        </w:rPr>
      </w:pPr>
      <w:r w:rsidRPr="00AA1DF1">
        <w:rPr>
          <w:i/>
          <w:iCs/>
        </w:rPr>
        <w:t>c)</w:t>
      </w:r>
      <w:r w:rsidRPr="00AA1DF1">
        <w:tab/>
        <w:t>la Résolution 182 (Rév. Bucarest, 2022) de la Conférence de plénipotentiaires relative au rôle des télécommunications/technologies de l'information et de la communication (TIC) en ce qui concerne les changements climatiques et la protection de l'environnement;</w:t>
      </w:r>
    </w:p>
    <w:p w14:paraId="467109E7" w14:textId="77777777" w:rsidR="00495100" w:rsidRPr="00AA1DF1" w:rsidRDefault="00495100" w:rsidP="00BD6B23">
      <w:pPr>
        <w:jc w:val="both"/>
        <w:rPr>
          <w:rFonts w:asciiTheme="minorHAnsi" w:eastAsiaTheme="minorEastAsia" w:hAnsiTheme="minorHAnsi" w:cstheme="minorHAnsi"/>
        </w:rPr>
      </w:pPr>
      <w:r w:rsidRPr="00AA1DF1">
        <w:rPr>
          <w:i/>
          <w:iCs/>
        </w:rPr>
        <w:t>d)</w:t>
      </w:r>
      <w:r w:rsidRPr="00AA1DF1">
        <w:tab/>
        <w:t>la Résolution 1429, adoptée par le Conseil de l'UIT à sa session de 2024, sur le rôle de l'UIT dans l'exploitation des technologies de l'information et de la communication au service de la durabilité environnementale et de l'action climatique;</w:t>
      </w:r>
    </w:p>
    <w:p w14:paraId="7995C213" w14:textId="77777777" w:rsidR="00495100" w:rsidRPr="00AA1DF1" w:rsidRDefault="00495100" w:rsidP="00BD6B23">
      <w:pPr>
        <w:jc w:val="both"/>
        <w:rPr>
          <w:rFonts w:asciiTheme="minorHAnsi" w:eastAsiaTheme="minorEastAsia" w:hAnsiTheme="minorHAnsi" w:cstheme="minorHAnsi"/>
        </w:rPr>
      </w:pPr>
      <w:r w:rsidRPr="00AA1DF1">
        <w:rPr>
          <w:i/>
          <w:iCs/>
        </w:rPr>
        <w:t>e)</w:t>
      </w:r>
      <w:r w:rsidRPr="00AA1DF1">
        <w:tab/>
        <w:t>la Résolution 73 (Rév. New Delhi, 2024) de l'Assemblée mondiale de normalisation des télécommunications (AMNT), sur les TIC, l'environnement, les changements climatiques et l'économie circulaire;</w:t>
      </w:r>
    </w:p>
    <w:p w14:paraId="014346F8" w14:textId="77777777" w:rsidR="00495100" w:rsidRPr="00AA1DF1" w:rsidRDefault="00495100" w:rsidP="00BD6B23">
      <w:pPr>
        <w:jc w:val="both"/>
        <w:rPr>
          <w:rFonts w:asciiTheme="minorHAnsi" w:eastAsiaTheme="minorEastAsia" w:hAnsiTheme="minorHAnsi" w:cstheme="minorHAnsi"/>
        </w:rPr>
      </w:pPr>
      <w:r w:rsidRPr="00AA1DF1">
        <w:rPr>
          <w:i/>
          <w:iCs/>
        </w:rPr>
        <w:t>f)</w:t>
      </w:r>
      <w:r w:rsidRPr="00AA1DF1">
        <w:tab/>
        <w:t>la Résolution 79 (Rév. New Delhi, 2024) de l'AMNT, relative au rôle des télécommunications/TIC dans la gestion et le contrôle des déchets d'équipements électriques et électroniques provenant d'équipements de télécommunication et des technologies de l'information et les méthodes de traitement associées;</w:t>
      </w:r>
    </w:p>
    <w:p w14:paraId="0D065982" w14:textId="77777777" w:rsidR="00495100" w:rsidRPr="00AA1DF1" w:rsidRDefault="00495100" w:rsidP="00BD6B23">
      <w:pPr>
        <w:jc w:val="both"/>
        <w:rPr>
          <w:rFonts w:asciiTheme="minorHAnsi" w:eastAsiaTheme="minorEastAsia" w:hAnsiTheme="minorHAnsi" w:cstheme="minorHAnsi"/>
        </w:rPr>
      </w:pPr>
      <w:r w:rsidRPr="00AA1DF1">
        <w:rPr>
          <w:i/>
          <w:iCs/>
        </w:rPr>
        <w:t>g)</w:t>
      </w:r>
      <w:r w:rsidRPr="00AA1DF1">
        <w:tab/>
        <w:t>la Résolution 66 (Rév. Bakou, 2025) de la Conférence mondiale de développement des télécommunications sur les TIC, l'environnement, les changements climatiques et l'économie circulaire,</w:t>
      </w:r>
    </w:p>
    <w:p w14:paraId="47A499A8" w14:textId="77777777" w:rsidR="00495100" w:rsidRPr="00AA1DF1" w:rsidRDefault="00495100" w:rsidP="00434918">
      <w:pPr>
        <w:pStyle w:val="Call"/>
      </w:pPr>
      <w:r w:rsidRPr="00AA1DF1">
        <w:lastRenderedPageBreak/>
        <w:t>soulignant</w:t>
      </w:r>
    </w:p>
    <w:p w14:paraId="10A7A7AD" w14:textId="77777777" w:rsidR="00495100" w:rsidRPr="00AA1DF1" w:rsidRDefault="00495100" w:rsidP="00BD6B23">
      <w:pPr>
        <w:jc w:val="both"/>
        <w:rPr>
          <w:rFonts w:asciiTheme="minorHAnsi" w:eastAsiaTheme="minorEastAsia" w:hAnsiTheme="minorHAnsi" w:cstheme="minorHAnsi"/>
          <w:szCs w:val="24"/>
        </w:rPr>
      </w:pPr>
      <w:r w:rsidRPr="00AA1DF1">
        <w:rPr>
          <w:i/>
          <w:iCs/>
          <w:szCs w:val="24"/>
        </w:rPr>
        <w:t>a)</w:t>
      </w:r>
      <w:r w:rsidRPr="00AA1DF1">
        <w:rPr>
          <w:szCs w:val="24"/>
        </w:rPr>
        <w:tab/>
        <w:t>que les changements climatiques, l'appauvrissement de la biodiversité et la pollution représentent des problèmes importants de notre époque et qu'il faut progresser sur la voie du développement durable si l'on veut y remédier;</w:t>
      </w:r>
    </w:p>
    <w:p w14:paraId="0AD8475B" w14:textId="77777777" w:rsidR="00495100" w:rsidRPr="00AA1DF1" w:rsidRDefault="00495100" w:rsidP="00BD6B23">
      <w:pPr>
        <w:tabs>
          <w:tab w:val="clear" w:pos="1134"/>
          <w:tab w:val="clear" w:pos="1701"/>
          <w:tab w:val="clear" w:pos="2268"/>
          <w:tab w:val="clear" w:pos="2835"/>
        </w:tabs>
        <w:jc w:val="both"/>
        <w:rPr>
          <w:rFonts w:asciiTheme="minorHAnsi" w:eastAsiaTheme="minorEastAsia" w:hAnsiTheme="minorHAnsi" w:cstheme="minorHAnsi"/>
          <w:szCs w:val="24"/>
        </w:rPr>
      </w:pPr>
      <w:r w:rsidRPr="00AA1DF1">
        <w:rPr>
          <w:i/>
          <w:iCs/>
          <w:szCs w:val="24"/>
        </w:rPr>
        <w:t>b)</w:t>
      </w:r>
      <w:r w:rsidRPr="00AA1DF1">
        <w:rPr>
          <w:szCs w:val="24"/>
        </w:rPr>
        <w:tab/>
        <w:t>que pour limiter le réchauffement de la planète, il faut réduire rapidement, nettement et durablement les émissions mondiales de gaz à effet de serre, conformément aux principes et aux engagements énoncés dans la Convention-cadre des Nations Unies sur les changements climatiques et l'Accord de Paris, eu égard aux différentes situations nationales,</w:t>
      </w:r>
    </w:p>
    <w:p w14:paraId="263627AE" w14:textId="77777777" w:rsidR="00495100" w:rsidRPr="00AA1DF1" w:rsidRDefault="00495100" w:rsidP="00434918">
      <w:pPr>
        <w:pStyle w:val="Call"/>
      </w:pPr>
      <w:r w:rsidRPr="00AA1DF1">
        <w:t>tenant compte du fait</w:t>
      </w:r>
    </w:p>
    <w:p w14:paraId="069D0BD7" w14:textId="77777777" w:rsidR="00495100" w:rsidRPr="00AA1DF1" w:rsidRDefault="00495100" w:rsidP="00BD6B23">
      <w:pPr>
        <w:jc w:val="both"/>
        <w:rPr>
          <w:rFonts w:asciiTheme="minorHAnsi" w:eastAsiaTheme="minorEastAsia" w:hAnsiTheme="minorHAnsi" w:cstheme="minorHAnsi"/>
          <w:szCs w:val="24"/>
        </w:rPr>
      </w:pPr>
      <w:r w:rsidRPr="00AA1DF1">
        <w:rPr>
          <w:i/>
          <w:iCs/>
          <w:szCs w:val="24"/>
        </w:rPr>
        <w:t>a)</w:t>
      </w:r>
      <w:r w:rsidRPr="00AA1DF1">
        <w:rPr>
          <w:szCs w:val="24"/>
        </w:rPr>
        <w:tab/>
        <w:t>que les télécommunications/TIC contribuent aux changements climatiques tout au long de leur cycle de vie;</w:t>
      </w:r>
    </w:p>
    <w:p w14:paraId="51DBF179" w14:textId="77777777" w:rsidR="00495100" w:rsidRPr="00AA1DF1" w:rsidRDefault="00495100" w:rsidP="00BD6B23">
      <w:pPr>
        <w:jc w:val="both"/>
        <w:rPr>
          <w:rFonts w:asciiTheme="minorHAnsi" w:eastAsiaTheme="minorEastAsia" w:hAnsiTheme="minorHAnsi" w:cstheme="minorHAnsi"/>
          <w:szCs w:val="24"/>
        </w:rPr>
      </w:pPr>
      <w:r w:rsidRPr="00AA1DF1">
        <w:rPr>
          <w:i/>
          <w:iCs/>
          <w:szCs w:val="24"/>
        </w:rPr>
        <w:t>b)</w:t>
      </w:r>
      <w:r w:rsidRPr="00AA1DF1">
        <w:rPr>
          <w:szCs w:val="24"/>
        </w:rPr>
        <w:tab/>
        <w:t>qu'une transformation numérique écologique permet de lutter contre les changements climatiques grâce au développement, au déploiement et à l'élimination des télécommunications/TIC de manière écologiquement durable;</w:t>
      </w:r>
    </w:p>
    <w:p w14:paraId="7DCB9BE6" w14:textId="77777777" w:rsidR="00495100" w:rsidRPr="00AA1DF1" w:rsidRDefault="00495100" w:rsidP="00BD6B23">
      <w:pPr>
        <w:jc w:val="both"/>
        <w:rPr>
          <w:rFonts w:asciiTheme="minorHAnsi" w:eastAsiaTheme="minorEastAsia" w:hAnsiTheme="minorHAnsi" w:cstheme="minorHAnsi"/>
          <w:szCs w:val="24"/>
        </w:rPr>
      </w:pPr>
      <w:r w:rsidRPr="00AA1DF1">
        <w:rPr>
          <w:i/>
          <w:iCs/>
          <w:szCs w:val="24"/>
        </w:rPr>
        <w:t>c)</w:t>
      </w:r>
      <w:r w:rsidRPr="00AA1DF1">
        <w:rPr>
          <w:szCs w:val="24"/>
        </w:rPr>
        <w:tab/>
        <w:t>qu'une transformation numérique écologique réduit l'empreinte environnementale des télécommunications/TIC en favorisant la circularité tout au long de leur cycle de vie, en prolongeant la durée de vie des équipements, en luttant contre l'obsolescence des logiciels, en encourageant la réparation et le reconditionnement des dispositifs et en améliorant la récupération et la réutilisation des ressources matérielles issues des déchets connexes;</w:t>
      </w:r>
    </w:p>
    <w:p w14:paraId="0728CACF" w14:textId="77777777" w:rsidR="00495100" w:rsidRPr="00AA1DF1" w:rsidRDefault="00495100" w:rsidP="00BD6B23">
      <w:pPr>
        <w:jc w:val="both"/>
        <w:rPr>
          <w:rFonts w:asciiTheme="minorHAnsi" w:eastAsiaTheme="minorEastAsia" w:hAnsiTheme="minorHAnsi" w:cstheme="minorHAnsi"/>
          <w:szCs w:val="24"/>
        </w:rPr>
      </w:pPr>
      <w:r w:rsidRPr="00AA1DF1">
        <w:rPr>
          <w:i/>
          <w:iCs/>
          <w:szCs w:val="24"/>
        </w:rPr>
        <w:t>d)</w:t>
      </w:r>
      <w:r w:rsidRPr="00AA1DF1">
        <w:rPr>
          <w:szCs w:val="24"/>
        </w:rPr>
        <w:tab/>
        <w:t>que de nouvelles initiatives stratégiques, telles qu'une transformation numérique écologique, sont essentielles pour atteindre les objectifs convenus en matière de changements climatiques tels qu'ils sont définis dans l'Accord de Paris signé lors de la 21ème Conférence des Nations Unies sur les changements climatiques (COP21), le Programme des Nations Unies pour l'environnement indiquant qu'il est impossible de limiter le réchauffement climatique à 1,5 °C dans le cadre des contributions déterminées au niveau national (CDN) actuelles,</w:t>
      </w:r>
    </w:p>
    <w:p w14:paraId="42F90B3D" w14:textId="77777777" w:rsidR="00495100" w:rsidRPr="00AA1DF1" w:rsidRDefault="00495100" w:rsidP="00434918">
      <w:pPr>
        <w:pStyle w:val="Call"/>
      </w:pPr>
      <w:r w:rsidRPr="00AA1DF1">
        <w:t>considérant</w:t>
      </w:r>
    </w:p>
    <w:p w14:paraId="67310B29" w14:textId="77777777" w:rsidR="00495100" w:rsidRPr="00AA1DF1" w:rsidRDefault="00495100" w:rsidP="00BD6B23">
      <w:pPr>
        <w:tabs>
          <w:tab w:val="clear" w:pos="1134"/>
          <w:tab w:val="clear" w:pos="1701"/>
          <w:tab w:val="clear" w:pos="2268"/>
          <w:tab w:val="clear" w:pos="2835"/>
        </w:tabs>
        <w:jc w:val="both"/>
        <w:rPr>
          <w:rFonts w:asciiTheme="minorHAnsi" w:eastAsiaTheme="minorEastAsia" w:hAnsiTheme="minorHAnsi" w:cstheme="minorHAnsi"/>
          <w:szCs w:val="24"/>
        </w:rPr>
      </w:pPr>
      <w:r w:rsidRPr="00AA1DF1">
        <w:rPr>
          <w:i/>
          <w:iCs/>
          <w:szCs w:val="24"/>
        </w:rPr>
        <w:t>a)</w:t>
      </w:r>
      <w:r w:rsidRPr="00AA1DF1">
        <w:rPr>
          <w:szCs w:val="24"/>
        </w:rPr>
        <w:tab/>
        <w:t xml:space="preserve">le rapport de l'UIT intitulé "Greening Digital Companies" </w:t>
      </w:r>
      <w:r w:rsidRPr="00AA1DF1">
        <w:rPr>
          <w:i/>
          <w:iCs/>
          <w:szCs w:val="24"/>
        </w:rPr>
        <w:t>(Pour des entreprises numériques plus écologiques)</w:t>
      </w:r>
      <w:r w:rsidRPr="00AA1DF1">
        <w:rPr>
          <w:szCs w:val="24"/>
        </w:rPr>
        <w:t>, élaboré en collaboration avec la World Benchmarking Alliance, qui a révélé que la course au développement de l'intelligence artificielle et à l'expansion des centres de données entraîne une croissance sans précédent du secteur numérique et alimente une forte hausse des émissions de gaz à effet de serre et de la consommation d'énergie;</w:t>
      </w:r>
    </w:p>
    <w:p w14:paraId="5F86023A" w14:textId="77777777" w:rsidR="00495100" w:rsidRPr="00AA1DF1" w:rsidRDefault="00495100" w:rsidP="00BD6B23">
      <w:pPr>
        <w:jc w:val="both"/>
        <w:rPr>
          <w:rFonts w:asciiTheme="minorHAnsi" w:eastAsiaTheme="minorEastAsia" w:hAnsiTheme="minorHAnsi" w:cstheme="minorHAnsi"/>
          <w:spacing w:val="-2"/>
          <w:szCs w:val="24"/>
        </w:rPr>
      </w:pPr>
      <w:r w:rsidRPr="00AA1DF1">
        <w:rPr>
          <w:i/>
          <w:iCs/>
          <w:szCs w:val="24"/>
        </w:rPr>
        <w:t>b)</w:t>
      </w:r>
      <w:r w:rsidRPr="00AA1DF1">
        <w:rPr>
          <w:szCs w:val="24"/>
        </w:rPr>
        <w:tab/>
        <w:t>qu'il importe de tirer parti des technologies du numérique pour atteindre les grands objectifs de la Convention-cadre des Nations Unies sur les changements climatiques, dans le contexte du développement durable, et de l'Accord de Paris signé à la COP21;</w:t>
      </w:r>
    </w:p>
    <w:p w14:paraId="33105F36" w14:textId="77777777" w:rsidR="00495100" w:rsidRPr="00AA1DF1" w:rsidRDefault="00495100" w:rsidP="00BD6B23">
      <w:pPr>
        <w:jc w:val="both"/>
        <w:rPr>
          <w:rFonts w:asciiTheme="minorHAnsi" w:eastAsiaTheme="minorEastAsia" w:hAnsiTheme="minorHAnsi" w:cstheme="minorHAnsi"/>
          <w:szCs w:val="24"/>
        </w:rPr>
      </w:pPr>
      <w:r w:rsidRPr="00AA1DF1">
        <w:rPr>
          <w:i/>
          <w:iCs/>
          <w:szCs w:val="24"/>
        </w:rPr>
        <w:t>c)</w:t>
      </w:r>
      <w:r w:rsidRPr="00AA1DF1">
        <w:rPr>
          <w:szCs w:val="24"/>
        </w:rPr>
        <w:tab/>
        <w:t>que les cadres de passation de marchés publics et les mécanismes de marché peuvent encourager le déploiement de télécommunications/TIC écologiquement durables,</w:t>
      </w:r>
    </w:p>
    <w:p w14:paraId="162162ED" w14:textId="77777777" w:rsidR="00495100" w:rsidRPr="00AA1DF1" w:rsidRDefault="00495100" w:rsidP="00434918">
      <w:pPr>
        <w:pStyle w:val="Call"/>
      </w:pPr>
      <w:r w:rsidRPr="00AA1DF1">
        <w:t>reconnaissant</w:t>
      </w:r>
    </w:p>
    <w:p w14:paraId="19DCDC71" w14:textId="77777777" w:rsidR="00495100" w:rsidRPr="00AA1DF1" w:rsidRDefault="00495100" w:rsidP="00BD6B23">
      <w:pPr>
        <w:jc w:val="both"/>
        <w:rPr>
          <w:rFonts w:asciiTheme="minorHAnsi" w:eastAsiaTheme="minorEastAsia" w:hAnsiTheme="minorHAnsi" w:cstheme="minorHAnsi"/>
          <w:szCs w:val="24"/>
        </w:rPr>
      </w:pPr>
      <w:r w:rsidRPr="00AA1DF1">
        <w:rPr>
          <w:i/>
          <w:iCs/>
          <w:szCs w:val="24"/>
        </w:rPr>
        <w:t>a)</w:t>
      </w:r>
      <w:r w:rsidRPr="00AA1DF1">
        <w:rPr>
          <w:szCs w:val="24"/>
        </w:rPr>
        <w:tab/>
        <w:t>que les avantages et les inconvénients des télécommunications/TIC pour l'environnement ne sont pas répartis de manière égale et que de nombreux pays en développement pâtissent des risques environnementaux dus aux déchets d'équipements électriques et électroniques;</w:t>
      </w:r>
    </w:p>
    <w:p w14:paraId="49019352" w14:textId="77777777" w:rsidR="00495100" w:rsidRPr="00AA1DF1" w:rsidRDefault="00495100" w:rsidP="00BD6B23">
      <w:pPr>
        <w:jc w:val="both"/>
        <w:rPr>
          <w:rFonts w:asciiTheme="minorHAnsi" w:eastAsiaTheme="minorEastAsia" w:hAnsiTheme="minorHAnsi" w:cstheme="minorHAnsi"/>
          <w:szCs w:val="24"/>
        </w:rPr>
      </w:pPr>
      <w:r w:rsidRPr="00AA1DF1">
        <w:rPr>
          <w:i/>
          <w:iCs/>
          <w:szCs w:val="24"/>
        </w:rPr>
        <w:lastRenderedPageBreak/>
        <w:t>b)</w:t>
      </w:r>
      <w:r w:rsidRPr="00AA1DF1">
        <w:rPr>
          <w:szCs w:val="24"/>
        </w:rPr>
        <w:tab/>
        <w:t>que, selon le rapport 2024 des Nations Unies sur l'économie numérique, en termes de production par habitant, les pays développés ont généré en moyenne 3,25 kg de déchets liés au numérique, contre moins de 1 kg dans les pays en développement et 0,21 kg dans les pays les moins avancés;</w:t>
      </w:r>
    </w:p>
    <w:p w14:paraId="5C7D9A70" w14:textId="77777777" w:rsidR="00495100" w:rsidRPr="00AA1DF1" w:rsidRDefault="00495100" w:rsidP="00BD6B23">
      <w:pPr>
        <w:jc w:val="both"/>
        <w:rPr>
          <w:rFonts w:asciiTheme="minorHAnsi" w:eastAsiaTheme="minorEastAsia" w:hAnsiTheme="minorHAnsi" w:cstheme="minorHAnsi"/>
          <w:spacing w:val="-2"/>
          <w:szCs w:val="24"/>
        </w:rPr>
      </w:pPr>
      <w:r w:rsidRPr="00AA1DF1">
        <w:rPr>
          <w:i/>
          <w:iCs/>
          <w:szCs w:val="24"/>
        </w:rPr>
        <w:t>c)</w:t>
      </w:r>
      <w:r w:rsidRPr="00AA1DF1">
        <w:rPr>
          <w:szCs w:val="24"/>
        </w:rPr>
        <w:tab/>
        <w:t>que les pratiques du secteur devraient favoriser les possibilités et les mesures incitatives permettant aux consommateurs de réutiliser, de réparer et de recycler les produits TIC, dans le but de réduire les déchets électroniques, en particulier dans les pays en développement;</w:t>
      </w:r>
    </w:p>
    <w:p w14:paraId="599A98DF" w14:textId="6C660893" w:rsidR="00495100" w:rsidRPr="00AA1DF1" w:rsidRDefault="00495100" w:rsidP="00BD6B23">
      <w:pPr>
        <w:jc w:val="both"/>
        <w:rPr>
          <w:szCs w:val="24"/>
        </w:rPr>
      </w:pPr>
      <w:r w:rsidRPr="00AA1DF1">
        <w:rPr>
          <w:i/>
          <w:iCs/>
          <w:szCs w:val="24"/>
        </w:rPr>
        <w:t>d)</w:t>
      </w:r>
      <w:r w:rsidRPr="00AA1DF1">
        <w:rPr>
          <w:szCs w:val="24"/>
        </w:rPr>
        <w:tab/>
        <w:t>que les infrastructures de télécommunication/TIC, y compris les centres de données, peuvent entraîner une forte consommation d'énergie et des émissions de carbone élevées si elles ne sont pas gérées de manière durable;</w:t>
      </w:r>
    </w:p>
    <w:p w14:paraId="267D7F3D" w14:textId="77777777" w:rsidR="00B119C6" w:rsidRPr="00AA1DF1" w:rsidRDefault="00B119C6" w:rsidP="00BD6B23">
      <w:pPr>
        <w:jc w:val="both"/>
        <w:rPr>
          <w:rFonts w:asciiTheme="minorHAnsi" w:eastAsiaTheme="minorEastAsia" w:hAnsiTheme="minorHAnsi" w:cstheme="minorHAnsi"/>
        </w:rPr>
      </w:pPr>
      <w:r w:rsidRPr="00AA1DF1">
        <w:rPr>
          <w:i/>
          <w:iCs/>
        </w:rPr>
        <w:t>e)</w:t>
      </w:r>
      <w:r w:rsidRPr="00AA1DF1">
        <w:tab/>
        <w:t>que le développement rapide des télécommunications/TIC peut entraîner une augmentation des déchets d'équipements électriques et électroniques, ce qui présente des risques pour l'environnement;</w:t>
      </w:r>
    </w:p>
    <w:p w14:paraId="37871888" w14:textId="77777777" w:rsidR="00B119C6" w:rsidRPr="00AA1DF1" w:rsidRDefault="00B119C6" w:rsidP="00BD6B23">
      <w:pPr>
        <w:jc w:val="both"/>
      </w:pPr>
      <w:r w:rsidRPr="00AA1DF1">
        <w:rPr>
          <w:i/>
          <w:iCs/>
        </w:rPr>
        <w:t>f)</w:t>
      </w:r>
      <w:r w:rsidRPr="00AA1DF1">
        <w:tab/>
        <w:t>que les petits États insulaires en développement et d'autres pays peu peuplés peuvent rencontrer des difficultés à mettre en œuvre des programmes de transformation numérique écologique sans partenariats leur permettant d'étendre leurs activités;</w:t>
      </w:r>
    </w:p>
    <w:p w14:paraId="54C4FD49" w14:textId="77777777" w:rsidR="00B119C6" w:rsidRPr="00AA1DF1" w:rsidRDefault="00B119C6" w:rsidP="00BD6B23">
      <w:pPr>
        <w:jc w:val="both"/>
      </w:pPr>
      <w:r w:rsidRPr="00AA1DF1">
        <w:rPr>
          <w:i/>
          <w:iCs/>
        </w:rPr>
        <w:t>g)</w:t>
      </w:r>
      <w:r w:rsidRPr="00AA1DF1">
        <w:tab/>
        <w:t>que les pays en développement pourraient rencontrer des difficultés à atteindre les objectifs de l'Accord de Paris et faciliter la transformation numérique écologique sans soutien financier et technique;</w:t>
      </w:r>
    </w:p>
    <w:p w14:paraId="2435B83B" w14:textId="77777777" w:rsidR="00B119C6" w:rsidRPr="00AA1DF1" w:rsidRDefault="00B119C6" w:rsidP="00BD6B23">
      <w:pPr>
        <w:jc w:val="both"/>
      </w:pPr>
      <w:r w:rsidRPr="00AA1DF1">
        <w:rPr>
          <w:i/>
          <w:iCs/>
        </w:rPr>
        <w:t>h)</w:t>
      </w:r>
      <w:r w:rsidRPr="00AA1DF1">
        <w:tab/>
        <w:t>qu'une transformation numérique écologique doit tenir compte du fait que de nombreux pays en développement doivent encore poursuivre leur transition numérique afin de participer pleinement à l'économie et à la société mondiales;</w:t>
      </w:r>
    </w:p>
    <w:p w14:paraId="3BE979B0" w14:textId="77777777" w:rsidR="00B119C6" w:rsidRPr="00AA1DF1" w:rsidRDefault="00B119C6" w:rsidP="00BD6B23">
      <w:pPr>
        <w:jc w:val="both"/>
      </w:pPr>
      <w:r w:rsidRPr="00AA1DF1">
        <w:rPr>
          <w:i/>
          <w:iCs/>
        </w:rPr>
        <w:t>i)</w:t>
      </w:r>
      <w:r w:rsidRPr="00AA1DF1">
        <w:tab/>
        <w:t>les contributions apportées par les commissions d'études compétentes de l'UIT dans les trois Secteurs, par exemple la Commission d'études 5 de l'UIT-T, la Commission d'études 7 de l'UIT</w:t>
      </w:r>
      <w:r w:rsidRPr="00AA1DF1">
        <w:noBreakHyphen/>
        <w:t>R et la Commission d'études 2 de l'UIT-D,</w:t>
      </w:r>
    </w:p>
    <w:p w14:paraId="06EE2F01" w14:textId="77777777" w:rsidR="00B119C6" w:rsidRPr="00AA1DF1" w:rsidRDefault="00B119C6" w:rsidP="00434918">
      <w:pPr>
        <w:pStyle w:val="Call"/>
        <w:rPr>
          <w:rFonts w:eastAsiaTheme="minorEastAsia"/>
        </w:rPr>
      </w:pPr>
      <w:r w:rsidRPr="00AA1DF1">
        <w:t>est d'avis</w:t>
      </w:r>
    </w:p>
    <w:p w14:paraId="7A8DF993" w14:textId="77777777" w:rsidR="00B119C6" w:rsidRPr="00AA1DF1" w:rsidRDefault="00B119C6" w:rsidP="00BD6B23">
      <w:pPr>
        <w:spacing w:before="110"/>
        <w:jc w:val="both"/>
      </w:pPr>
      <w:r w:rsidRPr="00AA1DF1">
        <w:rPr>
          <w:szCs w:val="24"/>
        </w:rPr>
        <w:t>1</w:t>
      </w:r>
      <w:r w:rsidRPr="00AA1DF1">
        <w:rPr>
          <w:szCs w:val="24"/>
        </w:rPr>
        <w:tab/>
      </w:r>
      <w:r w:rsidRPr="00AA1DF1">
        <w:t>que des réductions rapides, profondes et durables des émissions mondiales de gaz à effet de serre sont nécessaires pour opérer une transformation numérique écologique et durable;</w:t>
      </w:r>
    </w:p>
    <w:p w14:paraId="33AC6FCB" w14:textId="77777777" w:rsidR="00B119C6" w:rsidRPr="00AA1DF1" w:rsidRDefault="00B119C6" w:rsidP="00BD6B23">
      <w:pPr>
        <w:spacing w:before="110"/>
        <w:jc w:val="both"/>
      </w:pPr>
      <w:r w:rsidRPr="00AA1DF1">
        <w:t>2</w:t>
      </w:r>
      <w:r w:rsidRPr="00AA1DF1">
        <w:tab/>
        <w:t>que les pouvoirs publics nationaux, régionaux et locaux, le secteur privé, la société civile, les milieux techniques et les établissements universitaires devraient s'associer et œuvrer en faveur d'une transformation numérique écologique;</w:t>
      </w:r>
    </w:p>
    <w:p w14:paraId="79498E18" w14:textId="77777777" w:rsidR="00B119C6" w:rsidRPr="00AA1DF1" w:rsidRDefault="00B119C6" w:rsidP="00BD6B23">
      <w:pPr>
        <w:widowControl w:val="0"/>
        <w:spacing w:before="110"/>
        <w:jc w:val="both"/>
        <w:rPr>
          <w:rFonts w:asciiTheme="minorHAnsi" w:eastAsiaTheme="minorEastAsia" w:hAnsiTheme="minorHAnsi" w:cstheme="minorHAnsi"/>
          <w:szCs w:val="24"/>
        </w:rPr>
      </w:pPr>
      <w:r w:rsidRPr="00AA1DF1">
        <w:t>3</w:t>
      </w:r>
      <w:r w:rsidRPr="00AA1DF1">
        <w:tab/>
        <w:t>que, même si les télécommunications/TIC contribuent largement aux émissions mondiales de</w:t>
      </w:r>
      <w:r w:rsidRPr="00AA1DF1">
        <w:rPr>
          <w:szCs w:val="24"/>
        </w:rPr>
        <w:t xml:space="preserve"> gaz à effet de serre, leur pouvoir de transformation peut être mis à profit pour lutter contre les changements climatiques;</w:t>
      </w:r>
    </w:p>
    <w:p w14:paraId="15DD1646" w14:textId="77777777" w:rsidR="00B119C6" w:rsidRPr="00AA1DF1" w:rsidRDefault="00B119C6" w:rsidP="00BD6B23">
      <w:pPr>
        <w:spacing w:before="110"/>
        <w:jc w:val="both"/>
      </w:pPr>
      <w:r w:rsidRPr="00AA1DF1">
        <w:t>4</w:t>
      </w:r>
      <w:r w:rsidRPr="00AA1DF1">
        <w:tab/>
        <w:t>que l'accélération du rythme dynamique du secteur des télécommunications/TIC devrait aller de pair avec une transformation numérique écologique et offre des perspectives de croissance économique, d'amélioration de la compétitivité et de développement durable dans tous les secteurs économiques, tout en réduisant simultanément les émissions de gaz à effet de serre émanant d'autres secteurs;</w:t>
      </w:r>
    </w:p>
    <w:p w14:paraId="5DAC301A" w14:textId="77777777" w:rsidR="00B119C6" w:rsidRPr="00AA1DF1" w:rsidRDefault="00B119C6" w:rsidP="00BD6B23">
      <w:pPr>
        <w:spacing w:before="110"/>
        <w:jc w:val="both"/>
      </w:pPr>
      <w:r w:rsidRPr="00AA1DF1">
        <w:t>5</w:t>
      </w:r>
      <w:r w:rsidRPr="00AA1DF1">
        <w:tab/>
        <w:t>que les télécommunications/TIC pourraient contribuer à atténuer les incidences d'autres secteurs sur l'environnement de bien des manières, par exemple en recensant des informations exploitables issues de l'analyse des données;</w:t>
      </w:r>
    </w:p>
    <w:p w14:paraId="31BE49E3" w14:textId="77777777" w:rsidR="00B119C6" w:rsidRPr="00AA1DF1" w:rsidRDefault="00B119C6" w:rsidP="00BD6B23">
      <w:pPr>
        <w:spacing w:before="110"/>
        <w:jc w:val="both"/>
      </w:pPr>
      <w:r w:rsidRPr="00AA1DF1">
        <w:lastRenderedPageBreak/>
        <w:t>6</w:t>
      </w:r>
      <w:r w:rsidRPr="00AA1DF1">
        <w:tab/>
        <w:t>que le passage à une économie plus circulaire permettrait d'optimiser les incidences économiques et environnementales des télécommunications/TIC, notamment en favorisant des débouchés commerciaux et la création d'emplois;</w:t>
      </w:r>
    </w:p>
    <w:p w14:paraId="6C254747" w14:textId="77777777" w:rsidR="00B119C6" w:rsidRPr="00AA1DF1" w:rsidRDefault="00B119C6" w:rsidP="00BD6B23">
      <w:pPr>
        <w:spacing w:before="110"/>
        <w:jc w:val="both"/>
      </w:pPr>
      <w:r w:rsidRPr="00AA1DF1">
        <w:t>7</w:t>
      </w:r>
      <w:r w:rsidRPr="00AA1DF1">
        <w:tab/>
        <w:t>que la durabilité, l'efficacité énergétique, notamment, le partage volontaire des infrastructures et la réduction des déchets d'équipements électriques et électroniques devraient faire partie intégrante des considérations relatives au développement, au déploiement et à l'utilisation des télécommunications/TIC,</w:t>
      </w:r>
    </w:p>
    <w:p w14:paraId="6D2C6960" w14:textId="77777777" w:rsidR="00B119C6" w:rsidRPr="00AA1DF1" w:rsidRDefault="00B119C6" w:rsidP="00434918">
      <w:pPr>
        <w:pStyle w:val="Call"/>
        <w:keepNext w:val="0"/>
        <w:keepLines w:val="0"/>
        <w:widowControl w:val="0"/>
      </w:pPr>
      <w:r w:rsidRPr="00AA1DF1">
        <w:t>invite les États Membres</w:t>
      </w:r>
    </w:p>
    <w:p w14:paraId="5BD36802" w14:textId="77777777" w:rsidR="00B119C6" w:rsidRPr="00AA1DF1" w:rsidRDefault="00B119C6" w:rsidP="00BD6B23">
      <w:pPr>
        <w:widowControl w:val="0"/>
        <w:spacing w:before="80"/>
        <w:jc w:val="both"/>
      </w:pPr>
      <w:r w:rsidRPr="00AA1DF1">
        <w:t>1</w:t>
      </w:r>
      <w:r w:rsidRPr="00AA1DF1">
        <w:tab/>
        <w:t>à utiliser les télécommunications/TIC comme un moyen efficace de réduire les émissions de gaz à effet de serre dans de multiples secteurs économiques;</w:t>
      </w:r>
    </w:p>
    <w:p w14:paraId="5849F05D" w14:textId="77777777" w:rsidR="00B119C6" w:rsidRPr="00AA1DF1" w:rsidRDefault="00B119C6" w:rsidP="00BD6B23">
      <w:pPr>
        <w:jc w:val="both"/>
      </w:pPr>
      <w:r w:rsidRPr="00AA1DF1">
        <w:t>2</w:t>
      </w:r>
      <w:r w:rsidRPr="00AA1DF1">
        <w:tab/>
        <w:t>à élaborer, aux niveaux régional, national et local, des stratégies et des politiques adaptées visant à promouvoir la circularité des équipements de télécommunication/TIC au sein du secteur public, auprès des consommateurs et dans le secteur privé;</w:t>
      </w:r>
    </w:p>
    <w:p w14:paraId="2796FF3F" w14:textId="77777777" w:rsidR="00B119C6" w:rsidRPr="00AA1DF1" w:rsidRDefault="00B119C6" w:rsidP="00BD6B23">
      <w:pPr>
        <w:jc w:val="both"/>
      </w:pPr>
      <w:r w:rsidRPr="00AA1DF1">
        <w:t>3</w:t>
      </w:r>
      <w:r w:rsidRPr="00AA1DF1">
        <w:tab/>
        <w:t>à promouvoir la mise au point de solutions peu onéreuses, sûres et durables dès la conception, ayant une empreinte carbone réduite tout au long de leur cycle de vie;</w:t>
      </w:r>
    </w:p>
    <w:p w14:paraId="66CAD718" w14:textId="77777777" w:rsidR="00B119C6" w:rsidRPr="00AA1DF1" w:rsidRDefault="00B119C6" w:rsidP="00BD6B23">
      <w:pPr>
        <w:jc w:val="both"/>
      </w:pPr>
      <w:r w:rsidRPr="00AA1DF1">
        <w:t>4</w:t>
      </w:r>
      <w:r w:rsidRPr="00AA1DF1">
        <w:tab/>
        <w:t>à favoriser un environnement propice aux investissements dans des télécommunications/TIC écologiquement viables;</w:t>
      </w:r>
    </w:p>
    <w:p w14:paraId="0EAAB14D" w14:textId="77777777" w:rsidR="00B119C6" w:rsidRPr="00AA1DF1" w:rsidRDefault="00B119C6" w:rsidP="00BD6B23">
      <w:pPr>
        <w:jc w:val="both"/>
      </w:pPr>
      <w:r w:rsidRPr="00AA1DF1">
        <w:t>5</w:t>
      </w:r>
      <w:r w:rsidRPr="00AA1DF1">
        <w:tab/>
        <w:t>à investir dans la recherche-développement de télécommunications/TIC respectueuses de l'environnement;</w:t>
      </w:r>
    </w:p>
    <w:p w14:paraId="45609AEF" w14:textId="77777777" w:rsidR="00B119C6" w:rsidRPr="00AA1DF1" w:rsidRDefault="00B119C6" w:rsidP="00BD6B23">
      <w:pPr>
        <w:jc w:val="both"/>
      </w:pPr>
      <w:r w:rsidRPr="00AA1DF1">
        <w:t>6</w:t>
      </w:r>
      <w:r w:rsidRPr="00AA1DF1">
        <w:tab/>
        <w:t>à envisager de recourir à des prescriptions en matière de marchés publics pour encourager le déploiement de systèmes de télécommunication/TIC durables au sein des organisations concernées, le cas échéant;</w:t>
      </w:r>
    </w:p>
    <w:p w14:paraId="26249300" w14:textId="77777777" w:rsidR="00B119C6" w:rsidRPr="00AA1DF1" w:rsidRDefault="00B119C6" w:rsidP="00BD6B23">
      <w:pPr>
        <w:jc w:val="both"/>
      </w:pPr>
      <w:r w:rsidRPr="00AA1DF1">
        <w:t>7</w:t>
      </w:r>
      <w:r w:rsidRPr="00AA1DF1">
        <w:tab/>
        <w:t>à encourager l'évaluation de l'ensemble des effets sur l'environnement des télécommunications/TIC au cours de leur cycle de vie, de la planification à l'élimination, afin d'éclairer les pratiques en matière de politiques, d'innovation et de conception durable;</w:t>
      </w:r>
    </w:p>
    <w:p w14:paraId="6428281C" w14:textId="77777777" w:rsidR="00B119C6" w:rsidRPr="00AA1DF1" w:rsidRDefault="00B119C6" w:rsidP="00BD6B23">
      <w:pPr>
        <w:jc w:val="both"/>
      </w:pPr>
      <w:r w:rsidRPr="00AA1DF1">
        <w:t>8</w:t>
      </w:r>
      <w:r w:rsidRPr="00AA1DF1">
        <w:tab/>
        <w:t>à mettre en œuvre des campagnes de sensibilisation du public à l'élimination et au recyclage des déchets d'équipements électriques et électroniques, afin de mieux faire comprendre aux consommateurs les incidences de leurs appareils en termes de déchets;</w:t>
      </w:r>
    </w:p>
    <w:p w14:paraId="7397B474" w14:textId="77777777" w:rsidR="00B119C6" w:rsidRPr="00AA1DF1" w:rsidRDefault="00B119C6" w:rsidP="00BD6B23">
      <w:pPr>
        <w:jc w:val="both"/>
      </w:pPr>
      <w:r w:rsidRPr="00AA1DF1">
        <w:t>9</w:t>
      </w:r>
      <w:r w:rsidRPr="00AA1DF1">
        <w:tab/>
        <w:t>à encourager l'utilisation de sources d'énergie renouvelables et de dispositifs économes en énergie à faible émission de gaz à effet de serre, en tenant compte de la situation et des capacités de chaque État Membre;</w:t>
      </w:r>
      <w:bookmarkStart w:id="2" w:name="_Hlk211347167"/>
      <w:bookmarkEnd w:id="2"/>
    </w:p>
    <w:p w14:paraId="1DF2B0C4" w14:textId="77777777" w:rsidR="00B119C6" w:rsidRPr="00AA1DF1" w:rsidRDefault="00B119C6" w:rsidP="00BD6B23">
      <w:pPr>
        <w:jc w:val="both"/>
      </w:pPr>
      <w:r w:rsidRPr="00AA1DF1">
        <w:t>10</w:t>
      </w:r>
      <w:r w:rsidRPr="00AA1DF1">
        <w:tab/>
        <w:t>à renforcer les cadres de gestion de l'élimination des déchets d'équipements électriques et électroniques, en élaborant des politiques, des réglementations, des cadres et des stratégies en la matière,</w:t>
      </w:r>
    </w:p>
    <w:p w14:paraId="027414F7" w14:textId="77777777" w:rsidR="00B119C6" w:rsidRPr="00AA1DF1" w:rsidRDefault="00B119C6" w:rsidP="00434918">
      <w:pPr>
        <w:pStyle w:val="Call"/>
      </w:pPr>
      <w:r w:rsidRPr="00AA1DF1">
        <w:t>invite les États Membres, les Membres de Secteur et les autres parties prenantes</w:t>
      </w:r>
    </w:p>
    <w:p w14:paraId="3A54FF54" w14:textId="77777777" w:rsidR="00B119C6" w:rsidRPr="00AA1DF1" w:rsidRDefault="00B119C6" w:rsidP="00BD6B23">
      <w:pPr>
        <w:spacing w:before="110"/>
        <w:jc w:val="both"/>
      </w:pPr>
      <w:r w:rsidRPr="00AA1DF1">
        <w:t>1</w:t>
      </w:r>
      <w:r w:rsidRPr="00AA1DF1">
        <w:tab/>
        <w:t>à prendre d'urgence des mesures immédiates pour réduire les répercussions négatives sur l'environnement et les risques liés aux télécommunications/TIC et à toutes les infrastructures concernées;</w:t>
      </w:r>
    </w:p>
    <w:p w14:paraId="69D40AD0" w14:textId="77777777" w:rsidR="00B119C6" w:rsidRPr="00AA1DF1" w:rsidRDefault="00B119C6" w:rsidP="00BD6B23">
      <w:pPr>
        <w:keepLines/>
        <w:spacing w:before="110"/>
        <w:jc w:val="both"/>
      </w:pPr>
      <w:r w:rsidRPr="00AA1DF1">
        <w:lastRenderedPageBreak/>
        <w:t>2</w:t>
      </w:r>
      <w:r w:rsidRPr="00AA1DF1">
        <w:tab/>
        <w:t>à renforcer leur engagement à lutter contre la prolifération des déchets d'équipements électriques et électroniques, en planifiant le recyclage futur au stade de la conception des TIC futures, afin d'encourager l'utilisation et le développement d'équipements de télécommunication/TIC robustes et durables, ainsi que de matériaux recyclables, dans le cadre de l'économie circulaire;</w:t>
      </w:r>
    </w:p>
    <w:p w14:paraId="06AFC17B" w14:textId="77777777" w:rsidR="00B119C6" w:rsidRPr="00AA1DF1" w:rsidRDefault="00B119C6" w:rsidP="00BD6B23">
      <w:pPr>
        <w:spacing w:before="110"/>
        <w:jc w:val="both"/>
      </w:pPr>
      <w:r w:rsidRPr="00AA1DF1">
        <w:t>3</w:t>
      </w:r>
      <w:r w:rsidRPr="00AA1DF1">
        <w:tab/>
        <w:t>à promouvoir des modes de consommation et de production durables, en participant à l'économie circulaire des télécommunications/TIC, en encourageant la réparation, la réutilisation et la revente des appareils correspondants et en sensibilisant le public à l'élimination et au recyclage des déchets d'équipements électriques et électroniques;</w:t>
      </w:r>
    </w:p>
    <w:p w14:paraId="1F9E3F16" w14:textId="77777777" w:rsidR="00B119C6" w:rsidRPr="00AA1DF1" w:rsidRDefault="00B119C6" w:rsidP="00BD6B23">
      <w:pPr>
        <w:spacing w:before="110"/>
        <w:jc w:val="both"/>
      </w:pPr>
      <w:r w:rsidRPr="00AA1DF1">
        <w:t>4</w:t>
      </w:r>
      <w:r w:rsidRPr="00AA1DF1">
        <w:tab/>
        <w:t>à élaborer des politiques qui favorisent l'utilisation de technologies économes en énergie, susceptibles de contribuer à réduire l'empreinte carbone du secteur;</w:t>
      </w:r>
    </w:p>
    <w:p w14:paraId="14E6F9B3" w14:textId="77777777" w:rsidR="00B119C6" w:rsidRPr="00AA1DF1" w:rsidRDefault="00B119C6" w:rsidP="00BD6B23">
      <w:pPr>
        <w:widowControl w:val="0"/>
        <w:spacing w:before="110"/>
        <w:jc w:val="both"/>
      </w:pPr>
      <w:r w:rsidRPr="00AA1DF1">
        <w:t>5</w:t>
      </w:r>
      <w:r w:rsidRPr="00AA1DF1">
        <w:tab/>
        <w:t>à adopter des politiques de gestion des déchets d'équipements électriques et électroniques, notamment des programmes de recyclage et d'élimination responsable des vieux appareils électroniques;</w:t>
      </w:r>
    </w:p>
    <w:p w14:paraId="7C05FF2C" w14:textId="77777777" w:rsidR="00B119C6" w:rsidRPr="00AA1DF1" w:rsidRDefault="00B119C6" w:rsidP="00BD6B23">
      <w:pPr>
        <w:jc w:val="both"/>
      </w:pPr>
      <w:r w:rsidRPr="00AA1DF1">
        <w:t>6</w:t>
      </w:r>
      <w:r w:rsidRPr="00AA1DF1">
        <w:tab/>
        <w:t>à exploiter le potentiel de la transformation numérique pour promouvoir un développement inclusif et durable, tout en atténuant ses conséquences négatives pour l'environnement grâce à la transition vers une économie numérique circulaire, caractérisée par une consommation et une production responsables, l'utilisation d'énergies renouvelables et une gestion globale des déchets d'équipements électriques et électroniques;</w:t>
      </w:r>
    </w:p>
    <w:p w14:paraId="0D1B2F34" w14:textId="77777777" w:rsidR="00B119C6" w:rsidRPr="00AA1DF1" w:rsidRDefault="00B119C6" w:rsidP="00BD6B23">
      <w:pPr>
        <w:jc w:val="both"/>
      </w:pPr>
      <w:r w:rsidRPr="00AA1DF1">
        <w:t>7</w:t>
      </w:r>
      <w:r w:rsidRPr="00AA1DF1">
        <w:tab/>
        <w:t>à encourager la réduction des émissions de carbone afin de promouvoir des pratiques durables dans le secteur du numérique;</w:t>
      </w:r>
    </w:p>
    <w:p w14:paraId="66EE86E0" w14:textId="77777777" w:rsidR="00B119C6" w:rsidRPr="00AA1DF1" w:rsidRDefault="00B119C6" w:rsidP="00BD6B23">
      <w:pPr>
        <w:jc w:val="both"/>
      </w:pPr>
      <w:r w:rsidRPr="00AA1DF1">
        <w:t>8</w:t>
      </w:r>
      <w:r w:rsidRPr="00AA1DF1">
        <w:tab/>
        <w:t>à utiliser les télécommunications/TIC pour lutter contre les changements climatiques et promouvoir la circularité dans d'autres secteurs, tels que l'énergie, l'industrie manufacturière, les transports, le bâtiment et l'agriculture, en vue d'atteindre les objectifs de développement durable;</w:t>
      </w:r>
    </w:p>
    <w:p w14:paraId="67B926EC" w14:textId="77777777" w:rsidR="00B119C6" w:rsidRPr="00AA1DF1" w:rsidRDefault="00B119C6" w:rsidP="00BD6B23">
      <w:pPr>
        <w:jc w:val="both"/>
      </w:pPr>
      <w:r w:rsidRPr="00AA1DF1">
        <w:t>9</w:t>
      </w:r>
      <w:r w:rsidRPr="00AA1DF1">
        <w:tab/>
        <w:t>à reconnaître l'importance de la collaboration internationale pour assurer une transformation numérique écologique, y compris le transfert et le développement volontaires et convenus d'un commun accord des technologies, entre tous les acteurs de la société, tous les secteurs et toutes les régions, pour contribuer à la réalisation des objectifs des CCNUCC et de l'Accord de Paris;</w:t>
      </w:r>
    </w:p>
    <w:p w14:paraId="45172CFC" w14:textId="77777777" w:rsidR="00B119C6" w:rsidRPr="00AA1DF1" w:rsidRDefault="00B119C6" w:rsidP="00BD6B23">
      <w:pPr>
        <w:jc w:val="both"/>
      </w:pPr>
      <w:r w:rsidRPr="00AA1DF1">
        <w:t>10</w:t>
      </w:r>
      <w:r w:rsidRPr="00AA1DF1">
        <w:tab/>
        <w:t>à envisager d'adopter des recommandations UIT-T pertinentes sur les déchets d'équipements électriques et électroniques et l'environnement;</w:t>
      </w:r>
    </w:p>
    <w:p w14:paraId="2525A60D" w14:textId="77777777" w:rsidR="00B119C6" w:rsidRPr="00AA1DF1" w:rsidRDefault="00B119C6" w:rsidP="00BD6B23">
      <w:pPr>
        <w:jc w:val="both"/>
      </w:pPr>
      <w:r w:rsidRPr="00AA1DF1">
        <w:t>11</w:t>
      </w:r>
      <w:r w:rsidRPr="00AA1DF1">
        <w:tab/>
        <w:t>à participer activement aux activités de l'UIT relatives au développement durable et aux initiatives intersectorielles connexes;</w:t>
      </w:r>
    </w:p>
    <w:p w14:paraId="306006C8" w14:textId="77777777" w:rsidR="00B119C6" w:rsidRPr="00AA1DF1" w:rsidRDefault="00B119C6" w:rsidP="00BD6B23">
      <w:pPr>
        <w:jc w:val="both"/>
      </w:pPr>
      <w:r w:rsidRPr="00AA1DF1">
        <w:t>12</w:t>
      </w:r>
      <w:r w:rsidRPr="00AA1DF1">
        <w:tab/>
        <w:t>à promouvoir le partage des infrastructures et des ressources (et, dans la mesure du possible, le partage intersectoriel des infrastructures) afin de réduire le nombre d'infrastructures redondantes, de réduire au minimum la consommation de ressources, de diminuer la consommation d'énergie et de mettre à profit les actifs dans des secteurs tels que l'énergie, les transports et les télécommunications/TIC;</w:t>
      </w:r>
    </w:p>
    <w:p w14:paraId="6EF0FA20" w14:textId="77777777" w:rsidR="00B119C6" w:rsidRPr="00AA1DF1" w:rsidRDefault="00B119C6" w:rsidP="00BD6B23">
      <w:pPr>
        <w:jc w:val="both"/>
      </w:pPr>
      <w:r w:rsidRPr="00AA1DF1">
        <w:t>13</w:t>
      </w:r>
      <w:r w:rsidRPr="00AA1DF1">
        <w:tab/>
        <w:t>à intégrer les télécommunications/TIC dans les stratégies de protection de l'environnement, afin de créer un écosystème global permettant d'évoluer vers un avenir durable,</w:t>
      </w:r>
    </w:p>
    <w:p w14:paraId="2DB884CD" w14:textId="77777777" w:rsidR="00B119C6" w:rsidRPr="00AA1DF1" w:rsidRDefault="00B119C6" w:rsidP="00434918">
      <w:pPr>
        <w:pStyle w:val="Call"/>
      </w:pPr>
      <w:r w:rsidRPr="00AA1DF1">
        <w:t>invite la Secrétaire générale</w:t>
      </w:r>
    </w:p>
    <w:p w14:paraId="1ACB8AF6" w14:textId="77777777" w:rsidR="00B119C6" w:rsidRPr="00AA1DF1" w:rsidRDefault="00B119C6" w:rsidP="00BD6B23">
      <w:pPr>
        <w:jc w:val="both"/>
      </w:pPr>
      <w:r w:rsidRPr="00AA1DF1">
        <w:t>1</w:t>
      </w:r>
      <w:r w:rsidRPr="00AA1DF1">
        <w:tab/>
        <w:t xml:space="preserve">à œuvrer au renforcement des capacités de toutes les parties prenantes concernées, en particulier celles qui sont les plus touchées par les changements climatiques, compte tenu de leurs </w:t>
      </w:r>
      <w:r w:rsidRPr="00AA1DF1">
        <w:lastRenderedPageBreak/>
        <w:t>plans de développement, sur les questions liées aux TIC et à la protection de l'environnement, pour le bien-être de la population;</w:t>
      </w:r>
    </w:p>
    <w:p w14:paraId="0D9EB4B8" w14:textId="77777777" w:rsidR="00B119C6" w:rsidRPr="00AA1DF1" w:rsidRDefault="00B119C6" w:rsidP="00BD6B23">
      <w:pPr>
        <w:jc w:val="both"/>
      </w:pPr>
      <w:r w:rsidRPr="00AA1DF1">
        <w:t>2</w:t>
      </w:r>
      <w:r w:rsidRPr="00AA1DF1">
        <w:tab/>
        <w:t>à promouvoir des partenariats internationaux en faveur d'une transformation numérique écologique, qui permettent aux pays, en particulier aux pays en développement, de participer à l'économie numérique;</w:t>
      </w:r>
    </w:p>
    <w:p w14:paraId="1C87B6E9" w14:textId="77777777" w:rsidR="00B119C6" w:rsidRPr="00AA1DF1" w:rsidRDefault="00B119C6" w:rsidP="00BD6B23">
      <w:pPr>
        <w:jc w:val="both"/>
      </w:pPr>
      <w:r w:rsidRPr="00AA1DF1">
        <w:t>3</w:t>
      </w:r>
      <w:r w:rsidRPr="00AA1DF1">
        <w:tab/>
        <w:t>à renforcer davantage la coordination entre les trois Secteurs dans le cadre de leurs travaux consacrés à la transformation numérique écologique;</w:t>
      </w:r>
    </w:p>
    <w:p w14:paraId="1D80C7BD" w14:textId="628E69EB" w:rsidR="00B119C6" w:rsidRDefault="00B119C6" w:rsidP="00BD6B23">
      <w:pPr>
        <w:widowControl w:val="0"/>
        <w:jc w:val="both"/>
      </w:pPr>
      <w:r w:rsidRPr="00AA1DF1">
        <w:t>4</w:t>
      </w:r>
      <w:r w:rsidRPr="00AA1DF1">
        <w:tab/>
        <w:t>à faciliter la collaboration entre les États Membres, les entités régionales et d'autres parties prenantes de premier plan, afin d'échanger des connaissances et des bonnes pratiques pour appuyer le renforcement des capacités institutionnelles des États Membres, dans le but de faire progresser les initiatives de transformation numérique écologique.</w:t>
      </w:r>
    </w:p>
    <w:p w14:paraId="70DB3E23" w14:textId="77777777" w:rsidR="00BD6B23" w:rsidRPr="00AA1DF1" w:rsidRDefault="00BD6B23" w:rsidP="00BD6B23">
      <w:pPr>
        <w:widowControl w:val="0"/>
        <w:jc w:val="both"/>
      </w:pPr>
    </w:p>
    <w:p w14:paraId="6C4F1F56" w14:textId="48B255E8" w:rsidR="00495100" w:rsidRPr="00AA1DF1" w:rsidRDefault="00B119C6" w:rsidP="00F733CF">
      <w:pPr>
        <w:jc w:val="center"/>
      </w:pPr>
      <w:r w:rsidRPr="00AA1DF1">
        <w:t>______________</w:t>
      </w:r>
      <w:bookmarkEnd w:id="1"/>
    </w:p>
    <w:sectPr w:rsidR="00495100" w:rsidRPr="00AA1DF1" w:rsidSect="003A0B7D">
      <w:headerReference w:type="default" r:id="rId10"/>
      <w:footerReference w:type="first" r:id="rId11"/>
      <w:type w:val="continuous"/>
      <w:pgSz w:w="11913" w:h="16834"/>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34D">
      <wne:macro wne:macroName="TEMPLATEPROJECT.MACROS.POOLSETREASONS"/>
    </wne:keymap>
    <wne:keymap wne:kcmPrimary="0350">
      <wne:macro wne:macroName="TEMPLATEPROJECT.MACROS.POOLPVSTYLES"/>
    </wne:keymap>
    <wne:keymap wne:kcmPrimary="0353">
      <wne:acd wne:acdName="acd1"/>
    </wne:keymap>
  </wne:keymaps>
  <wne:toolbars>
    <wne:acdManifest>
      <wne:acdEntry wne:acdName="acd0"/>
      <wne:acdEntry wne:acdName="acd1"/>
    </wne:acdManifest>
    <wne:toolbarData r:id="rId1"/>
  </wne:toolbars>
  <wne:acds>
    <wne:acd wne:acdName="acd0" wne:fciIndexBasedOn="0065"/>
    <wne:acd wne:argValue="AgBOAG8AcgBtAGEAbAAgAHAAdg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0D105" w14:textId="77777777" w:rsidR="00940F50" w:rsidRDefault="00940F50">
      <w:r>
        <w:separator/>
      </w:r>
    </w:p>
  </w:endnote>
  <w:endnote w:type="continuationSeparator" w:id="0">
    <w:p w14:paraId="468B95D4" w14:textId="77777777" w:rsidR="00940F50" w:rsidRDefault="00940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7C66" w14:textId="5A968863" w:rsidR="000C467B" w:rsidRPr="00490624" w:rsidRDefault="00490624" w:rsidP="00490624">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Pr>
          <w:rStyle w:val="Hyperlink"/>
          <w:color w:val="00A3E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3871B" w14:textId="77777777" w:rsidR="00940F50" w:rsidRDefault="00940F50">
      <w:r>
        <w:t>____________________</w:t>
      </w:r>
    </w:p>
  </w:footnote>
  <w:footnote w:type="continuationSeparator" w:id="0">
    <w:p w14:paraId="637D3F34" w14:textId="77777777" w:rsidR="00940F50" w:rsidRDefault="00940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D8FD2" w14:textId="6ADD7609" w:rsidR="00BD1614" w:rsidRPr="00490624" w:rsidRDefault="00490624" w:rsidP="00754633">
    <w:pPr>
      <w:pStyle w:val="Header"/>
    </w:pPr>
    <w:r>
      <w:fldChar w:fldCharType="begin"/>
    </w:r>
    <w:r>
      <w:instrText xml:space="preserve"> PAGE   \* MERGEFORMAT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7211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AC56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9018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643C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7468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C632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52EE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2667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4830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2C15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595CA5"/>
    <w:multiLevelType w:val="hybridMultilevel"/>
    <w:tmpl w:val="CD62D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19185468">
    <w:abstractNumId w:val="9"/>
  </w:num>
  <w:num w:numId="2" w16cid:durableId="561982136">
    <w:abstractNumId w:val="7"/>
  </w:num>
  <w:num w:numId="3" w16cid:durableId="176162411">
    <w:abstractNumId w:val="6"/>
  </w:num>
  <w:num w:numId="4" w16cid:durableId="882715593">
    <w:abstractNumId w:val="5"/>
  </w:num>
  <w:num w:numId="5" w16cid:durableId="2112818297">
    <w:abstractNumId w:val="4"/>
  </w:num>
  <w:num w:numId="6" w16cid:durableId="702250250">
    <w:abstractNumId w:val="8"/>
  </w:num>
  <w:num w:numId="7" w16cid:durableId="821114846">
    <w:abstractNumId w:val="3"/>
  </w:num>
  <w:num w:numId="8" w16cid:durableId="1197349219">
    <w:abstractNumId w:val="2"/>
  </w:num>
  <w:num w:numId="9" w16cid:durableId="1541825188">
    <w:abstractNumId w:val="1"/>
  </w:num>
  <w:num w:numId="10" w16cid:durableId="749541679">
    <w:abstractNumId w:val="0"/>
  </w:num>
  <w:num w:numId="11" w16cid:durableId="5119934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D5E"/>
    <w:rsid w:val="000054D8"/>
    <w:rsid w:val="00055C50"/>
    <w:rsid w:val="00060D74"/>
    <w:rsid w:val="00072D5C"/>
    <w:rsid w:val="0008398C"/>
    <w:rsid w:val="00084308"/>
    <w:rsid w:val="000B14B6"/>
    <w:rsid w:val="000C467B"/>
    <w:rsid w:val="000D15FB"/>
    <w:rsid w:val="000F58F7"/>
    <w:rsid w:val="001051E4"/>
    <w:rsid w:val="001354EA"/>
    <w:rsid w:val="00136FCE"/>
    <w:rsid w:val="0014597B"/>
    <w:rsid w:val="00153BA4"/>
    <w:rsid w:val="001941AD"/>
    <w:rsid w:val="0019732C"/>
    <w:rsid w:val="001A0682"/>
    <w:rsid w:val="001B4D8D"/>
    <w:rsid w:val="001C3790"/>
    <w:rsid w:val="001D31B2"/>
    <w:rsid w:val="001D4F2C"/>
    <w:rsid w:val="001E1B9B"/>
    <w:rsid w:val="001E2226"/>
    <w:rsid w:val="001F0B24"/>
    <w:rsid w:val="001F6233"/>
    <w:rsid w:val="00230D1A"/>
    <w:rsid w:val="002355CD"/>
    <w:rsid w:val="0025067F"/>
    <w:rsid w:val="00252A40"/>
    <w:rsid w:val="00270B2F"/>
    <w:rsid w:val="002712F9"/>
    <w:rsid w:val="002A06C7"/>
    <w:rsid w:val="002A0E1B"/>
    <w:rsid w:val="002A7A1D"/>
    <w:rsid w:val="002C1059"/>
    <w:rsid w:val="002C2F9C"/>
    <w:rsid w:val="002D5B95"/>
    <w:rsid w:val="002E1AF7"/>
    <w:rsid w:val="002F40AF"/>
    <w:rsid w:val="00304DFD"/>
    <w:rsid w:val="00322DEA"/>
    <w:rsid w:val="00355FBD"/>
    <w:rsid w:val="00371863"/>
    <w:rsid w:val="00376A48"/>
    <w:rsid w:val="00381461"/>
    <w:rsid w:val="00391C12"/>
    <w:rsid w:val="003A0B7D"/>
    <w:rsid w:val="003A45C2"/>
    <w:rsid w:val="003B1823"/>
    <w:rsid w:val="003B7A11"/>
    <w:rsid w:val="003C4BE2"/>
    <w:rsid w:val="003D147D"/>
    <w:rsid w:val="003D637A"/>
    <w:rsid w:val="00413CB9"/>
    <w:rsid w:val="00430015"/>
    <w:rsid w:val="00434918"/>
    <w:rsid w:val="004678D0"/>
    <w:rsid w:val="00482954"/>
    <w:rsid w:val="00490624"/>
    <w:rsid w:val="00495100"/>
    <w:rsid w:val="004951C0"/>
    <w:rsid w:val="004C7646"/>
    <w:rsid w:val="004D15DE"/>
    <w:rsid w:val="004E74AB"/>
    <w:rsid w:val="005056AF"/>
    <w:rsid w:val="0051199F"/>
    <w:rsid w:val="0051405B"/>
    <w:rsid w:val="00524001"/>
    <w:rsid w:val="00563698"/>
    <w:rsid w:val="00564B63"/>
    <w:rsid w:val="00575DC7"/>
    <w:rsid w:val="005836C2"/>
    <w:rsid w:val="005A05BD"/>
    <w:rsid w:val="005A4EFD"/>
    <w:rsid w:val="005A5ABE"/>
    <w:rsid w:val="005C2ECC"/>
    <w:rsid w:val="005C6744"/>
    <w:rsid w:val="005E419E"/>
    <w:rsid w:val="005F63BD"/>
    <w:rsid w:val="00611CF1"/>
    <w:rsid w:val="006201D9"/>
    <w:rsid w:val="006277DB"/>
    <w:rsid w:val="00635B7B"/>
    <w:rsid w:val="00655B98"/>
    <w:rsid w:val="006710E6"/>
    <w:rsid w:val="00686973"/>
    <w:rsid w:val="00696B2D"/>
    <w:rsid w:val="006A2656"/>
    <w:rsid w:val="006A3475"/>
    <w:rsid w:val="006A6342"/>
    <w:rsid w:val="006B6C9C"/>
    <w:rsid w:val="006C7AE3"/>
    <w:rsid w:val="006D55E8"/>
    <w:rsid w:val="006E1921"/>
    <w:rsid w:val="006F36F9"/>
    <w:rsid w:val="0070576B"/>
    <w:rsid w:val="00713335"/>
    <w:rsid w:val="00717FAC"/>
    <w:rsid w:val="00727C2F"/>
    <w:rsid w:val="00735F13"/>
    <w:rsid w:val="00754633"/>
    <w:rsid w:val="007575CC"/>
    <w:rsid w:val="007717F2"/>
    <w:rsid w:val="00772E3B"/>
    <w:rsid w:val="0078134C"/>
    <w:rsid w:val="007A3E96"/>
    <w:rsid w:val="007A47E9"/>
    <w:rsid w:val="007A5830"/>
    <w:rsid w:val="007D21FB"/>
    <w:rsid w:val="00801154"/>
    <w:rsid w:val="00801256"/>
    <w:rsid w:val="008264FC"/>
    <w:rsid w:val="008407A7"/>
    <w:rsid w:val="008703CB"/>
    <w:rsid w:val="008B61AF"/>
    <w:rsid w:val="008C33C2"/>
    <w:rsid w:val="008C6137"/>
    <w:rsid w:val="008E2DB4"/>
    <w:rsid w:val="00901DD5"/>
    <w:rsid w:val="00901E77"/>
    <w:rsid w:val="0090735B"/>
    <w:rsid w:val="00912D57"/>
    <w:rsid w:val="00912D5E"/>
    <w:rsid w:val="00934340"/>
    <w:rsid w:val="00940F50"/>
    <w:rsid w:val="00955620"/>
    <w:rsid w:val="00956DC7"/>
    <w:rsid w:val="009668BC"/>
    <w:rsid w:val="00966CD3"/>
    <w:rsid w:val="00987A20"/>
    <w:rsid w:val="0099381A"/>
    <w:rsid w:val="009A0E15"/>
    <w:rsid w:val="009C3BA8"/>
    <w:rsid w:val="009D4037"/>
    <w:rsid w:val="009D51E6"/>
    <w:rsid w:val="009F0592"/>
    <w:rsid w:val="00A20E72"/>
    <w:rsid w:val="00A246DC"/>
    <w:rsid w:val="00A47BAF"/>
    <w:rsid w:val="00A542D3"/>
    <w:rsid w:val="00A5784F"/>
    <w:rsid w:val="00A615EC"/>
    <w:rsid w:val="00A8436E"/>
    <w:rsid w:val="00A95B66"/>
    <w:rsid w:val="00AA1DF1"/>
    <w:rsid w:val="00AB190D"/>
    <w:rsid w:val="00AC20C8"/>
    <w:rsid w:val="00AE0667"/>
    <w:rsid w:val="00B119C6"/>
    <w:rsid w:val="00B23CD4"/>
    <w:rsid w:val="00B41E0A"/>
    <w:rsid w:val="00B56DE0"/>
    <w:rsid w:val="00B71F12"/>
    <w:rsid w:val="00B76FEC"/>
    <w:rsid w:val="00B96B1E"/>
    <w:rsid w:val="00BB2A6F"/>
    <w:rsid w:val="00BD1614"/>
    <w:rsid w:val="00BD382C"/>
    <w:rsid w:val="00BD5C12"/>
    <w:rsid w:val="00BD5DA6"/>
    <w:rsid w:val="00BD6B23"/>
    <w:rsid w:val="00BF7D25"/>
    <w:rsid w:val="00C00850"/>
    <w:rsid w:val="00C010C0"/>
    <w:rsid w:val="00C0405F"/>
    <w:rsid w:val="00C209C0"/>
    <w:rsid w:val="00C40CB5"/>
    <w:rsid w:val="00C54CE6"/>
    <w:rsid w:val="00C550C5"/>
    <w:rsid w:val="00C575E2"/>
    <w:rsid w:val="00C7368B"/>
    <w:rsid w:val="00C92746"/>
    <w:rsid w:val="00CC4DC5"/>
    <w:rsid w:val="00CE1A7C"/>
    <w:rsid w:val="00CE496F"/>
    <w:rsid w:val="00D0450B"/>
    <w:rsid w:val="00D0464B"/>
    <w:rsid w:val="00D12C74"/>
    <w:rsid w:val="00D17A8C"/>
    <w:rsid w:val="00D2263F"/>
    <w:rsid w:val="00D56483"/>
    <w:rsid w:val="00D5658F"/>
    <w:rsid w:val="00D56AD6"/>
    <w:rsid w:val="00D57B4D"/>
    <w:rsid w:val="00D70019"/>
    <w:rsid w:val="00D714FC"/>
    <w:rsid w:val="00D74B58"/>
    <w:rsid w:val="00D82ABE"/>
    <w:rsid w:val="00DA4ABA"/>
    <w:rsid w:val="00DA685B"/>
    <w:rsid w:val="00DA742B"/>
    <w:rsid w:val="00DF25C1"/>
    <w:rsid w:val="00DF48F7"/>
    <w:rsid w:val="00DF4964"/>
    <w:rsid w:val="00DF4D73"/>
    <w:rsid w:val="00DF79B0"/>
    <w:rsid w:val="00E1047D"/>
    <w:rsid w:val="00E4050B"/>
    <w:rsid w:val="00E443FA"/>
    <w:rsid w:val="00E54FCE"/>
    <w:rsid w:val="00E60DA1"/>
    <w:rsid w:val="00E921A2"/>
    <w:rsid w:val="00E93D35"/>
    <w:rsid w:val="00EA45DB"/>
    <w:rsid w:val="00EC1877"/>
    <w:rsid w:val="00ED2CD9"/>
    <w:rsid w:val="00EE6F24"/>
    <w:rsid w:val="00F07DA7"/>
    <w:rsid w:val="00F10D82"/>
    <w:rsid w:val="00F23453"/>
    <w:rsid w:val="00F3254F"/>
    <w:rsid w:val="00F43C55"/>
    <w:rsid w:val="00F564C1"/>
    <w:rsid w:val="00F62996"/>
    <w:rsid w:val="00F63FB7"/>
    <w:rsid w:val="00F733CF"/>
    <w:rsid w:val="00F77FA2"/>
    <w:rsid w:val="00F8357A"/>
    <w:rsid w:val="00F912F0"/>
    <w:rsid w:val="00F94D05"/>
    <w:rsid w:val="00FA1B77"/>
    <w:rsid w:val="00FB4B65"/>
    <w:rsid w:val="00FB74B8"/>
    <w:rsid w:val="00FC49E0"/>
    <w:rsid w:val="00FF0484"/>
    <w:rsid w:val="00FF4E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7E724"/>
  <w15:docId w15:val="{F7996034-3CD0-499A-8D2F-018CE164A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0E6"/>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5A4EFD"/>
    <w:pPr>
      <w:keepNext/>
      <w:keepLines/>
      <w:spacing w:before="480"/>
      <w:ind w:left="567" w:hanging="567"/>
      <w:outlineLvl w:val="0"/>
    </w:pPr>
    <w:rPr>
      <w:b/>
      <w:sz w:val="28"/>
    </w:rPr>
  </w:style>
  <w:style w:type="paragraph" w:styleId="Heading2">
    <w:name w:val="heading 2"/>
    <w:basedOn w:val="Heading1"/>
    <w:next w:val="Normal"/>
    <w:qFormat/>
    <w:rsid w:val="00686973"/>
    <w:pPr>
      <w:spacing w:before="320"/>
      <w:outlineLvl w:val="1"/>
    </w:pPr>
    <w:rPr>
      <w:sz w:val="24"/>
    </w:rPr>
  </w:style>
  <w:style w:type="paragraph" w:styleId="Heading3">
    <w:name w:val="heading 3"/>
    <w:basedOn w:val="Heading1"/>
    <w:next w:val="Normal"/>
    <w:qFormat/>
    <w:rsid w:val="00686973"/>
    <w:pPr>
      <w:spacing w:before="200"/>
      <w:outlineLvl w:val="2"/>
    </w:pPr>
    <w:rPr>
      <w:sz w:val="24"/>
    </w:rPr>
  </w:style>
  <w:style w:type="paragraph" w:styleId="Heading4">
    <w:name w:val="heading 4"/>
    <w:basedOn w:val="Heading3"/>
    <w:next w:val="Normal"/>
    <w:qFormat/>
    <w:rsid w:val="003A0B7D"/>
    <w:pPr>
      <w:ind w:left="1134" w:hanging="1134"/>
      <w:outlineLvl w:val="3"/>
    </w:pPr>
  </w:style>
  <w:style w:type="paragraph" w:styleId="Heading5">
    <w:name w:val="heading 5"/>
    <w:basedOn w:val="Heading4"/>
    <w:next w:val="Normal"/>
    <w:qFormat/>
    <w:rsid w:val="003A0B7D"/>
    <w:pPr>
      <w:outlineLvl w:val="4"/>
    </w:pPr>
  </w:style>
  <w:style w:type="paragraph" w:styleId="Heading6">
    <w:name w:val="heading 6"/>
    <w:basedOn w:val="Heading4"/>
    <w:next w:val="Normal"/>
    <w:qFormat/>
    <w:rsid w:val="003A0B7D"/>
    <w:pPr>
      <w:outlineLvl w:val="5"/>
    </w:pPr>
  </w:style>
  <w:style w:type="paragraph" w:styleId="Heading7">
    <w:name w:val="heading 7"/>
    <w:basedOn w:val="Heading4"/>
    <w:next w:val="Normal"/>
    <w:qFormat/>
    <w:rsid w:val="003A0B7D"/>
    <w:pPr>
      <w:ind w:left="1701" w:hanging="1701"/>
      <w:outlineLvl w:val="6"/>
    </w:pPr>
  </w:style>
  <w:style w:type="paragraph" w:styleId="Heading8">
    <w:name w:val="heading 8"/>
    <w:basedOn w:val="Heading4"/>
    <w:next w:val="Normal"/>
    <w:qFormat/>
    <w:rsid w:val="003A0B7D"/>
    <w:pPr>
      <w:ind w:left="1701" w:hanging="1701"/>
      <w:outlineLvl w:val="7"/>
    </w:pPr>
  </w:style>
  <w:style w:type="paragraph" w:styleId="Heading9">
    <w:name w:val="heading 9"/>
    <w:basedOn w:val="Heading4"/>
    <w:next w:val="Normal"/>
    <w:qFormat/>
    <w:rsid w:val="003A0B7D"/>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3A0B7D"/>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3A0B7D"/>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Date">
    <w:name w:val="Date"/>
    <w:basedOn w:val="Normal"/>
    <w:rsid w:val="003A0B7D"/>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styleId="Footer">
    <w:name w:val="footer"/>
    <w:basedOn w:val="Normal"/>
    <w:rsid w:val="003A0B7D"/>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3A0B7D"/>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5A4EFD"/>
    <w:rPr>
      <w:rFonts w:ascii="Calibri" w:hAnsi="Calibri"/>
      <w:position w:val="6"/>
      <w:sz w:val="16"/>
    </w:rPr>
  </w:style>
  <w:style w:type="paragraph" w:styleId="FootnoteText">
    <w:name w:val="footnote text"/>
    <w:basedOn w:val="Normal"/>
    <w:rsid w:val="003A0B7D"/>
    <w:pPr>
      <w:keepLines/>
      <w:tabs>
        <w:tab w:val="left" w:pos="256"/>
      </w:tabs>
      <w:ind w:left="256" w:hanging="256"/>
    </w:pPr>
  </w:style>
  <w:style w:type="paragraph" w:styleId="NormalIndent">
    <w:name w:val="Normal Indent"/>
    <w:basedOn w:val="Normal"/>
    <w:rsid w:val="003A0B7D"/>
    <w:pPr>
      <w:ind w:left="567"/>
    </w:pPr>
  </w:style>
  <w:style w:type="paragraph" w:customStyle="1" w:styleId="Tablelegend">
    <w:name w:val="Table_legend"/>
    <w:basedOn w:val="Tabletext"/>
    <w:rsid w:val="003A0B7D"/>
    <w:pPr>
      <w:spacing w:before="120"/>
    </w:pPr>
  </w:style>
  <w:style w:type="paragraph" w:customStyle="1" w:styleId="Tabletext">
    <w:name w:val="Table_text"/>
    <w:basedOn w:val="Normal"/>
    <w:rsid w:val="003A0B7D"/>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3A0B7D"/>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3A0B7D"/>
    <w:pPr>
      <w:keepNext/>
      <w:spacing w:before="560" w:after="120"/>
      <w:jc w:val="center"/>
    </w:pPr>
    <w:rPr>
      <w:caps/>
    </w:rPr>
  </w:style>
  <w:style w:type="paragraph" w:customStyle="1" w:styleId="enumlev1">
    <w:name w:val="enumlev1"/>
    <w:basedOn w:val="Normal"/>
    <w:rsid w:val="003A0B7D"/>
    <w:pPr>
      <w:spacing w:before="86"/>
      <w:ind w:left="567" w:hanging="567"/>
    </w:pPr>
  </w:style>
  <w:style w:type="paragraph" w:customStyle="1" w:styleId="enumlev2">
    <w:name w:val="enumlev2"/>
    <w:basedOn w:val="enumlev1"/>
    <w:rsid w:val="003A0B7D"/>
    <w:pPr>
      <w:ind w:left="1134"/>
    </w:pPr>
  </w:style>
  <w:style w:type="paragraph" w:customStyle="1" w:styleId="enumlev3">
    <w:name w:val="enumlev3"/>
    <w:basedOn w:val="enumlev2"/>
    <w:rsid w:val="003A0B7D"/>
    <w:pPr>
      <w:ind w:left="1701"/>
    </w:pPr>
  </w:style>
  <w:style w:type="paragraph" w:customStyle="1" w:styleId="Tablehead">
    <w:name w:val="Table_head"/>
    <w:basedOn w:val="Tabletext"/>
    <w:rsid w:val="003A0B7D"/>
    <w:pPr>
      <w:spacing w:before="120" w:after="120"/>
      <w:jc w:val="center"/>
    </w:pPr>
    <w:rPr>
      <w:b/>
    </w:rPr>
  </w:style>
  <w:style w:type="paragraph" w:customStyle="1" w:styleId="Normalaftertitle">
    <w:name w:val="Normal after title"/>
    <w:basedOn w:val="Normal"/>
    <w:next w:val="Normal"/>
    <w:rsid w:val="003A0B7D"/>
    <w:pPr>
      <w:spacing w:before="240"/>
    </w:pPr>
  </w:style>
  <w:style w:type="paragraph" w:customStyle="1" w:styleId="AnnexNo">
    <w:name w:val="Annex_No"/>
    <w:basedOn w:val="Normal"/>
    <w:next w:val="Annexref"/>
    <w:rsid w:val="00686973"/>
    <w:pPr>
      <w:spacing w:before="720"/>
      <w:jc w:val="center"/>
    </w:pPr>
    <w:rPr>
      <w:caps/>
      <w:sz w:val="28"/>
    </w:rPr>
  </w:style>
  <w:style w:type="paragraph" w:customStyle="1" w:styleId="Annexref">
    <w:name w:val="Annex_ref"/>
    <w:basedOn w:val="Normal"/>
    <w:next w:val="Annextitle"/>
    <w:rsid w:val="00686973"/>
    <w:pPr>
      <w:jc w:val="center"/>
    </w:pPr>
    <w:rPr>
      <w:sz w:val="28"/>
    </w:rPr>
  </w:style>
  <w:style w:type="paragraph" w:customStyle="1" w:styleId="Annextitle">
    <w:name w:val="Annex_title"/>
    <w:basedOn w:val="Normal"/>
    <w:next w:val="Normal"/>
    <w:rsid w:val="00686973"/>
    <w:pPr>
      <w:spacing w:before="240" w:after="240"/>
      <w:jc w:val="center"/>
    </w:pPr>
    <w:rPr>
      <w:b/>
      <w:sz w:val="28"/>
    </w:rPr>
  </w:style>
  <w:style w:type="paragraph" w:customStyle="1" w:styleId="AppendixNo">
    <w:name w:val="Appendix_No"/>
    <w:basedOn w:val="AnnexNo"/>
    <w:next w:val="Appendixref"/>
    <w:rsid w:val="00686973"/>
  </w:style>
  <w:style w:type="paragraph" w:customStyle="1" w:styleId="Appendixref">
    <w:name w:val="Appendix_ref"/>
    <w:basedOn w:val="Annexref"/>
    <w:next w:val="Appendixtitle"/>
    <w:rsid w:val="003A0B7D"/>
  </w:style>
  <w:style w:type="paragraph" w:customStyle="1" w:styleId="Appendixtitle">
    <w:name w:val="Appendix_title"/>
    <w:basedOn w:val="Annextitle"/>
    <w:next w:val="Normal"/>
    <w:rsid w:val="003A0B7D"/>
  </w:style>
  <w:style w:type="paragraph" w:customStyle="1" w:styleId="Reftitle">
    <w:name w:val="Ref_title"/>
    <w:basedOn w:val="Normal"/>
    <w:next w:val="Reftext"/>
    <w:rsid w:val="00686973"/>
    <w:pPr>
      <w:spacing w:before="480"/>
      <w:jc w:val="center"/>
    </w:pPr>
    <w:rPr>
      <w:caps/>
      <w:sz w:val="28"/>
    </w:rPr>
  </w:style>
  <w:style w:type="paragraph" w:customStyle="1" w:styleId="Reftext">
    <w:name w:val="Ref_text"/>
    <w:basedOn w:val="Normal"/>
    <w:rsid w:val="003A0B7D"/>
    <w:pPr>
      <w:ind w:left="567" w:hanging="567"/>
    </w:pPr>
  </w:style>
  <w:style w:type="paragraph" w:customStyle="1" w:styleId="Rectitle">
    <w:name w:val="Rec_title"/>
    <w:basedOn w:val="Normal"/>
    <w:next w:val="Heading1"/>
    <w:rsid w:val="005A4EFD"/>
    <w:pPr>
      <w:spacing w:before="240"/>
      <w:jc w:val="center"/>
    </w:pPr>
    <w:rPr>
      <w:b/>
      <w:sz w:val="28"/>
    </w:rPr>
  </w:style>
  <w:style w:type="paragraph" w:customStyle="1" w:styleId="Call">
    <w:name w:val="Call"/>
    <w:basedOn w:val="Normal"/>
    <w:next w:val="Normal"/>
    <w:rsid w:val="003A0B7D"/>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686973"/>
    <w:pPr>
      <w:spacing w:before="720"/>
      <w:jc w:val="center"/>
    </w:pPr>
    <w:rPr>
      <w:caps/>
      <w:sz w:val="28"/>
    </w:rPr>
  </w:style>
  <w:style w:type="paragraph" w:customStyle="1" w:styleId="toc0">
    <w:name w:val="toc 0"/>
    <w:basedOn w:val="Normal"/>
    <w:next w:val="TOC1"/>
    <w:rsid w:val="003A0B7D"/>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686973"/>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3A0B7D"/>
    <w:pPr>
      <w:tabs>
        <w:tab w:val="clear" w:pos="567"/>
        <w:tab w:val="left" w:pos="851"/>
      </w:tabs>
    </w:pPr>
  </w:style>
  <w:style w:type="paragraph" w:customStyle="1" w:styleId="MinusFootnote">
    <w:name w:val="MinusFootnote"/>
    <w:basedOn w:val="Normal"/>
    <w:rsid w:val="003A0B7D"/>
    <w:pPr>
      <w:ind w:left="-1701" w:hanging="284"/>
    </w:pPr>
  </w:style>
  <w:style w:type="paragraph" w:customStyle="1" w:styleId="Title3">
    <w:name w:val="Title 3"/>
    <w:basedOn w:val="Title2"/>
    <w:next w:val="Normalaftertitle"/>
    <w:rsid w:val="003A0B7D"/>
    <w:rPr>
      <w:caps w:val="0"/>
    </w:rPr>
  </w:style>
  <w:style w:type="paragraph" w:customStyle="1" w:styleId="Title2">
    <w:name w:val="Title 2"/>
    <w:basedOn w:val="Source"/>
    <w:next w:val="Title3"/>
    <w:rsid w:val="003A0B7D"/>
    <w:pPr>
      <w:spacing w:before="240"/>
    </w:pPr>
    <w:rPr>
      <w:b w:val="0"/>
      <w:caps/>
    </w:rPr>
  </w:style>
  <w:style w:type="paragraph" w:customStyle="1" w:styleId="Source">
    <w:name w:val="Source"/>
    <w:basedOn w:val="Normal"/>
    <w:next w:val="Title1"/>
    <w:rsid w:val="00F564C1"/>
    <w:pPr>
      <w:spacing w:before="840"/>
      <w:jc w:val="center"/>
    </w:pPr>
    <w:rPr>
      <w:b/>
      <w:sz w:val="28"/>
    </w:rPr>
  </w:style>
  <w:style w:type="paragraph" w:customStyle="1" w:styleId="Title1">
    <w:name w:val="Title 1"/>
    <w:basedOn w:val="Source"/>
    <w:next w:val="Title2"/>
    <w:rsid w:val="003A0B7D"/>
    <w:pPr>
      <w:spacing w:before="240"/>
    </w:pPr>
    <w:rPr>
      <w:b w:val="0"/>
      <w:caps/>
    </w:rPr>
  </w:style>
  <w:style w:type="paragraph" w:customStyle="1" w:styleId="ArtNo">
    <w:name w:val="Art_No"/>
    <w:basedOn w:val="Normal"/>
    <w:next w:val="Arttitle"/>
    <w:rsid w:val="00686973"/>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686973"/>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3A0B7D"/>
  </w:style>
  <w:style w:type="paragraph" w:customStyle="1" w:styleId="Chaptitle">
    <w:name w:val="Chap_title"/>
    <w:basedOn w:val="Arttitle"/>
    <w:next w:val="Normal"/>
    <w:rsid w:val="003A0B7D"/>
  </w:style>
  <w:style w:type="paragraph" w:customStyle="1" w:styleId="Reasons">
    <w:name w:val="Reasons"/>
    <w:basedOn w:val="Normal"/>
    <w:rsid w:val="003A0B7D"/>
  </w:style>
  <w:style w:type="paragraph" w:customStyle="1" w:styleId="ResNo">
    <w:name w:val="Res_No"/>
    <w:basedOn w:val="AnnexNo"/>
    <w:next w:val="Restitle"/>
    <w:rsid w:val="003A0B7D"/>
  </w:style>
  <w:style w:type="paragraph" w:customStyle="1" w:styleId="Restitle">
    <w:name w:val="Res_title"/>
    <w:basedOn w:val="Annextitle"/>
    <w:next w:val="Normal"/>
    <w:rsid w:val="005A4EFD"/>
  </w:style>
  <w:style w:type="paragraph" w:customStyle="1" w:styleId="AnnexNoS2">
    <w:name w:val="Annex_No_S2"/>
    <w:basedOn w:val="AnnexNo"/>
    <w:next w:val="AnnexrefS2"/>
    <w:rsid w:val="00686973"/>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3A0B7D"/>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3A0B7D"/>
    <w:rPr>
      <w:caps w:val="0"/>
    </w:rPr>
  </w:style>
  <w:style w:type="paragraph" w:customStyle="1" w:styleId="Section2">
    <w:name w:val="Section 2"/>
    <w:basedOn w:val="Section1"/>
    <w:next w:val="Normal"/>
    <w:rsid w:val="003A0B7D"/>
    <w:pPr>
      <w:spacing w:before="240"/>
    </w:pPr>
    <w:rPr>
      <w:b/>
      <w:i/>
    </w:rPr>
  </w:style>
  <w:style w:type="paragraph" w:customStyle="1" w:styleId="AppendixNoS2">
    <w:name w:val="Appendix_No_S2"/>
    <w:basedOn w:val="AppendixNo"/>
    <w:next w:val="Appendixref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686973"/>
    <w:pPr>
      <w:tabs>
        <w:tab w:val="left" w:pos="851"/>
      </w:tabs>
      <w:jc w:val="left"/>
    </w:pPr>
    <w:rPr>
      <w:b/>
      <w:sz w:val="24"/>
    </w:rPr>
  </w:style>
  <w:style w:type="paragraph" w:customStyle="1" w:styleId="ArttitleS2">
    <w:name w:val="Art_title_S2"/>
    <w:basedOn w:val="Arttitle"/>
    <w:next w:val="NormalS2"/>
    <w:rsid w:val="00686973"/>
    <w:pPr>
      <w:tabs>
        <w:tab w:val="left" w:pos="851"/>
      </w:tabs>
      <w:jc w:val="left"/>
    </w:pPr>
    <w:rPr>
      <w:sz w:val="24"/>
    </w:rPr>
  </w:style>
  <w:style w:type="paragraph" w:customStyle="1" w:styleId="ChapNoS2">
    <w:name w:val="Chap_No_S2"/>
    <w:basedOn w:val="ChapNo"/>
    <w:next w:val="ChaptitleS2"/>
    <w:rsid w:val="005A4EFD"/>
    <w:pPr>
      <w:tabs>
        <w:tab w:val="left" w:pos="851"/>
      </w:tabs>
      <w:jc w:val="left"/>
    </w:pPr>
    <w:rPr>
      <w:b/>
      <w:sz w:val="24"/>
    </w:rPr>
  </w:style>
  <w:style w:type="paragraph" w:customStyle="1" w:styleId="ChaptitleS2">
    <w:name w:val="Chap_title_S2"/>
    <w:basedOn w:val="Chaptitle"/>
    <w:next w:val="NormalS2"/>
    <w:rsid w:val="00686973"/>
    <w:pPr>
      <w:tabs>
        <w:tab w:val="left" w:pos="851"/>
      </w:tabs>
      <w:jc w:val="left"/>
    </w:pPr>
    <w:rPr>
      <w:sz w:val="24"/>
    </w:rPr>
  </w:style>
  <w:style w:type="paragraph" w:customStyle="1" w:styleId="enumlev1S2">
    <w:name w:val="enumlev1_S2"/>
    <w:basedOn w:val="enumlev1"/>
    <w:rsid w:val="003A0B7D"/>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3A0B7D"/>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3A0B7D"/>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3A0B7D"/>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686973"/>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3A0B7D"/>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3A0B7D"/>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3A0B7D"/>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3A0B7D"/>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3A0B7D"/>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3A0B7D"/>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3A0B7D"/>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3A0B7D"/>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3A0B7D"/>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3A0B7D"/>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3A0B7D"/>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686973"/>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3A0B7D"/>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686973"/>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686973"/>
    <w:pPr>
      <w:tabs>
        <w:tab w:val="left" w:pos="851"/>
      </w:tabs>
      <w:jc w:val="left"/>
    </w:pPr>
    <w:rPr>
      <w:caps/>
      <w:sz w:val="24"/>
    </w:rPr>
  </w:style>
  <w:style w:type="paragraph" w:customStyle="1" w:styleId="Section2S2">
    <w:name w:val="Section 2_S2"/>
    <w:basedOn w:val="Section2"/>
    <w:next w:val="NormalS2"/>
    <w:rsid w:val="005A4EFD"/>
    <w:pPr>
      <w:tabs>
        <w:tab w:val="left" w:pos="851"/>
      </w:tabs>
      <w:jc w:val="left"/>
    </w:pPr>
    <w:rPr>
      <w:sz w:val="24"/>
    </w:rPr>
  </w:style>
  <w:style w:type="paragraph" w:customStyle="1" w:styleId="TableNoS2">
    <w:name w:val="Table_No_S2"/>
    <w:basedOn w:val="TableNo"/>
    <w:next w:val="TabletitleS2"/>
    <w:rsid w:val="003A0B7D"/>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3A0B7D"/>
    <w:pPr>
      <w:keepNext w:val="0"/>
      <w:tabs>
        <w:tab w:val="clear" w:pos="2948"/>
        <w:tab w:val="clear" w:pos="4082"/>
        <w:tab w:val="left" w:pos="851"/>
      </w:tabs>
      <w:jc w:val="left"/>
    </w:pPr>
  </w:style>
  <w:style w:type="paragraph" w:customStyle="1" w:styleId="TabletextS2">
    <w:name w:val="Table_text_S2"/>
    <w:basedOn w:val="Tabletext"/>
    <w:rsid w:val="003A0B7D"/>
    <w:pPr>
      <w:tabs>
        <w:tab w:val="left" w:pos="851"/>
      </w:tabs>
    </w:pPr>
    <w:rPr>
      <w:b/>
    </w:rPr>
  </w:style>
  <w:style w:type="paragraph" w:customStyle="1" w:styleId="TablelegendS2">
    <w:name w:val="Table_legend_S2"/>
    <w:basedOn w:val="Tablelegend"/>
    <w:rsid w:val="003A0B7D"/>
    <w:pPr>
      <w:tabs>
        <w:tab w:val="left" w:pos="851"/>
      </w:tabs>
      <w:spacing w:after="0"/>
    </w:pPr>
    <w:rPr>
      <w:b/>
    </w:rPr>
  </w:style>
  <w:style w:type="paragraph" w:customStyle="1" w:styleId="FooterS2">
    <w:name w:val="Footer_S2"/>
    <w:basedOn w:val="Footer"/>
    <w:rsid w:val="003A0B7D"/>
    <w:pPr>
      <w:tabs>
        <w:tab w:val="clear" w:pos="5954"/>
        <w:tab w:val="clear" w:pos="9639"/>
        <w:tab w:val="left" w:pos="3686"/>
        <w:tab w:val="right" w:pos="7655"/>
      </w:tabs>
      <w:ind w:left="-1985"/>
    </w:pPr>
  </w:style>
  <w:style w:type="paragraph" w:customStyle="1" w:styleId="HeaderS2">
    <w:name w:val="Header_S2"/>
    <w:basedOn w:val="Normal"/>
    <w:rsid w:val="003A0B7D"/>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3A0B7D"/>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3A0B7D"/>
    <w:pPr>
      <w:tabs>
        <w:tab w:val="left" w:pos="851"/>
      </w:tabs>
      <w:jc w:val="left"/>
    </w:pPr>
  </w:style>
  <w:style w:type="paragraph" w:customStyle="1" w:styleId="NoteS2">
    <w:name w:val="Note_S2"/>
    <w:basedOn w:val="Note"/>
    <w:rsid w:val="003A0B7D"/>
    <w:pPr>
      <w:tabs>
        <w:tab w:val="clear" w:pos="1134"/>
        <w:tab w:val="clear" w:pos="1701"/>
        <w:tab w:val="clear" w:pos="2268"/>
        <w:tab w:val="clear" w:pos="2835"/>
      </w:tabs>
    </w:pPr>
    <w:rPr>
      <w:b/>
    </w:rPr>
  </w:style>
  <w:style w:type="paragraph" w:customStyle="1" w:styleId="Heading1c">
    <w:name w:val="Heading 1c"/>
    <w:basedOn w:val="Heading1"/>
    <w:next w:val="Normal"/>
    <w:rsid w:val="00CC4DC5"/>
    <w:pPr>
      <w:ind w:left="0" w:firstLine="0"/>
      <w:jc w:val="center"/>
      <w:outlineLvl w:val="9"/>
    </w:pPr>
  </w:style>
  <w:style w:type="paragraph" w:customStyle="1" w:styleId="Heading2i">
    <w:name w:val="Heading 2i"/>
    <w:basedOn w:val="Heading2"/>
    <w:next w:val="Normal"/>
    <w:rsid w:val="005A4EFD"/>
    <w:rPr>
      <w:b w:val="0"/>
      <w:i/>
    </w:rPr>
  </w:style>
  <w:style w:type="paragraph" w:customStyle="1" w:styleId="Heading1cS2">
    <w:name w:val="Heading 1c_S2"/>
    <w:basedOn w:val="Heading1c"/>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FirstFooter">
    <w:name w:val="FirstFooter"/>
    <w:basedOn w:val="Footer"/>
    <w:rsid w:val="003A0B7D"/>
    <w:rPr>
      <w:caps w:val="0"/>
    </w:rPr>
  </w:style>
  <w:style w:type="paragraph" w:customStyle="1" w:styleId="Headingb">
    <w:name w:val="Heading_b"/>
    <w:basedOn w:val="Heading3"/>
    <w:next w:val="Normal"/>
    <w:rsid w:val="003A0B7D"/>
    <w:pPr>
      <w:spacing w:before="160"/>
      <w:outlineLvl w:val="0"/>
    </w:pPr>
  </w:style>
  <w:style w:type="paragraph" w:styleId="TOC9">
    <w:name w:val="toc 9"/>
    <w:basedOn w:val="Normal"/>
    <w:next w:val="Normal"/>
    <w:rsid w:val="003A0B7D"/>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5A4EFD"/>
    <w:pPr>
      <w:spacing w:before="160"/>
      <w:outlineLvl w:val="0"/>
    </w:pPr>
    <w:rPr>
      <w:b w:val="0"/>
      <w:i/>
    </w:rPr>
  </w:style>
  <w:style w:type="paragraph" w:customStyle="1" w:styleId="HeadingbS2">
    <w:name w:val="Headingb_S2"/>
    <w:basedOn w:val="Headingb"/>
    <w:next w:val="NormalS2"/>
    <w:rsid w:val="003A0B7D"/>
    <w:pPr>
      <w:tabs>
        <w:tab w:val="clear" w:pos="567"/>
        <w:tab w:val="clear" w:pos="1134"/>
        <w:tab w:val="clear" w:pos="1701"/>
        <w:tab w:val="clear" w:pos="2268"/>
        <w:tab w:val="clear" w:pos="2835"/>
        <w:tab w:val="left" w:pos="851"/>
      </w:tabs>
    </w:pPr>
  </w:style>
  <w:style w:type="paragraph" w:customStyle="1" w:styleId="HeadingiS2">
    <w:name w:val="Headingi_S2"/>
    <w:basedOn w:val="Headingi"/>
    <w:next w:val="NormalS2"/>
    <w:rsid w:val="003A0B7D"/>
    <w:pPr>
      <w:tabs>
        <w:tab w:val="clear" w:pos="567"/>
        <w:tab w:val="clear" w:pos="1134"/>
        <w:tab w:val="clear" w:pos="1701"/>
        <w:tab w:val="clear" w:pos="2268"/>
        <w:tab w:val="clear" w:pos="2835"/>
        <w:tab w:val="left" w:pos="851"/>
      </w:tabs>
    </w:pPr>
    <w:rPr>
      <w:b/>
      <w:i w:val="0"/>
    </w:rPr>
  </w:style>
  <w:style w:type="paragraph" w:customStyle="1" w:styleId="Heading2iS2">
    <w:name w:val="Heading 2i_S2"/>
    <w:basedOn w:val="Heading2i"/>
    <w:next w:val="NormalS2"/>
    <w:rsid w:val="003A0B7D"/>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5A4EFD"/>
    <w:rPr>
      <w:rFonts w:ascii="Calibri" w:hAnsi="Calibri"/>
    </w:rPr>
  </w:style>
  <w:style w:type="character" w:styleId="Hyperlink">
    <w:name w:val="Hyperlink"/>
    <w:basedOn w:val="DefaultParagraphFont"/>
    <w:uiPriority w:val="99"/>
    <w:rsid w:val="00CC4DC5"/>
    <w:rPr>
      <w:rFonts w:ascii="Calibri" w:hAnsi="Calibri"/>
      <w:color w:val="0000FF"/>
      <w:u w:val="single"/>
    </w:rPr>
  </w:style>
  <w:style w:type="paragraph" w:customStyle="1" w:styleId="firstfooter0">
    <w:name w:val="firstfooter"/>
    <w:basedOn w:val="Normal"/>
    <w:rsid w:val="00966CD3"/>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3A0B7D"/>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3A0B7D"/>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686973"/>
    <w:pPr>
      <w:spacing w:before="320"/>
      <w:outlineLvl w:val="1"/>
    </w:pPr>
    <w:rPr>
      <w:sz w:val="24"/>
    </w:rPr>
  </w:style>
  <w:style w:type="paragraph" w:customStyle="1" w:styleId="Heading3pv">
    <w:name w:val="Heading 3pv"/>
    <w:basedOn w:val="Heading1pv"/>
    <w:next w:val="Normalpv"/>
    <w:rsid w:val="00686973"/>
    <w:pPr>
      <w:spacing w:before="200"/>
      <w:outlineLvl w:val="2"/>
    </w:pPr>
    <w:rPr>
      <w:sz w:val="24"/>
    </w:rPr>
  </w:style>
  <w:style w:type="paragraph" w:customStyle="1" w:styleId="NormalendS2">
    <w:name w:val="Normal_end_S2"/>
    <w:basedOn w:val="Normal"/>
    <w:qFormat/>
    <w:rsid w:val="006C7AE3"/>
  </w:style>
  <w:style w:type="paragraph" w:customStyle="1" w:styleId="Dectitle">
    <w:name w:val="Dec_title"/>
    <w:basedOn w:val="Restitle"/>
    <w:next w:val="Normalaftertitle"/>
    <w:qFormat/>
    <w:rsid w:val="00C92746"/>
  </w:style>
  <w:style w:type="paragraph" w:customStyle="1" w:styleId="DecNo">
    <w:name w:val="Dec_No"/>
    <w:basedOn w:val="ResNo"/>
    <w:next w:val="Dectitle"/>
    <w:qFormat/>
    <w:rsid w:val="00C92746"/>
  </w:style>
  <w:style w:type="paragraph" w:customStyle="1" w:styleId="DectitleS2">
    <w:name w:val="Dec_title_S2"/>
    <w:basedOn w:val="RestitleS2"/>
    <w:next w:val="Normal"/>
    <w:qFormat/>
    <w:rsid w:val="00C92746"/>
  </w:style>
  <w:style w:type="paragraph" w:customStyle="1" w:styleId="DecNoS2">
    <w:name w:val="Dec_No_S2"/>
    <w:basedOn w:val="ResNoS2"/>
    <w:next w:val="DectitleS2"/>
    <w:qFormat/>
    <w:rsid w:val="00C92746"/>
  </w:style>
  <w:style w:type="paragraph" w:customStyle="1" w:styleId="SectionNo">
    <w:name w:val="Section_No"/>
    <w:basedOn w:val="ArtNo"/>
    <w:next w:val="Normal"/>
    <w:qFormat/>
    <w:rsid w:val="0090735B"/>
    <w:rPr>
      <w:lang w:val="en-GB"/>
    </w:rPr>
  </w:style>
  <w:style w:type="paragraph" w:customStyle="1" w:styleId="SectionNoS2">
    <w:name w:val="Section_No_S2"/>
    <w:basedOn w:val="ArtNoS2"/>
    <w:next w:val="Normal"/>
    <w:qFormat/>
    <w:rsid w:val="0090735B"/>
    <w:rPr>
      <w:lang w:val="en-GB"/>
    </w:rPr>
  </w:style>
  <w:style w:type="paragraph" w:customStyle="1" w:styleId="Sectiontitle">
    <w:name w:val="Section_title"/>
    <w:basedOn w:val="Arttitle"/>
    <w:next w:val="Normalaftertitle"/>
    <w:qFormat/>
    <w:rsid w:val="0090735B"/>
    <w:rPr>
      <w:lang w:val="en-GB"/>
    </w:rPr>
  </w:style>
  <w:style w:type="paragraph" w:customStyle="1" w:styleId="SectiontitleS2">
    <w:name w:val="Section_title_S2"/>
    <w:basedOn w:val="ArttitleS2"/>
    <w:next w:val="Normal"/>
    <w:qFormat/>
    <w:rsid w:val="0090735B"/>
    <w:rPr>
      <w:lang w:val="en-GB"/>
    </w:rPr>
  </w:style>
  <w:style w:type="paragraph" w:customStyle="1" w:styleId="Proposal">
    <w:name w:val="Proposal"/>
    <w:basedOn w:val="Normal"/>
    <w:next w:val="Normal"/>
    <w:rsid w:val="008B61AF"/>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BD1614"/>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fr-CH"/>
    </w:rPr>
  </w:style>
  <w:style w:type="paragraph" w:customStyle="1" w:styleId="Committee">
    <w:name w:val="Committee"/>
    <w:basedOn w:val="Normal"/>
    <w:qFormat/>
    <w:rsid w:val="00BD1614"/>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zCs w:val="24"/>
      <w:lang w:val="en-US"/>
    </w:rPr>
  </w:style>
  <w:style w:type="character" w:customStyle="1" w:styleId="HeaderChar">
    <w:name w:val="Header Char"/>
    <w:basedOn w:val="DefaultParagraphFont"/>
    <w:link w:val="Header"/>
    <w:rsid w:val="00BD1614"/>
    <w:rPr>
      <w:rFonts w:ascii="Calibri" w:hAnsi="Calibri"/>
      <w:sz w:val="18"/>
      <w:lang w:val="fr-FR" w:eastAsia="en-US"/>
    </w:rPr>
  </w:style>
  <w:style w:type="paragraph" w:styleId="BalloonText">
    <w:name w:val="Balloon Text"/>
    <w:basedOn w:val="Normal"/>
    <w:link w:val="BalloonTextChar"/>
    <w:rsid w:val="00AE0667"/>
    <w:pPr>
      <w:spacing w:before="0"/>
    </w:pPr>
    <w:rPr>
      <w:rFonts w:ascii="Tahoma" w:hAnsi="Tahoma" w:cs="Tahoma"/>
      <w:sz w:val="16"/>
      <w:szCs w:val="16"/>
    </w:rPr>
  </w:style>
  <w:style w:type="character" w:customStyle="1" w:styleId="BalloonTextChar">
    <w:name w:val="Balloon Text Char"/>
    <w:basedOn w:val="DefaultParagraphFont"/>
    <w:link w:val="BalloonText"/>
    <w:rsid w:val="00AE0667"/>
    <w:rPr>
      <w:rFonts w:ascii="Tahoma" w:hAnsi="Tahoma" w:cs="Tahoma"/>
      <w:sz w:val="16"/>
      <w:szCs w:val="16"/>
      <w:lang w:val="fr-FR" w:eastAsia="en-US"/>
    </w:rPr>
  </w:style>
  <w:style w:type="paragraph" w:customStyle="1" w:styleId="OP">
    <w:name w:val="OP"/>
    <w:basedOn w:val="Normal"/>
    <w:next w:val="Normal"/>
    <w:qFormat/>
    <w:rsid w:val="00D5658F"/>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lang w:val="en-GB"/>
    </w:rPr>
  </w:style>
  <w:style w:type="paragraph" w:customStyle="1" w:styleId="OPtitle">
    <w:name w:val="OP_title"/>
    <w:basedOn w:val="Normal"/>
    <w:next w:val="Normalaftertitle"/>
    <w:qFormat/>
    <w:rsid w:val="00D5658F"/>
    <w:pPr>
      <w:jc w:val="center"/>
    </w:pPr>
    <w:rPr>
      <w:b/>
      <w:bCs/>
      <w:lang w:val="en-GB"/>
    </w:rPr>
  </w:style>
  <w:style w:type="paragraph" w:customStyle="1" w:styleId="VolumeTitle">
    <w:name w:val="VolumeTitle"/>
    <w:basedOn w:val="Normal"/>
    <w:next w:val="Normal"/>
    <w:rsid w:val="00270B2F"/>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character" w:customStyle="1" w:styleId="href">
    <w:name w:val="href"/>
    <w:basedOn w:val="DefaultParagraphFont"/>
    <w:rsid w:val="006710E6"/>
    <w:rPr>
      <w:color w:val="auto"/>
    </w:rPr>
  </w:style>
  <w:style w:type="character" w:styleId="UnresolvedMention">
    <w:name w:val="Unresolved Mention"/>
    <w:basedOn w:val="DefaultParagraphFont"/>
    <w:uiPriority w:val="99"/>
    <w:semiHidden/>
    <w:unhideWhenUsed/>
    <w:rsid w:val="007575CC"/>
    <w:rPr>
      <w:color w:val="605E5C"/>
      <w:shd w:val="clear" w:color="auto" w:fill="E1DFDD"/>
    </w:rPr>
  </w:style>
  <w:style w:type="character" w:styleId="FollowedHyperlink">
    <w:name w:val="FollowedHyperlink"/>
    <w:basedOn w:val="DefaultParagraphFont"/>
    <w:semiHidden/>
    <w:unhideWhenUsed/>
    <w:rsid w:val="00901E77"/>
    <w:rPr>
      <w:color w:val="800080" w:themeColor="followedHyperlink"/>
      <w:u w:val="single"/>
    </w:rPr>
  </w:style>
  <w:style w:type="character" w:styleId="PlaceholderText">
    <w:name w:val="Placeholder Text"/>
    <w:basedOn w:val="DefaultParagraphFont"/>
    <w:uiPriority w:val="99"/>
    <w:semiHidden/>
    <w:rsid w:val="00490624"/>
    <w:rPr>
      <w:color w:val="666666"/>
    </w:rPr>
  </w:style>
  <w:style w:type="paragraph" w:styleId="ListParagraph">
    <w:name w:val="List Paragraph"/>
    <w:basedOn w:val="Normal"/>
    <w:link w:val="ListParagraphChar"/>
    <w:uiPriority w:val="34"/>
    <w:qFormat/>
    <w:rsid w:val="00C550C5"/>
    <w:pPr>
      <w:tabs>
        <w:tab w:val="clear" w:pos="567"/>
        <w:tab w:val="left" w:pos="851"/>
      </w:tabs>
      <w:ind w:left="720"/>
      <w:contextualSpacing/>
    </w:pPr>
    <w:rPr>
      <w:lang w:val="en-GB"/>
    </w:rPr>
  </w:style>
  <w:style w:type="character" w:customStyle="1" w:styleId="ListParagraphChar">
    <w:name w:val="List Paragraph Char"/>
    <w:link w:val="ListParagraph"/>
    <w:uiPriority w:val="34"/>
    <w:locked/>
    <w:rsid w:val="00C550C5"/>
    <w:rPr>
      <w:rFonts w:ascii="Calibri" w:hAnsi="Calibri"/>
      <w:sz w:val="24"/>
      <w:lang w:val="en-GB" w:eastAsia="en-US"/>
    </w:rPr>
  </w:style>
  <w:style w:type="character" w:styleId="CommentReference">
    <w:name w:val="annotation reference"/>
    <w:basedOn w:val="DefaultParagraphFont"/>
    <w:semiHidden/>
    <w:unhideWhenUsed/>
    <w:rsid w:val="00717FAC"/>
    <w:rPr>
      <w:sz w:val="16"/>
      <w:szCs w:val="16"/>
    </w:rPr>
  </w:style>
  <w:style w:type="paragraph" w:styleId="CommentText">
    <w:name w:val="annotation text"/>
    <w:basedOn w:val="Normal"/>
    <w:link w:val="CommentTextChar"/>
    <w:semiHidden/>
    <w:unhideWhenUsed/>
    <w:rsid w:val="00717FAC"/>
    <w:rPr>
      <w:sz w:val="20"/>
    </w:rPr>
  </w:style>
  <w:style w:type="character" w:customStyle="1" w:styleId="CommentTextChar">
    <w:name w:val="Comment Text Char"/>
    <w:basedOn w:val="DefaultParagraphFont"/>
    <w:link w:val="CommentText"/>
    <w:semiHidden/>
    <w:rsid w:val="00717FAC"/>
    <w:rPr>
      <w:rFonts w:ascii="Calibri" w:hAnsi="Calibri"/>
      <w:lang w:val="fr-FR" w:eastAsia="en-US"/>
    </w:rPr>
  </w:style>
  <w:style w:type="paragraph" w:styleId="CommentSubject">
    <w:name w:val="annotation subject"/>
    <w:basedOn w:val="CommentText"/>
    <w:next w:val="CommentText"/>
    <w:link w:val="CommentSubjectChar"/>
    <w:semiHidden/>
    <w:unhideWhenUsed/>
    <w:rsid w:val="00717FAC"/>
    <w:rPr>
      <w:b/>
      <w:bCs/>
    </w:rPr>
  </w:style>
  <w:style w:type="character" w:customStyle="1" w:styleId="CommentSubjectChar">
    <w:name w:val="Comment Subject Char"/>
    <w:basedOn w:val="CommentTextChar"/>
    <w:link w:val="CommentSubject"/>
    <w:semiHidden/>
    <w:rsid w:val="00717FAC"/>
    <w:rPr>
      <w:rFonts w:ascii="Calibri" w:hAnsi="Calibri"/>
      <w:b/>
      <w:bCs/>
      <w:lang w:val="fr-FR" w:eastAsia="en-US"/>
    </w:rPr>
  </w:style>
  <w:style w:type="paragraph" w:styleId="Revision">
    <w:name w:val="Revision"/>
    <w:hidden/>
    <w:uiPriority w:val="99"/>
    <w:semiHidden/>
    <w:rsid w:val="00717FAC"/>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1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F2A05-FD7E-4093-9702-679374771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2315</Words>
  <Characters>13199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15484</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d'avis 2 - Transformation numérique écologique: changements climatiques et durabilité environnementale</dc:title>
  <dc:subject>World telecommunication/information and communication technology policy forum</dc:subject>
  <cp:keywords>WTPF, WTPF-26</cp:keywords>
  <dc:description/>
  <dcterms:created xsi:type="dcterms:W3CDTF">2026-08-20T15:09:00Z</dcterms:created>
  <dcterms:modified xsi:type="dcterms:W3CDTF">2026-08-20T15:12:00Z</dcterms:modified>
  <cp:category>Conference document</cp:category>
</cp:coreProperties>
</file>