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675"/>
        <w:tblW w:w="10031" w:type="dxa"/>
        <w:jc w:val="center"/>
        <w:tblLayout w:type="fixed"/>
        <w:tblLook w:val="0000" w:firstRow="0" w:lastRow="0" w:firstColumn="0" w:lastColumn="0" w:noHBand="0" w:noVBand="0"/>
      </w:tblPr>
      <w:tblGrid>
        <w:gridCol w:w="6946"/>
        <w:gridCol w:w="3085"/>
      </w:tblGrid>
      <w:tr w:rsidR="00BF32F2" w:rsidRPr="006B5C62" w14:paraId="54DD472F" w14:textId="77777777" w:rsidTr="00DB336C">
        <w:trPr>
          <w:cantSplit/>
          <w:trHeight w:hRule="exact" w:val="1418"/>
          <w:jc w:val="center"/>
        </w:trPr>
        <w:tc>
          <w:tcPr>
            <w:tcW w:w="10031" w:type="dxa"/>
            <w:gridSpan w:val="2"/>
            <w:tcMar>
              <w:left w:w="0" w:type="dxa"/>
              <w:right w:w="0" w:type="dxa"/>
            </w:tcMar>
            <w:vAlign w:val="center"/>
          </w:tcPr>
          <w:p w14:paraId="1394F73B" w14:textId="77777777" w:rsidR="00BF32F2" w:rsidRPr="006B5C62" w:rsidRDefault="00682039" w:rsidP="00BF32F2">
            <w:pPr>
              <w:spacing w:before="0" w:line="240" w:lineRule="atLeast"/>
              <w:rPr>
                <w:rFonts w:cstheme="minorHAnsi"/>
              </w:rPr>
            </w:pPr>
            <w:r>
              <w:rPr>
                <w:rFonts w:cstheme="minorHAnsi"/>
                <w:noProof/>
              </w:rPr>
              <w:drawing>
                <wp:inline distT="0" distB="0" distL="0" distR="0" wp14:anchorId="3091070D" wp14:editId="46C84C79">
                  <wp:extent cx="6660000" cy="971793"/>
                  <wp:effectExtent l="0" t="0" r="7620" b="0"/>
                  <wp:docPr id="1394562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562956" name="Picture 1394562956"/>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60000" cy="971793"/>
                          </a:xfrm>
                          <a:prstGeom prst="rect">
                            <a:avLst/>
                          </a:prstGeom>
                        </pic:spPr>
                      </pic:pic>
                    </a:graphicData>
                  </a:graphic>
                </wp:inline>
              </w:drawing>
            </w:r>
          </w:p>
        </w:tc>
      </w:tr>
      <w:tr w:rsidR="00277985" w:rsidRPr="006B5C62" w14:paraId="5CB17DF5" w14:textId="77777777" w:rsidTr="005A329F">
        <w:trPr>
          <w:cantSplit/>
          <w:trHeight w:val="283"/>
          <w:jc w:val="center"/>
        </w:trPr>
        <w:tc>
          <w:tcPr>
            <w:tcW w:w="10031" w:type="dxa"/>
            <w:gridSpan w:val="2"/>
            <w:tcBorders>
              <w:bottom w:val="single" w:sz="12" w:space="0" w:color="71716F"/>
            </w:tcBorders>
          </w:tcPr>
          <w:p w14:paraId="4800AB1E" w14:textId="77777777" w:rsidR="00277985" w:rsidRPr="006B5C62" w:rsidRDefault="00277985" w:rsidP="00BF32F2">
            <w:pPr>
              <w:spacing w:before="0" w:line="240" w:lineRule="atLeast"/>
              <w:rPr>
                <w:rFonts w:cstheme="minorHAnsi"/>
                <w:b/>
                <w:smallCaps/>
                <w:szCs w:val="24"/>
              </w:rPr>
            </w:pPr>
            <w:bookmarkStart w:id="0" w:name="dhead"/>
          </w:p>
        </w:tc>
      </w:tr>
      <w:tr w:rsidR="00255FA1" w:rsidRPr="006B5C62" w14:paraId="69B53B1E" w14:textId="77777777" w:rsidTr="00DB336C">
        <w:trPr>
          <w:cantSplit/>
          <w:trHeight w:val="255"/>
          <w:jc w:val="center"/>
        </w:trPr>
        <w:tc>
          <w:tcPr>
            <w:tcW w:w="6946" w:type="dxa"/>
            <w:tcBorders>
              <w:top w:val="single" w:sz="12" w:space="0" w:color="71716F"/>
            </w:tcBorders>
          </w:tcPr>
          <w:p w14:paraId="2039F49A" w14:textId="77777777" w:rsidR="00255FA1" w:rsidRPr="003C1B77" w:rsidRDefault="00255FA1" w:rsidP="003C1B77">
            <w:pPr>
              <w:spacing w:before="0"/>
              <w:rPr>
                <w:b/>
                <w:bCs/>
              </w:rPr>
            </w:pPr>
          </w:p>
        </w:tc>
        <w:tc>
          <w:tcPr>
            <w:tcW w:w="3085" w:type="dxa"/>
            <w:tcBorders>
              <w:top w:val="single" w:sz="12" w:space="0" w:color="71716F"/>
            </w:tcBorders>
          </w:tcPr>
          <w:p w14:paraId="6A696E31" w14:textId="77777777" w:rsidR="00255FA1" w:rsidRPr="003C1B77" w:rsidRDefault="00255FA1" w:rsidP="00BF32F2">
            <w:pPr>
              <w:spacing w:before="0"/>
            </w:pPr>
          </w:p>
        </w:tc>
      </w:tr>
      <w:bookmarkEnd w:id="0"/>
      <w:tr w:rsidR="00075113" w:rsidRPr="006B5C62" w14:paraId="235C9686" w14:textId="77777777" w:rsidTr="00DB336C">
        <w:trPr>
          <w:cantSplit/>
          <w:jc w:val="center"/>
        </w:trPr>
        <w:tc>
          <w:tcPr>
            <w:tcW w:w="6946" w:type="dxa"/>
          </w:tcPr>
          <w:p w14:paraId="68A9EEA0" w14:textId="77777777" w:rsidR="00075113" w:rsidRPr="006B5C62" w:rsidRDefault="00075113" w:rsidP="00075113">
            <w:pPr>
              <w:pStyle w:val="Committee"/>
              <w:framePr w:hSpace="0" w:wrap="auto" w:hAnchor="text" w:yAlign="inline"/>
              <w:spacing w:after="0" w:line="240" w:lineRule="auto"/>
              <w:rPr>
                <w:lang w:val="es-ES_tradnl"/>
              </w:rPr>
            </w:pPr>
          </w:p>
        </w:tc>
        <w:tc>
          <w:tcPr>
            <w:tcW w:w="3085" w:type="dxa"/>
          </w:tcPr>
          <w:p w14:paraId="5A344C36" w14:textId="0B22AE8F" w:rsidR="00075113" w:rsidRPr="006B5C62" w:rsidRDefault="00075113" w:rsidP="003C1B77">
            <w:pPr>
              <w:spacing w:before="0"/>
            </w:pPr>
          </w:p>
        </w:tc>
      </w:tr>
      <w:tr w:rsidR="00075113" w:rsidRPr="006B5C62" w14:paraId="78004F6B" w14:textId="77777777" w:rsidTr="00DB336C">
        <w:trPr>
          <w:cantSplit/>
          <w:jc w:val="center"/>
        </w:trPr>
        <w:tc>
          <w:tcPr>
            <w:tcW w:w="6946" w:type="dxa"/>
          </w:tcPr>
          <w:p w14:paraId="32076387" w14:textId="77777777" w:rsidR="00075113" w:rsidRPr="003C1B77" w:rsidRDefault="00075113" w:rsidP="00075113">
            <w:pPr>
              <w:spacing w:before="0"/>
              <w:rPr>
                <w:b/>
                <w:bCs/>
              </w:rPr>
            </w:pPr>
          </w:p>
        </w:tc>
        <w:tc>
          <w:tcPr>
            <w:tcW w:w="3085" w:type="dxa"/>
          </w:tcPr>
          <w:p w14:paraId="60820B81" w14:textId="4E0E06AB" w:rsidR="00075113" w:rsidRPr="003C1B77" w:rsidRDefault="003C1B77" w:rsidP="00075113">
            <w:pPr>
              <w:spacing w:before="0"/>
              <w:rPr>
                <w:b/>
                <w:bCs/>
              </w:rPr>
            </w:pPr>
            <w:r w:rsidRPr="003C1B77">
              <w:rPr>
                <w:b/>
                <w:bCs/>
              </w:rPr>
              <w:t>29 de abril de 2026</w:t>
            </w:r>
          </w:p>
        </w:tc>
      </w:tr>
      <w:tr w:rsidR="00075113" w:rsidRPr="006B5C62" w14:paraId="3963BB5D" w14:textId="77777777" w:rsidTr="00DB336C">
        <w:trPr>
          <w:cantSplit/>
          <w:jc w:val="center"/>
        </w:trPr>
        <w:tc>
          <w:tcPr>
            <w:tcW w:w="6946" w:type="dxa"/>
          </w:tcPr>
          <w:p w14:paraId="3EF3A9DE" w14:textId="77777777" w:rsidR="00075113" w:rsidRPr="003C1B77" w:rsidRDefault="00075113" w:rsidP="00075113">
            <w:pPr>
              <w:spacing w:before="0"/>
              <w:rPr>
                <w:b/>
                <w:bCs/>
              </w:rPr>
            </w:pPr>
          </w:p>
        </w:tc>
        <w:tc>
          <w:tcPr>
            <w:tcW w:w="3085" w:type="dxa"/>
          </w:tcPr>
          <w:p w14:paraId="24C87601" w14:textId="77777777" w:rsidR="00075113" w:rsidRPr="003C1B77" w:rsidRDefault="00075113" w:rsidP="003C1B77">
            <w:pPr>
              <w:spacing w:before="0"/>
              <w:rPr>
                <w:b/>
                <w:bCs/>
              </w:rPr>
            </w:pPr>
            <w:r w:rsidRPr="003C1B77">
              <w:rPr>
                <w:b/>
                <w:bCs/>
              </w:rPr>
              <w:t>Original: inglés</w:t>
            </w:r>
          </w:p>
        </w:tc>
      </w:tr>
      <w:tr w:rsidR="00075113" w:rsidRPr="006B5C62" w14:paraId="1F30108C" w14:textId="77777777" w:rsidTr="005A329F">
        <w:trPr>
          <w:cantSplit/>
          <w:jc w:val="center"/>
        </w:trPr>
        <w:tc>
          <w:tcPr>
            <w:tcW w:w="10031" w:type="dxa"/>
            <w:gridSpan w:val="2"/>
          </w:tcPr>
          <w:p w14:paraId="42179EB3" w14:textId="77777777" w:rsidR="00075113" w:rsidRPr="003C1B77" w:rsidRDefault="00075113" w:rsidP="003C1B77">
            <w:pPr>
              <w:spacing w:before="0"/>
              <w:rPr>
                <w:b/>
                <w:bCs/>
              </w:rPr>
            </w:pPr>
          </w:p>
        </w:tc>
      </w:tr>
    </w:tbl>
    <w:p w14:paraId="63FFE57D" w14:textId="77777777" w:rsidR="005677A5" w:rsidRPr="005677A5" w:rsidRDefault="005677A5" w:rsidP="005677A5">
      <w:pPr>
        <w:pStyle w:val="OpNo"/>
      </w:pPr>
      <w:r w:rsidRPr="005677A5">
        <w:t>PROYECTO DE OPINIÓN 1</w:t>
      </w:r>
    </w:p>
    <w:p w14:paraId="6B13D2E9" w14:textId="6E0B6E69" w:rsidR="005677A5" w:rsidRPr="00A8107B" w:rsidRDefault="005677A5" w:rsidP="005677A5">
      <w:pPr>
        <w:pStyle w:val="Optitle0"/>
        <w:rPr>
          <w:lang w:val="es-ES"/>
        </w:rPr>
      </w:pPr>
      <w:r w:rsidRPr="00A8107B">
        <w:rPr>
          <w:lang w:val="es-ES"/>
        </w:rPr>
        <w:t xml:space="preserve">La reducción de las brechas digitales, en particular las relativas al género </w:t>
      </w:r>
      <w:r w:rsidR="00A8107B">
        <w:rPr>
          <w:lang w:val="es-ES"/>
        </w:rPr>
        <w:br/>
      </w:r>
      <w:r w:rsidRPr="00A8107B">
        <w:rPr>
          <w:lang w:val="es-ES"/>
        </w:rPr>
        <w:t>y la edad, así como a las competencias y la conectividad</w:t>
      </w:r>
    </w:p>
    <w:p w14:paraId="728F2110" w14:textId="77777777" w:rsidR="005677A5" w:rsidRPr="005677A5" w:rsidRDefault="005677A5" w:rsidP="005677A5">
      <w:pPr>
        <w:pStyle w:val="Normalaftertitle"/>
      </w:pPr>
      <w:r w:rsidRPr="005677A5">
        <w:t>El séptimo Foro Mundial de Política de Telecomunicaciones/TIC (Nassau, 2026),</w:t>
      </w:r>
    </w:p>
    <w:p w14:paraId="77F45CB8" w14:textId="77777777" w:rsidR="005677A5" w:rsidRPr="005677A5" w:rsidRDefault="005677A5" w:rsidP="005677A5">
      <w:pPr>
        <w:pStyle w:val="Call"/>
      </w:pPr>
      <w:r w:rsidRPr="005677A5">
        <w:t>recordando</w:t>
      </w:r>
    </w:p>
    <w:p w14:paraId="7495ED0F" w14:textId="7CEB1993" w:rsidR="005677A5" w:rsidRPr="005677A5" w:rsidRDefault="005677A5" w:rsidP="007573C6">
      <w:pPr>
        <w:jc w:val="both"/>
      </w:pPr>
      <w:r w:rsidRPr="005677A5">
        <w:rPr>
          <w:i/>
          <w:iCs/>
        </w:rPr>
        <w:t>a)</w:t>
      </w:r>
      <w:r w:rsidRPr="005677A5">
        <w:tab/>
        <w:t>la Resolución</w:t>
      </w:r>
      <w:r>
        <w:t> </w:t>
      </w:r>
      <w:r w:rsidRPr="005677A5">
        <w:t>70/1 de la Asamblea General de las Naciones Unidas (AGNU), sobre la transformación de nuestro mundo: la Agenda</w:t>
      </w:r>
      <w:r>
        <w:t> </w:t>
      </w:r>
      <w:r w:rsidRPr="005677A5">
        <w:t>2030 para el Desarrollo Sostenible;</w:t>
      </w:r>
    </w:p>
    <w:p w14:paraId="36B46025" w14:textId="1A71A7DF" w:rsidR="005677A5" w:rsidRPr="005677A5" w:rsidRDefault="005677A5" w:rsidP="007573C6">
      <w:pPr>
        <w:jc w:val="both"/>
      </w:pPr>
      <w:r w:rsidRPr="005677A5">
        <w:rPr>
          <w:i/>
          <w:iCs/>
        </w:rPr>
        <w:t>b)</w:t>
      </w:r>
      <w:r w:rsidRPr="005677A5">
        <w:tab/>
        <w:t>la Resolución</w:t>
      </w:r>
      <w:r>
        <w:t> </w:t>
      </w:r>
      <w:r w:rsidRPr="005677A5">
        <w:t>80/173 de la</w:t>
      </w:r>
      <w:r w:rsidR="001F2819">
        <w:t> </w:t>
      </w:r>
      <w:r w:rsidRPr="005677A5">
        <w:t>AGNU, sobre el documento final de la reunión de alto nivel sobre el examen general de la aplicación de los resultados de la Cumbre Mundial sobre la Sociedad de la Información (CMSI+20);</w:t>
      </w:r>
    </w:p>
    <w:p w14:paraId="40D9437C" w14:textId="0E75A8E4" w:rsidR="005677A5" w:rsidRPr="005677A5" w:rsidRDefault="005677A5" w:rsidP="007573C6">
      <w:pPr>
        <w:jc w:val="both"/>
      </w:pPr>
      <w:r w:rsidRPr="005677A5">
        <w:rPr>
          <w:i/>
          <w:iCs/>
        </w:rPr>
        <w:t>c)</w:t>
      </w:r>
      <w:r w:rsidRPr="005677A5">
        <w:tab/>
        <w:t>la Resolución</w:t>
      </w:r>
      <w:r>
        <w:t> </w:t>
      </w:r>
      <w:r w:rsidRPr="005677A5">
        <w:t>78/311 de la</w:t>
      </w:r>
      <w:r>
        <w:t> </w:t>
      </w:r>
      <w:r w:rsidRPr="005677A5">
        <w:t>AGNU, sobre el aumento de la cooperación internacional para la creación de capacidad en materia de inteligencia artificial;</w:t>
      </w:r>
    </w:p>
    <w:p w14:paraId="69FEAFEE" w14:textId="773286B3" w:rsidR="005677A5" w:rsidRPr="007573C6" w:rsidRDefault="005677A5" w:rsidP="007573C6">
      <w:pPr>
        <w:jc w:val="both"/>
        <w:rPr>
          <w:spacing w:val="-2"/>
        </w:rPr>
      </w:pPr>
      <w:r w:rsidRPr="007573C6">
        <w:rPr>
          <w:i/>
          <w:iCs/>
          <w:spacing w:val="-2"/>
        </w:rPr>
        <w:t>d)</w:t>
      </w:r>
      <w:r w:rsidRPr="007573C6">
        <w:rPr>
          <w:spacing w:val="-2"/>
        </w:rPr>
        <w:tab/>
        <w:t>la Resolución 11 (Rev. </w:t>
      </w:r>
      <w:r w:rsidR="00D935F7" w:rsidRPr="007573C6">
        <w:rPr>
          <w:spacing w:val="-2"/>
        </w:rPr>
        <w:t>Bakú</w:t>
      </w:r>
      <w:r w:rsidRPr="007573C6">
        <w:rPr>
          <w:spacing w:val="-2"/>
        </w:rPr>
        <w:t>, </w:t>
      </w:r>
      <w:r w:rsidR="00D935F7" w:rsidRPr="007573C6">
        <w:rPr>
          <w:spacing w:val="-2"/>
        </w:rPr>
        <w:t>2025</w:t>
      </w:r>
      <w:r w:rsidRPr="007573C6">
        <w:rPr>
          <w:spacing w:val="-2"/>
        </w:rPr>
        <w:t xml:space="preserve">) de la Conferencia Mundial de Desarrollo de las Telecomunicaciones (CMDT), sobre los servicios de telecomunicaciones/tecnologías de la información y la comunicación (TIC) en las zonas rurales, </w:t>
      </w:r>
      <w:r w:rsidR="00D935F7" w:rsidRPr="007573C6">
        <w:rPr>
          <w:spacing w:val="-2"/>
        </w:rPr>
        <w:t>desatendidas</w:t>
      </w:r>
      <w:r w:rsidRPr="007573C6">
        <w:rPr>
          <w:spacing w:val="-2"/>
        </w:rPr>
        <w:t xml:space="preserve"> e insuficientemente atendidas;</w:t>
      </w:r>
    </w:p>
    <w:p w14:paraId="6AB02D07" w14:textId="535FD5B6" w:rsidR="005677A5" w:rsidRPr="005677A5" w:rsidRDefault="005677A5" w:rsidP="007573C6">
      <w:pPr>
        <w:jc w:val="both"/>
      </w:pPr>
      <w:r w:rsidRPr="005677A5">
        <w:rPr>
          <w:i/>
          <w:iCs/>
        </w:rPr>
        <w:t>e)</w:t>
      </w:r>
      <w:r w:rsidRPr="005677A5">
        <w:tab/>
        <w:t>la Resolución</w:t>
      </w:r>
      <w:r>
        <w:t> </w:t>
      </w:r>
      <w:r w:rsidRPr="005677A5">
        <w:t>37 (Rev.</w:t>
      </w:r>
      <w:r>
        <w:t> </w:t>
      </w:r>
      <w:r w:rsidRPr="005677A5">
        <w:t>Bakú,</w:t>
      </w:r>
      <w:r>
        <w:t> </w:t>
      </w:r>
      <w:r w:rsidRPr="005677A5">
        <w:t>2025) de la</w:t>
      </w:r>
      <w:r>
        <w:t> </w:t>
      </w:r>
      <w:r w:rsidRPr="005677A5">
        <w:t>CMDT, sobre la reducción de la brecha digital;</w:t>
      </w:r>
    </w:p>
    <w:p w14:paraId="03BC5125" w14:textId="6866887F" w:rsidR="005677A5" w:rsidRPr="005677A5" w:rsidRDefault="005677A5" w:rsidP="007573C6">
      <w:pPr>
        <w:jc w:val="both"/>
      </w:pPr>
      <w:r w:rsidRPr="005677A5">
        <w:rPr>
          <w:i/>
          <w:iCs/>
        </w:rPr>
        <w:t>f)</w:t>
      </w:r>
      <w:r w:rsidRPr="005677A5">
        <w:tab/>
        <w:t>la Resolución</w:t>
      </w:r>
      <w:r>
        <w:t> </w:t>
      </w:r>
      <w:r w:rsidRPr="005677A5">
        <w:t>55 (Rev.</w:t>
      </w:r>
      <w:r>
        <w:t> </w:t>
      </w:r>
      <w:r w:rsidRPr="005677A5">
        <w:t>Bakú,</w:t>
      </w:r>
      <w:r>
        <w:t> </w:t>
      </w:r>
      <w:r w:rsidRPr="005677A5">
        <w:t>2025) de la</w:t>
      </w:r>
      <w:r>
        <w:t> </w:t>
      </w:r>
      <w:r w:rsidRPr="005677A5">
        <w:t>CMDT, sobre la integración de una perspectiva de género en el Sector de Desarrollo de las Telecomunicaciones de la</w:t>
      </w:r>
      <w:r w:rsidR="00A8107B">
        <w:t> </w:t>
      </w:r>
      <w:r w:rsidRPr="005677A5">
        <w:t>UIT y la promoción de la igualdad de género y el empoderamiento de las mujeres y las niñas por medio de las telecomunicaciones/</w:t>
      </w:r>
      <w:r w:rsidR="00D935F7">
        <w:t>TIC</w:t>
      </w:r>
      <w:r w:rsidRPr="005677A5">
        <w:t>;</w:t>
      </w:r>
    </w:p>
    <w:p w14:paraId="6A81A59F" w14:textId="408F5990" w:rsidR="005677A5" w:rsidRPr="005677A5" w:rsidRDefault="005677A5" w:rsidP="007573C6">
      <w:pPr>
        <w:jc w:val="both"/>
      </w:pPr>
      <w:r w:rsidRPr="005677A5">
        <w:rPr>
          <w:i/>
          <w:iCs/>
        </w:rPr>
        <w:t>g)</w:t>
      </w:r>
      <w:r w:rsidRPr="005677A5">
        <w:tab/>
        <w:t>la Resolución</w:t>
      </w:r>
      <w:r>
        <w:t> </w:t>
      </w:r>
      <w:r w:rsidRPr="005677A5">
        <w:t>58 (Rev.</w:t>
      </w:r>
      <w:r>
        <w:t> </w:t>
      </w:r>
      <w:r w:rsidRPr="005677A5">
        <w:t>Bakú,</w:t>
      </w:r>
      <w:r>
        <w:t> </w:t>
      </w:r>
      <w:r w:rsidRPr="005677A5">
        <w:t>2025) de la</w:t>
      </w:r>
      <w:r>
        <w:t> </w:t>
      </w:r>
      <w:r w:rsidRPr="005677A5">
        <w:t>CMDT, sobre la accesibilidad de las telecomunicaciones/</w:t>
      </w:r>
      <w:r w:rsidR="00D935F7">
        <w:t>TIC</w:t>
      </w:r>
      <w:r w:rsidRPr="005677A5">
        <w:t xml:space="preserve"> para las personas con discapacidad y con necesidades específicas;</w:t>
      </w:r>
    </w:p>
    <w:p w14:paraId="0ABBB2E9" w14:textId="6C4EE93B" w:rsidR="005677A5" w:rsidRPr="005677A5" w:rsidRDefault="005677A5" w:rsidP="007573C6">
      <w:pPr>
        <w:jc w:val="both"/>
      </w:pPr>
      <w:r w:rsidRPr="005677A5">
        <w:rPr>
          <w:i/>
          <w:iCs/>
        </w:rPr>
        <w:t>h)</w:t>
      </w:r>
      <w:r w:rsidRPr="005677A5">
        <w:tab/>
        <w:t>la Resolución</w:t>
      </w:r>
      <w:r>
        <w:t> </w:t>
      </w:r>
      <w:r w:rsidRPr="005677A5">
        <w:t>70 (Rev.</w:t>
      </w:r>
      <w:r>
        <w:t> </w:t>
      </w:r>
      <w:r w:rsidRPr="005677A5">
        <w:t>Bucarest,</w:t>
      </w:r>
      <w:r>
        <w:t> </w:t>
      </w:r>
      <w:r w:rsidRPr="005677A5">
        <w:t>2022) de la Conferencia de Plenipotenciarios, sobre la incorporación de una perspectiva de género en la</w:t>
      </w:r>
      <w:r>
        <w:t> </w:t>
      </w:r>
      <w:r w:rsidRPr="005677A5">
        <w:t>UIT y la promoción de la igualdad de género y el empoderamiento de las mujeres y las niñas por medio de las telecomunicaciones/TIC;</w:t>
      </w:r>
    </w:p>
    <w:p w14:paraId="5DCB4891" w14:textId="76A1C455" w:rsidR="005677A5" w:rsidRPr="005677A5" w:rsidRDefault="005677A5" w:rsidP="007573C6">
      <w:pPr>
        <w:jc w:val="both"/>
      </w:pPr>
      <w:r w:rsidRPr="005677A5">
        <w:rPr>
          <w:i/>
          <w:iCs/>
        </w:rPr>
        <w:t>i)</w:t>
      </w:r>
      <w:r w:rsidRPr="005677A5">
        <w:tab/>
        <w:t>la Resolución</w:t>
      </w:r>
      <w:r>
        <w:t> </w:t>
      </w:r>
      <w:r w:rsidRPr="005677A5">
        <w:t>91 (Rev.</w:t>
      </w:r>
      <w:r>
        <w:t> </w:t>
      </w:r>
      <w:r w:rsidRPr="005677A5">
        <w:t>Bakú,</w:t>
      </w:r>
      <w:r>
        <w:t> </w:t>
      </w:r>
      <w:r w:rsidRPr="005677A5">
        <w:t>2025) de la</w:t>
      </w:r>
      <w:r>
        <w:t> </w:t>
      </w:r>
      <w:r w:rsidRPr="005677A5">
        <w:t>CMDT, sobre las tecnologías de inteligencia artificial en el desarrollo de las telecomunicaciones;</w:t>
      </w:r>
    </w:p>
    <w:p w14:paraId="5AABDE28" w14:textId="5D0DC9D1" w:rsidR="005677A5" w:rsidRPr="005677A5" w:rsidRDefault="005677A5" w:rsidP="007573C6">
      <w:pPr>
        <w:jc w:val="both"/>
      </w:pPr>
      <w:r w:rsidRPr="005677A5">
        <w:rPr>
          <w:i/>
          <w:iCs/>
        </w:rPr>
        <w:t>j)</w:t>
      </w:r>
      <w:r w:rsidRPr="005677A5">
        <w:tab/>
        <w:t>la Resolución</w:t>
      </w:r>
      <w:r>
        <w:t> </w:t>
      </w:r>
      <w:r w:rsidRPr="005677A5">
        <w:t>214 (Bucarest,</w:t>
      </w:r>
      <w:r>
        <w:t> </w:t>
      </w:r>
      <w:r w:rsidRPr="005677A5">
        <w:t>2022) de la Conferencia de Plenipotenciarios, sobre las tecnologías de inteligencia artificial y las telecomunicaciones/TIC;</w:t>
      </w:r>
    </w:p>
    <w:p w14:paraId="0E768B90" w14:textId="42FCDE41" w:rsidR="005677A5" w:rsidRPr="005677A5" w:rsidRDefault="005677A5" w:rsidP="007573C6">
      <w:pPr>
        <w:jc w:val="both"/>
      </w:pPr>
      <w:r w:rsidRPr="005677A5">
        <w:rPr>
          <w:i/>
          <w:iCs/>
        </w:rPr>
        <w:lastRenderedPageBreak/>
        <w:t>k)</w:t>
      </w:r>
      <w:r w:rsidRPr="005677A5">
        <w:tab/>
        <w:t>la Resolución</w:t>
      </w:r>
      <w:r>
        <w:t> </w:t>
      </w:r>
      <w:r w:rsidRPr="005677A5">
        <w:t>71 (Rev.</w:t>
      </w:r>
      <w:r>
        <w:t> </w:t>
      </w:r>
      <w:r w:rsidRPr="005677A5">
        <w:t>Bucarest,</w:t>
      </w:r>
      <w:r>
        <w:t> </w:t>
      </w:r>
      <w:r w:rsidRPr="005677A5">
        <w:t>2022) de la Conferencia de Plenipotenciarios, sobre el Plan Estratégico de la</w:t>
      </w:r>
      <w:r w:rsidR="00A8107B">
        <w:t> </w:t>
      </w:r>
      <w:r w:rsidRPr="005677A5">
        <w:t>UIT para 2024-2027, cuyo objetivo es posibilitar y fomentar el acceso universal a unas telecomunicaciones/TIC asequibles, de alta calidad y seguras;</w:t>
      </w:r>
    </w:p>
    <w:p w14:paraId="74D4BD6B" w14:textId="00321C0A" w:rsidR="005677A5" w:rsidRPr="005677A5" w:rsidRDefault="005677A5" w:rsidP="007573C6">
      <w:pPr>
        <w:jc w:val="both"/>
      </w:pPr>
      <w:r w:rsidRPr="005677A5">
        <w:rPr>
          <w:i/>
          <w:iCs/>
        </w:rPr>
        <w:t>l)</w:t>
      </w:r>
      <w:r w:rsidRPr="005677A5">
        <w:tab/>
        <w:t>la Resolución</w:t>
      </w:r>
      <w:r>
        <w:t> </w:t>
      </w:r>
      <w:r w:rsidRPr="005677A5">
        <w:t>139 (Rev.</w:t>
      </w:r>
      <w:r w:rsidR="001F2819">
        <w:t> </w:t>
      </w:r>
      <w:r w:rsidRPr="005677A5">
        <w:t>Bucarest,</w:t>
      </w:r>
      <w:r w:rsidR="001F2819">
        <w:t> </w:t>
      </w:r>
      <w:r w:rsidRPr="005677A5">
        <w:t>2022) de la Conferencia de Plenipotenciarios, sobre la utilización de las telecomunicaciones/TIC para reducir la brecha digital y crear una sociedad de la información inclusiva;</w:t>
      </w:r>
    </w:p>
    <w:p w14:paraId="2073B539" w14:textId="7DDBC622" w:rsidR="005677A5" w:rsidRPr="005677A5" w:rsidRDefault="005677A5" w:rsidP="007573C6">
      <w:pPr>
        <w:jc w:val="both"/>
      </w:pPr>
      <w:r w:rsidRPr="005677A5">
        <w:rPr>
          <w:i/>
          <w:iCs/>
        </w:rPr>
        <w:t>m)</w:t>
      </w:r>
      <w:r w:rsidRPr="005677A5">
        <w:tab/>
        <w:t>la Resolución</w:t>
      </w:r>
      <w:r>
        <w:t> </w:t>
      </w:r>
      <w:r w:rsidRPr="005677A5">
        <w:t>175 (Rev.</w:t>
      </w:r>
      <w:r w:rsidR="001F2819">
        <w:t> </w:t>
      </w:r>
      <w:r w:rsidRPr="005677A5">
        <w:t>Bucarest,</w:t>
      </w:r>
      <w:r w:rsidR="001F2819">
        <w:t> </w:t>
      </w:r>
      <w:r w:rsidRPr="005677A5">
        <w:t>2022) de la Conferencia de Plenipotenciarios, sobre la accesibilidad de las telecomunicaciones/TIC para las personas con discapacidad y personas con necesidades específicas;</w:t>
      </w:r>
    </w:p>
    <w:p w14:paraId="11FC0F38" w14:textId="7180D31F" w:rsidR="005677A5" w:rsidRPr="005677A5" w:rsidRDefault="005677A5" w:rsidP="007573C6">
      <w:pPr>
        <w:jc w:val="both"/>
      </w:pPr>
      <w:r w:rsidRPr="005677A5">
        <w:rPr>
          <w:i/>
          <w:iCs/>
        </w:rPr>
        <w:t>n)</w:t>
      </w:r>
      <w:r w:rsidRPr="005677A5">
        <w:tab/>
        <w:t>la Resolución</w:t>
      </w:r>
      <w:r>
        <w:t> </w:t>
      </w:r>
      <w:r w:rsidRPr="005677A5">
        <w:t>179 (Rev.</w:t>
      </w:r>
      <w:r>
        <w:t> </w:t>
      </w:r>
      <w:r w:rsidRPr="005677A5">
        <w:t>Bucarest,</w:t>
      </w:r>
      <w:r>
        <w:t> </w:t>
      </w:r>
      <w:r w:rsidRPr="005677A5">
        <w:t>2022) de la Conferencia de Plenipotenciarios, sobre la función de la</w:t>
      </w:r>
      <w:r w:rsidR="00A8107B">
        <w:t> </w:t>
      </w:r>
      <w:r w:rsidRPr="005677A5">
        <w:t>UIT en la protección de la infancia en línea;</w:t>
      </w:r>
    </w:p>
    <w:p w14:paraId="0DE0A413" w14:textId="50C8264B" w:rsidR="005677A5" w:rsidRPr="005677A5" w:rsidRDefault="005677A5" w:rsidP="007573C6">
      <w:pPr>
        <w:jc w:val="both"/>
      </w:pPr>
      <w:r w:rsidRPr="005677A5">
        <w:rPr>
          <w:i/>
          <w:iCs/>
        </w:rPr>
        <w:t>o)</w:t>
      </w:r>
      <w:r w:rsidRPr="005677A5">
        <w:tab/>
        <w:t>la Resolución</w:t>
      </w:r>
      <w:r>
        <w:t> </w:t>
      </w:r>
      <w:r w:rsidRPr="005677A5">
        <w:t>198 (Rev.</w:t>
      </w:r>
      <w:r>
        <w:t> </w:t>
      </w:r>
      <w:r w:rsidRPr="005677A5">
        <w:t>Bucarest,</w:t>
      </w:r>
      <w:r>
        <w:t> </w:t>
      </w:r>
      <w:r w:rsidRPr="005677A5">
        <w:t>2022) de la Conferencia de Plenipotenciarios, sobre el empoderamiento de la juventud a través de las telecomunicaciones/TIC;</w:t>
      </w:r>
    </w:p>
    <w:p w14:paraId="7E032060" w14:textId="37FD130C" w:rsidR="005677A5" w:rsidRPr="007573C6" w:rsidRDefault="005677A5" w:rsidP="007573C6">
      <w:pPr>
        <w:jc w:val="both"/>
        <w:rPr>
          <w:spacing w:val="-2"/>
        </w:rPr>
      </w:pPr>
      <w:r w:rsidRPr="007573C6">
        <w:rPr>
          <w:i/>
          <w:iCs/>
          <w:spacing w:val="-2"/>
        </w:rPr>
        <w:t>p)</w:t>
      </w:r>
      <w:r w:rsidRPr="007573C6">
        <w:rPr>
          <w:spacing w:val="-2"/>
        </w:rPr>
        <w:tab/>
        <w:t>la Resolución 200 (Rev. Bucarest, 2022) de la Conferencia de Plenipotenciarios, sobre la Agenda Conectar 2030 de las telecomunicaciones/TIC, incluida la banda ancha, para el desarrollo sostenible;</w:t>
      </w:r>
    </w:p>
    <w:p w14:paraId="58FDFAE9" w14:textId="6DAD69CA" w:rsidR="005677A5" w:rsidRPr="005677A5" w:rsidRDefault="005677A5" w:rsidP="007573C6">
      <w:pPr>
        <w:jc w:val="both"/>
      </w:pPr>
      <w:r w:rsidRPr="005677A5">
        <w:rPr>
          <w:i/>
          <w:iCs/>
        </w:rPr>
        <w:t>q)</w:t>
      </w:r>
      <w:r w:rsidRPr="005677A5">
        <w:tab/>
        <w:t>la Opinión</w:t>
      </w:r>
      <w:r>
        <w:t> </w:t>
      </w:r>
      <w:r w:rsidRPr="005677A5">
        <w:t>3 (Ginebra,</w:t>
      </w:r>
      <w:r>
        <w:t> </w:t>
      </w:r>
      <w:r w:rsidRPr="005677A5">
        <w:t>2021) del Foro Mundial de Política de Telecomunicaciones/TIC, sobre la alfabetización y las competencias digitales para un acceso inclusivo;</w:t>
      </w:r>
    </w:p>
    <w:p w14:paraId="228F9630" w14:textId="7779DD01" w:rsidR="005677A5" w:rsidRPr="005677A5" w:rsidRDefault="005677A5" w:rsidP="007573C6">
      <w:pPr>
        <w:jc w:val="both"/>
      </w:pPr>
      <w:r w:rsidRPr="005677A5">
        <w:rPr>
          <w:i/>
          <w:iCs/>
        </w:rPr>
        <w:t>r)</w:t>
      </w:r>
      <w:r w:rsidRPr="005677A5">
        <w:tab/>
        <w:t>la Resolución</w:t>
      </w:r>
      <w:r>
        <w:t> </w:t>
      </w:r>
      <w:r w:rsidRPr="005677A5">
        <w:t>77 (Rev.</w:t>
      </w:r>
      <w:r>
        <w:t> </w:t>
      </w:r>
      <w:r w:rsidRPr="005677A5">
        <w:t>Bakú,</w:t>
      </w:r>
      <w:r>
        <w:t> </w:t>
      </w:r>
      <w:r w:rsidRPr="005677A5">
        <w:t>2025) de la</w:t>
      </w:r>
      <w:r>
        <w:t> </w:t>
      </w:r>
      <w:r w:rsidRPr="005677A5">
        <w:t>CMDT, sobre tecnología y aplicaciones de banda ancha para un mayor crecimiento y desarrollo de los servicios de telecomunicaciones/tecnologías de la información y la comunicación y la conectividad de banda ancha,</w:t>
      </w:r>
    </w:p>
    <w:p w14:paraId="7981653C" w14:textId="77777777" w:rsidR="005677A5" w:rsidRPr="005677A5" w:rsidRDefault="005677A5" w:rsidP="005677A5">
      <w:pPr>
        <w:pStyle w:val="Call"/>
      </w:pPr>
      <w:r w:rsidRPr="005677A5">
        <w:t>considerando</w:t>
      </w:r>
    </w:p>
    <w:p w14:paraId="741598AB" w14:textId="77777777" w:rsidR="005677A5" w:rsidRPr="005677A5" w:rsidRDefault="005677A5" w:rsidP="007573C6">
      <w:pPr>
        <w:jc w:val="both"/>
      </w:pPr>
      <w:r w:rsidRPr="005677A5">
        <w:rPr>
          <w:i/>
          <w:iCs/>
        </w:rPr>
        <w:t>a)</w:t>
      </w:r>
      <w:r w:rsidRPr="005677A5">
        <w:tab/>
        <w:t xml:space="preserve">que el logro de una conectividad universal y significativa exige centrarse en factores propiciadores fundamentales, </w:t>
      </w:r>
      <w:r w:rsidRPr="005677A5">
        <w:rPr>
          <w:i/>
          <w:iCs/>
        </w:rPr>
        <w:t>inter alia</w:t>
      </w:r>
      <w:r w:rsidRPr="005677A5">
        <w:t>, las infraestructuras, la asequibilidad, los dispositivos, las competencias y la alfabetización digitales, la confianza de los usuarios en la utilización de las telecomunicaciones/TIC y unos marcos normativos y reglamentarios basados en datos empíricos;</w:t>
      </w:r>
    </w:p>
    <w:p w14:paraId="7B8ECB48" w14:textId="77777777" w:rsidR="005677A5" w:rsidRPr="005677A5" w:rsidRDefault="005677A5" w:rsidP="007573C6">
      <w:pPr>
        <w:jc w:val="both"/>
      </w:pPr>
      <w:r w:rsidRPr="005677A5">
        <w:rPr>
          <w:i/>
          <w:iCs/>
        </w:rPr>
        <w:t>b)</w:t>
      </w:r>
      <w:r w:rsidRPr="005677A5">
        <w:tab/>
        <w:t>que el acceso universal a las competencias digitales esenciales dota de autonomía a las personas y las comunidades, en particular a las mujeres, las personas de edad, las personas con discapacidad y las comunidades insuficientemente atendidas, al proporcionarles los conocimientos necesarios para prosperar en el mundo digital y la accesibilidad, al fomentar la inclusión, al reducir la brecha digital, al crear oportunidades económicas y al posibilitar una participación más amplia y el progreso social en la era digital;</w:t>
      </w:r>
    </w:p>
    <w:p w14:paraId="30199067" w14:textId="5BE6465D" w:rsidR="005677A5" w:rsidRPr="005677A5" w:rsidRDefault="005677A5" w:rsidP="007573C6">
      <w:pPr>
        <w:jc w:val="both"/>
      </w:pPr>
      <w:r w:rsidRPr="005677A5">
        <w:rPr>
          <w:i/>
          <w:iCs/>
        </w:rPr>
        <w:t>c)</w:t>
      </w:r>
      <w:r w:rsidRPr="005677A5">
        <w:tab/>
        <w:t>que la UIT desempeña una función importante en la conexión de quienes carecen de conexión y en la promoción del empoderamiento de la mujer, en particular mediante la educación y las carreras profesionales en las disciplinas de ciencia, tecnología, ingeniería y matemáticas (STEM), a través de iniciativas tales como Girls in ICT (Las niñas en las</w:t>
      </w:r>
      <w:r>
        <w:t> </w:t>
      </w:r>
      <w:r w:rsidRPr="005677A5">
        <w:t>TIC);</w:t>
      </w:r>
    </w:p>
    <w:p w14:paraId="5FC59403" w14:textId="77777777" w:rsidR="005677A5" w:rsidRPr="005677A5" w:rsidRDefault="005677A5" w:rsidP="007573C6">
      <w:pPr>
        <w:jc w:val="both"/>
      </w:pPr>
      <w:r w:rsidRPr="005677A5">
        <w:rPr>
          <w:i/>
          <w:iCs/>
        </w:rPr>
        <w:t>d)</w:t>
      </w:r>
      <w:r w:rsidRPr="005677A5">
        <w:tab/>
        <w:t>que el acceso equitativo y asequible de todos a las aplicaciones de telecomunicaciones/TIC crea oportunidades de empleo e iniciativas empresariales, en particular para las mujeres y los grupos y comunidades marginados e insuficientemente atendidos;</w:t>
      </w:r>
    </w:p>
    <w:p w14:paraId="39CC13B4" w14:textId="77777777" w:rsidR="005677A5" w:rsidRPr="007573C6" w:rsidRDefault="005677A5" w:rsidP="007573C6">
      <w:pPr>
        <w:jc w:val="both"/>
        <w:rPr>
          <w:spacing w:val="-2"/>
        </w:rPr>
      </w:pPr>
      <w:r w:rsidRPr="007573C6">
        <w:rPr>
          <w:i/>
          <w:iCs/>
          <w:spacing w:val="-2"/>
        </w:rPr>
        <w:t>e)</w:t>
      </w:r>
      <w:r w:rsidRPr="007573C6">
        <w:rPr>
          <w:spacing w:val="-2"/>
        </w:rPr>
        <w:tab/>
        <w:t>que las aplicaciones y servicios de telecomunicaciones/TIC mejoran la conectividad social y el acceso de todos a servicios vitales, con la consiguiente mejora de la calidad de vida; que posibilitan la comunicación en tiempo real y colman las carencias existentes para los grupos y comunidades marginados e insuficientemente atendidos, garantizando una participación inclusiva en la era digital;</w:t>
      </w:r>
    </w:p>
    <w:p w14:paraId="651CA759" w14:textId="77777777" w:rsidR="005677A5" w:rsidRPr="005677A5" w:rsidRDefault="005677A5" w:rsidP="007573C6">
      <w:pPr>
        <w:jc w:val="both"/>
      </w:pPr>
      <w:r w:rsidRPr="005677A5">
        <w:rPr>
          <w:i/>
          <w:iCs/>
        </w:rPr>
        <w:lastRenderedPageBreak/>
        <w:t>f)</w:t>
      </w:r>
      <w:r w:rsidRPr="005677A5">
        <w:tab/>
        <w:t>que el acceso equitativo y asequible de todos a las telecomunicaciones/TIC resulta esencial para el desarrollo político, económico, social y cultural, puesto que desempeña una función importante en la reducción de la pobreza, la creación de empleo y la protección del medio ambiente, incluidas la prevención y la atenuación de las catástrofes naturales y de otra índole;</w:t>
      </w:r>
    </w:p>
    <w:p w14:paraId="174CDBB3" w14:textId="77777777" w:rsidR="005677A5" w:rsidRPr="005677A5" w:rsidRDefault="005677A5" w:rsidP="007573C6">
      <w:pPr>
        <w:jc w:val="both"/>
      </w:pPr>
      <w:r w:rsidRPr="005677A5">
        <w:rPr>
          <w:i/>
          <w:iCs/>
        </w:rPr>
        <w:t>g)</w:t>
      </w:r>
      <w:r w:rsidRPr="005677A5">
        <w:tab/>
        <w:t>que la brecha digital es un fenómeno multidimensional y dinámico, que varía no solo entre países, sino también dentro de ellos, y genera necesidades distintas en función de los contextos geográfico, social, económico, demográfico y lingüístico, los cuales difieren según las condiciones específicas del país o la región;</w:t>
      </w:r>
    </w:p>
    <w:p w14:paraId="7A9517BF" w14:textId="77777777" w:rsidR="005677A5" w:rsidRPr="005677A5" w:rsidRDefault="005677A5" w:rsidP="007573C6">
      <w:pPr>
        <w:jc w:val="both"/>
      </w:pPr>
      <w:r w:rsidRPr="005677A5">
        <w:rPr>
          <w:i/>
          <w:iCs/>
        </w:rPr>
        <w:t>h)</w:t>
      </w:r>
      <w:r w:rsidRPr="005677A5">
        <w:tab/>
        <w:t>que unas medidas normativas ineficaces o carentes de seguimiento pueden ampliar involuntariamente la brecha digital,</w:t>
      </w:r>
    </w:p>
    <w:p w14:paraId="44BD03A8" w14:textId="77777777" w:rsidR="005677A5" w:rsidRPr="005677A5" w:rsidRDefault="005677A5" w:rsidP="005677A5">
      <w:pPr>
        <w:pStyle w:val="Call"/>
      </w:pPr>
      <w:r w:rsidRPr="005677A5">
        <w:t>reconociendo</w:t>
      </w:r>
    </w:p>
    <w:p w14:paraId="224214E2" w14:textId="77777777" w:rsidR="005677A5" w:rsidRPr="005677A5" w:rsidRDefault="005677A5" w:rsidP="007573C6">
      <w:pPr>
        <w:jc w:val="both"/>
      </w:pPr>
      <w:r w:rsidRPr="005677A5">
        <w:rPr>
          <w:i/>
          <w:iCs/>
        </w:rPr>
        <w:t>a)</w:t>
      </w:r>
      <w:r w:rsidRPr="005677A5">
        <w:tab/>
        <w:t>que, sin acceso a herramientas de identificación fiables en la era digital, las personas podrían enfrentarse a obstáculos considerables para utilizar las telecomunicaciones/TIC con el fin de acceder a servicios esenciales, tales como los de salud, educación y servicios financieros, lo que podría agravar la brecha digital;</w:t>
      </w:r>
    </w:p>
    <w:p w14:paraId="5C27D534" w14:textId="77777777" w:rsidR="005677A5" w:rsidRPr="005677A5" w:rsidRDefault="005677A5" w:rsidP="007573C6">
      <w:pPr>
        <w:jc w:val="both"/>
      </w:pPr>
      <w:r w:rsidRPr="005677A5">
        <w:rPr>
          <w:i/>
          <w:iCs/>
        </w:rPr>
        <w:t>b)</w:t>
      </w:r>
      <w:r w:rsidRPr="005677A5">
        <w:tab/>
        <w:t>que numerosas personas, en particular en las zonas rurales y de bajos ingresos, siguen careciendo de acceso asequible a Internet y a los servicios de telecomunicaciones/TIC;</w:t>
      </w:r>
    </w:p>
    <w:p w14:paraId="7F2B0115" w14:textId="77777777" w:rsidR="005677A5" w:rsidRPr="005677A5" w:rsidRDefault="005677A5" w:rsidP="007573C6">
      <w:pPr>
        <w:jc w:val="both"/>
      </w:pPr>
      <w:r w:rsidRPr="005677A5">
        <w:rPr>
          <w:i/>
          <w:iCs/>
        </w:rPr>
        <w:t>c)</w:t>
      </w:r>
      <w:r w:rsidRPr="005677A5">
        <w:tab/>
        <w:t>que persisten las brechas de competencias digitales, en particular en el caso de las mujeres, las personas con discapacidad y las personas de edad, especialmente en las zonas rurales y remotas, que disponen de un acceso limitado a la formación debido a desigualdades estructurales; que es menos probable que las mujeres estén conectadas o posean competencias digitales adecuadas para el mundo laboral, mientras que las personas de edad presentan niveles de competencia variables, condicionados por la educación y los ingresos; y que dotar a los niños y los jóvenes de competencias digitales resulta vital para reducir las brechas digitales;</w:t>
      </w:r>
    </w:p>
    <w:p w14:paraId="2FD570A0" w14:textId="77777777" w:rsidR="005677A5" w:rsidRPr="005677A5" w:rsidRDefault="005677A5" w:rsidP="007573C6">
      <w:pPr>
        <w:jc w:val="both"/>
      </w:pPr>
      <w:r w:rsidRPr="005677A5">
        <w:rPr>
          <w:i/>
          <w:iCs/>
        </w:rPr>
        <w:t>d)</w:t>
      </w:r>
      <w:r w:rsidRPr="005677A5">
        <w:tab/>
        <w:t>que las normas sociales y los estereotipos limitan la capacidad de las mujeres, las niñas, las personas con discapacidad y las personas de edad para beneficiarse plenamente de la transformación digital;</w:t>
      </w:r>
    </w:p>
    <w:p w14:paraId="2A4E767B" w14:textId="77777777" w:rsidR="005677A5" w:rsidRPr="005677A5" w:rsidRDefault="005677A5" w:rsidP="007573C6">
      <w:pPr>
        <w:jc w:val="both"/>
      </w:pPr>
      <w:r w:rsidRPr="005677A5">
        <w:rPr>
          <w:i/>
          <w:iCs/>
        </w:rPr>
        <w:t>e)</w:t>
      </w:r>
      <w:r w:rsidRPr="005677A5">
        <w:tab/>
        <w:t>que la sociedad civil desempeña una función inestimable a la hora de llegar a las comunidades no atendidas e insuficientemente atendidas, fomentando la confianza pública e impulsando la participación comunitaria en las iniciativas de inclusión digital;</w:t>
      </w:r>
    </w:p>
    <w:p w14:paraId="1F2403AF" w14:textId="77777777" w:rsidR="005677A5" w:rsidRPr="005677A5" w:rsidRDefault="005677A5" w:rsidP="007573C6">
      <w:pPr>
        <w:jc w:val="both"/>
      </w:pPr>
      <w:r w:rsidRPr="005677A5">
        <w:rPr>
          <w:i/>
          <w:iCs/>
        </w:rPr>
        <w:t>f)</w:t>
      </w:r>
      <w:r w:rsidRPr="005677A5">
        <w:tab/>
        <w:t xml:space="preserve">que entre las personas sin conexión figuran quienes residen en zonas que carecen de acceso a infraestructuras de telecomunicaciones/TIC adecuadas, así como un número considerablemente mayor de personas que viven en zonas ya cubiertas por dichas infraestructuras pero que no las utilizan debido a obstáculos tales como, </w:t>
      </w:r>
      <w:r w:rsidRPr="005677A5">
        <w:rPr>
          <w:i/>
          <w:iCs/>
        </w:rPr>
        <w:t>inter alia</w:t>
      </w:r>
      <w:r w:rsidRPr="005677A5">
        <w:t>, la asequibilidad y la falta de competencias digitales;</w:t>
      </w:r>
    </w:p>
    <w:p w14:paraId="43AE107D" w14:textId="77777777" w:rsidR="005677A5" w:rsidRPr="005677A5" w:rsidRDefault="005677A5" w:rsidP="007573C6">
      <w:pPr>
        <w:jc w:val="both"/>
      </w:pPr>
      <w:r w:rsidRPr="005677A5">
        <w:rPr>
          <w:i/>
          <w:iCs/>
        </w:rPr>
        <w:t>g)</w:t>
      </w:r>
      <w:r w:rsidRPr="005677A5">
        <w:tab/>
        <w:t>que la aceleración del despliegue de la banda ancha constituye un reto considerable, especialmente en las zonas de difícil acceso, rurales y remotas, donde la topografía y la demografía dificultan el rendimiento de las inversiones;</w:t>
      </w:r>
    </w:p>
    <w:p w14:paraId="07BB62EE" w14:textId="77777777" w:rsidR="005677A5" w:rsidRPr="005677A5" w:rsidRDefault="005677A5" w:rsidP="007573C6">
      <w:pPr>
        <w:jc w:val="both"/>
      </w:pPr>
      <w:r w:rsidRPr="005677A5">
        <w:rPr>
          <w:i/>
          <w:iCs/>
        </w:rPr>
        <w:t>h)</w:t>
      </w:r>
      <w:r w:rsidRPr="005677A5">
        <w:tab/>
        <w:t>que los países en desarrollo siguen enfrentándose a obstáculos particulares y singulares para lograr una conectividad universal y significativa, entre ellos el aislamiento geográfico, la reducida dimensión del mercado, la limitada anchura de banda internacional y la vulnerabilidad frente a las catástrofes naturales, factor este último que incrementa los costos de infraestructura y desvía recursos ya escasos de la inversión a largo plazo en las TIC;</w:t>
      </w:r>
    </w:p>
    <w:p w14:paraId="3ACEFDEE" w14:textId="55BCF26B" w:rsidR="005677A5" w:rsidRPr="005677A5" w:rsidRDefault="005677A5" w:rsidP="007573C6">
      <w:pPr>
        <w:jc w:val="both"/>
      </w:pPr>
      <w:r w:rsidRPr="005677A5">
        <w:rPr>
          <w:i/>
          <w:iCs/>
        </w:rPr>
        <w:lastRenderedPageBreak/>
        <w:t>i)</w:t>
      </w:r>
      <w:r w:rsidRPr="005677A5">
        <w:tab/>
        <w:t>que, para los</w:t>
      </w:r>
      <w:r>
        <w:t> </w:t>
      </w:r>
      <w:r w:rsidRPr="005677A5">
        <w:t>PEID y otros países costeros, la conectividad en entornos marítimos resulta vital para salvaguardar vidas, respaldar las actividades económicas y promover el desarrollo sostenible, especialmente en el caso de las comunidades marítimas vulnerables;</w:t>
      </w:r>
    </w:p>
    <w:p w14:paraId="31F07984" w14:textId="77777777" w:rsidR="005677A5" w:rsidRPr="005677A5" w:rsidRDefault="005677A5" w:rsidP="007573C6">
      <w:pPr>
        <w:jc w:val="both"/>
      </w:pPr>
      <w:r w:rsidRPr="005677A5">
        <w:rPr>
          <w:i/>
          <w:iCs/>
        </w:rPr>
        <w:t>j)</w:t>
      </w:r>
      <w:r w:rsidRPr="005677A5">
        <w:tab/>
        <w:t>que es necesario establecer asociaciones con una amplia gama de partes interesadas, entre ellas los gobiernos, el sector privado, la sociedad civil, la comunidad técnica y las instituciones académicas, con objeto de abordar las brechas digitales;</w:t>
      </w:r>
    </w:p>
    <w:p w14:paraId="71727F90" w14:textId="77777777" w:rsidR="005677A5" w:rsidRPr="005677A5" w:rsidRDefault="005677A5" w:rsidP="007573C6">
      <w:pPr>
        <w:jc w:val="both"/>
      </w:pPr>
      <w:r w:rsidRPr="005677A5">
        <w:rPr>
          <w:i/>
          <w:iCs/>
        </w:rPr>
        <w:t>k)</w:t>
      </w:r>
      <w:r w:rsidRPr="005677A5">
        <w:tab/>
        <w:t>que la reducción de la brecha digital para todos los países y todas las personas resulta esencial para alcanzar los Objetivos de Desarrollo Sostenible (ODS) y aplicar el Pacto Digital Global (PDG), especialmente en el caso de las mujeres y las niñas, los jóvenes, los pueblos indígenas, las personas de edad, las personas con discapacidad y las personas con necesidades específicas;</w:t>
      </w:r>
    </w:p>
    <w:p w14:paraId="5094A382" w14:textId="77777777" w:rsidR="005677A5" w:rsidRPr="005677A5" w:rsidRDefault="005677A5" w:rsidP="007573C6">
      <w:pPr>
        <w:jc w:val="both"/>
      </w:pPr>
      <w:r w:rsidRPr="005677A5">
        <w:rPr>
          <w:i/>
          <w:iCs/>
        </w:rPr>
        <w:t>l)</w:t>
      </w:r>
      <w:r w:rsidRPr="005677A5">
        <w:tab/>
        <w:t>que la movilización de las telecomunicaciones/TIC nuevas e incipientes puede desempeñar funciones cruciales en la mejora de la conectividad universal y significativa, el impulso de la innovación y el apoyo a un crecimiento inclusivo, posibilitando soluciones más inteligentes y una mayor accesibilidad en todos los sectores, teniendo en cuenta al mismo tiempo las necesidades específicas de las zonas insuficientemente atendidas y de los grupos marginados;</w:t>
      </w:r>
    </w:p>
    <w:p w14:paraId="71519727" w14:textId="77777777" w:rsidR="005677A5" w:rsidRPr="005677A5" w:rsidRDefault="005677A5" w:rsidP="007573C6">
      <w:pPr>
        <w:jc w:val="both"/>
      </w:pPr>
      <w:r w:rsidRPr="005677A5">
        <w:rPr>
          <w:i/>
          <w:iCs/>
        </w:rPr>
        <w:t>m)</w:t>
      </w:r>
      <w:r w:rsidRPr="005677A5">
        <w:tab/>
        <w:t>que las tecnologías nuevas e incipientes, incluida la IA, pueden desempeñar asimismo una función crucial en la mejora de las telecomunicaciones/TIC y de la conectividad universal y significativa, lo que impulsa la innovación y respalda un crecimiento inclusivo, posibilitando soluciones más inteligentes y una mayor accesibilidad en todos los sectores;</w:t>
      </w:r>
    </w:p>
    <w:p w14:paraId="6220A6B5" w14:textId="77777777" w:rsidR="005677A5" w:rsidRPr="005677A5" w:rsidRDefault="005677A5" w:rsidP="007573C6">
      <w:pPr>
        <w:jc w:val="both"/>
      </w:pPr>
      <w:r w:rsidRPr="005677A5">
        <w:rPr>
          <w:i/>
          <w:iCs/>
        </w:rPr>
        <w:t>n)</w:t>
      </w:r>
      <w:r w:rsidRPr="005677A5">
        <w:tab/>
        <w:t>que el rápido desarrollo de las telecomunicaciones/TIC nuevas e incipientes y de las tecnologías nuevas e incipientes incide en la evolución de la brecha digital, y que los países en desarrollo se enfrentan a retos especiales para aprovechar las oportunidades conexas,</w:t>
      </w:r>
    </w:p>
    <w:p w14:paraId="19A84B31" w14:textId="77777777" w:rsidR="005677A5" w:rsidRPr="005677A5" w:rsidRDefault="005677A5" w:rsidP="005677A5">
      <w:pPr>
        <w:pStyle w:val="Call"/>
      </w:pPr>
      <w:r w:rsidRPr="005677A5">
        <w:t>opina</w:t>
      </w:r>
    </w:p>
    <w:p w14:paraId="68595DAE" w14:textId="77777777" w:rsidR="005677A5" w:rsidRPr="005677A5" w:rsidRDefault="005677A5" w:rsidP="007573C6">
      <w:pPr>
        <w:jc w:val="both"/>
      </w:pPr>
      <w:r w:rsidRPr="005677A5">
        <w:t>1</w:t>
      </w:r>
      <w:r w:rsidRPr="005677A5">
        <w:tab/>
        <w:t>que una infraestructura pública digital resiliente, segura, inclusiva e interfuncional facilita la conectividad universal y significativa y promueve la inclusión social y financiera;</w:t>
      </w:r>
    </w:p>
    <w:p w14:paraId="476BD5F8" w14:textId="77777777" w:rsidR="005677A5" w:rsidRPr="005677A5" w:rsidRDefault="005677A5" w:rsidP="007573C6">
      <w:pPr>
        <w:jc w:val="both"/>
      </w:pPr>
      <w:r w:rsidRPr="005677A5">
        <w:t>2</w:t>
      </w:r>
      <w:r w:rsidRPr="005677A5">
        <w:tab/>
        <w:t>que se alienta a los gobiernos a dar prioridad a las inversiones destinadas a extender las infraestructuras de banda ancha más recientes a las zonas no atendidas e insuficientemente atendidas, a fin de garantizar el acceso universal a Internet de alta velocidad a un precio asequible; que, al mejorar las infraestructuras y actualizar las reglamentaciones, dichas inversiones contribuyen a reducir la brecha digital, lo que permite que un mayor número de personas participe en la economía digital, acceda a servicios esenciales y mejore su calidad de vida;</w:t>
      </w:r>
    </w:p>
    <w:p w14:paraId="0EFC6B4E" w14:textId="77777777" w:rsidR="005677A5" w:rsidRPr="005677A5" w:rsidRDefault="005677A5" w:rsidP="007573C6">
      <w:pPr>
        <w:jc w:val="both"/>
      </w:pPr>
      <w:r w:rsidRPr="005677A5">
        <w:t>3</w:t>
      </w:r>
      <w:r w:rsidRPr="005677A5">
        <w:tab/>
        <w:t>que la ejecución de programas específicos de alfabetización digital y de formación en competencias digitales puede contribuir a colmar la brecha de competencias y a superar los obstáculos a la adopción y utilización de Internet, en particular en el caso de las mujeres, las personas con discapacidad, los jóvenes y las personas de edad; que dichos programas de alfabetización y competencias digitales podrán tener por objeto dotar a las personas de las competencias esenciales para utilizar de manera eficaz las aplicaciones y servicios de telecomunicaciones/TIC; que dichos programas podrán abarcar competencias informáticas y otras competencias digitales, así como la sensibilización en materia de ciberseguridad; y que entre las ventajas de esos programas figuran una mayor empleabilidad, la inclusión social, la sensibilización en materia de ciberseguridad y el aprendizaje continuo;</w:t>
      </w:r>
    </w:p>
    <w:p w14:paraId="04AD4B82" w14:textId="77777777" w:rsidR="005677A5" w:rsidRPr="005677A5" w:rsidRDefault="005677A5" w:rsidP="007573C6">
      <w:pPr>
        <w:jc w:val="both"/>
      </w:pPr>
      <w:r w:rsidRPr="005677A5">
        <w:t>4</w:t>
      </w:r>
      <w:r w:rsidRPr="005677A5">
        <w:tab/>
        <w:t xml:space="preserve">que la elaboración de políticas que promuevan la igualdad de las comunidades que se enfrentan a obstáculos sistémicos y que respalden la inclusión de los grupos marginados de la </w:t>
      </w:r>
      <w:r w:rsidRPr="005677A5">
        <w:lastRenderedPageBreak/>
        <w:t>sociedad en la economía digital puede contribuir a superar los obstáculos culturales; que dichas políticas deberían comprender el acceso equitativo y asequible de todos a la tecnología, programas específicos de alfabetización digital, las carreras profesionales en las disciplinas STEM para las mujeres y una tecnología accesible para las personas de edad;</w:t>
      </w:r>
    </w:p>
    <w:p w14:paraId="0736683D" w14:textId="77777777" w:rsidR="005677A5" w:rsidRPr="005677A5" w:rsidRDefault="005677A5" w:rsidP="007573C6">
      <w:pPr>
        <w:jc w:val="both"/>
      </w:pPr>
      <w:r w:rsidRPr="005677A5">
        <w:t>5</w:t>
      </w:r>
      <w:r w:rsidRPr="005677A5">
        <w:tab/>
        <w:t>que las competencias digitales pueden contribuir a movilizar las aplicaciones y servicios de telecomunicaciones/TIC en favor del desarrollo sostenible;</w:t>
      </w:r>
    </w:p>
    <w:p w14:paraId="4D498D81" w14:textId="77777777" w:rsidR="005677A5" w:rsidRPr="005677A5" w:rsidRDefault="005677A5" w:rsidP="007573C6">
      <w:pPr>
        <w:jc w:val="both"/>
      </w:pPr>
      <w:r w:rsidRPr="005677A5">
        <w:t>6</w:t>
      </w:r>
      <w:r w:rsidRPr="005677A5">
        <w:tab/>
        <w:t xml:space="preserve">que la sociedad civil y los grupos comunitarios pueden aportar una contribución importante al apoyo a los grupos marginados de la sociedad, </w:t>
      </w:r>
      <w:r w:rsidRPr="005677A5">
        <w:rPr>
          <w:i/>
          <w:iCs/>
        </w:rPr>
        <w:t>inter alia</w:t>
      </w:r>
      <w:r w:rsidRPr="005677A5">
        <w:t xml:space="preserve"> las mujeres y las personas de edad, en el acceso a las telecomunicaciones/TIC y su utilización;</w:t>
      </w:r>
    </w:p>
    <w:p w14:paraId="19C66130" w14:textId="77777777" w:rsidR="005677A5" w:rsidRPr="005677A5" w:rsidRDefault="005677A5" w:rsidP="007573C6">
      <w:pPr>
        <w:jc w:val="both"/>
      </w:pPr>
      <w:r w:rsidRPr="005677A5">
        <w:t>7</w:t>
      </w:r>
      <w:r w:rsidRPr="005677A5">
        <w:tab/>
        <w:t>que las partes interesadas deberían colaborar para avanzar hacia el acceso universal a Internet de alta velocidad;</w:t>
      </w:r>
    </w:p>
    <w:p w14:paraId="6A8B2150" w14:textId="1EFC33D9" w:rsidR="005677A5" w:rsidRPr="005677A5" w:rsidRDefault="005677A5" w:rsidP="007573C6">
      <w:pPr>
        <w:jc w:val="both"/>
      </w:pPr>
      <w:r w:rsidRPr="005677A5">
        <w:t>8</w:t>
      </w:r>
      <w:r w:rsidRPr="005677A5">
        <w:tab/>
        <w:t>que la</w:t>
      </w:r>
      <w:r>
        <w:t> </w:t>
      </w:r>
      <w:r w:rsidRPr="005677A5">
        <w:t>UIT, en el marco de su mandato, debería seguir colaborando estrechamente con otros organismos de las Naciones Unidas, organizaciones internacionales y demás partes interesadas en lo relativo a la conectividad y a la reducción de las brechas digitales, en particular en las cuestiones relacionadas con el género y la edad;</w:t>
      </w:r>
    </w:p>
    <w:p w14:paraId="7689E0B6" w14:textId="77777777" w:rsidR="005677A5" w:rsidRPr="005677A5" w:rsidRDefault="005677A5" w:rsidP="007573C6">
      <w:pPr>
        <w:jc w:val="both"/>
      </w:pPr>
      <w:r w:rsidRPr="005677A5">
        <w:t>9</w:t>
      </w:r>
      <w:r w:rsidRPr="005677A5">
        <w:tab/>
        <w:t>que los enfoques inclusivos en materia de reglamentación y gobernanza, tales como las hojas de ruta hacia la conectividad universal elaboradas por múltiples partes interesadas y las estrategias reglamentarias de base comunitaria, resultan esenciales para garantizar una respuesta adecuada a las necesidades de las poblaciones insuficientemente atendidas;</w:t>
      </w:r>
    </w:p>
    <w:p w14:paraId="227EA07A" w14:textId="77777777" w:rsidR="005677A5" w:rsidRPr="005677A5" w:rsidRDefault="005677A5" w:rsidP="007573C6">
      <w:pPr>
        <w:jc w:val="both"/>
      </w:pPr>
      <w:r w:rsidRPr="005677A5">
        <w:t>10</w:t>
      </w:r>
      <w:r w:rsidRPr="005677A5">
        <w:tab/>
        <w:t>que los gobiernos que emprendan transformaciones digitales mediante la adopción de servicios y tecnologías de telecomunicaciones/TIC nuevos e incipientes deberían tener en cuenta asimismo las necesidades de accesibilidad, así como las consideraciones relativas a la edad y al género;</w:t>
      </w:r>
    </w:p>
    <w:p w14:paraId="6EDF339F" w14:textId="77777777" w:rsidR="005677A5" w:rsidRPr="005677A5" w:rsidRDefault="005677A5" w:rsidP="007573C6">
      <w:pPr>
        <w:jc w:val="both"/>
      </w:pPr>
      <w:r w:rsidRPr="005677A5">
        <w:t>11</w:t>
      </w:r>
      <w:r w:rsidRPr="005677A5">
        <w:tab/>
        <w:t>que las colaboraciones entre los gobiernos, el sector privado y la sociedad civil pueden impulsar iniciativas destinadas a proporcionar un acceso digital asequible; que las asociaciones público-privadas (APP) pueden movilizar las fortalezas de los organismos públicos, las empresas privadas y la sociedad civil con objeto de proporcionar acceso y formación digitales asequibles; que dichas colaboraciones podrán comportar la puesta en común de recursos, la combinación de la innovación tecnológica con el apoyo reglamentario y la ampliación eficaz de la escala de las iniciativas; y que los incentivos al sector privado, así como unas políticas y reglamentaciones favorables y actualizadas, pueden reforzar aún más la eficacia de las APP en la reducción de la brecha digital;</w:t>
      </w:r>
    </w:p>
    <w:p w14:paraId="03CC49A9" w14:textId="4ED89F2D" w:rsidR="005677A5" w:rsidRPr="005677A5" w:rsidRDefault="005677A5" w:rsidP="007573C6">
      <w:pPr>
        <w:jc w:val="both"/>
      </w:pPr>
      <w:r w:rsidRPr="005677A5">
        <w:t>12</w:t>
      </w:r>
      <w:r w:rsidRPr="005677A5">
        <w:tab/>
        <w:t>que la</w:t>
      </w:r>
      <w:r w:rsidR="00A8107B">
        <w:t> </w:t>
      </w:r>
      <w:r w:rsidRPr="005677A5">
        <w:t>UIT desempeña una función esencial en la reducción de la brecha digital al facilitar la interfuncionalidad y la interconexión y al maximizar la conectividad mundial de las redes y servicios de telecomunicaciones;</w:t>
      </w:r>
    </w:p>
    <w:p w14:paraId="4F328547" w14:textId="77777777" w:rsidR="005677A5" w:rsidRPr="005677A5" w:rsidRDefault="005677A5" w:rsidP="007573C6">
      <w:pPr>
        <w:jc w:val="both"/>
      </w:pPr>
      <w:r w:rsidRPr="005677A5">
        <w:t>13</w:t>
      </w:r>
      <w:r w:rsidRPr="005677A5">
        <w:tab/>
        <w:t>que resulta urgente reducir las brechas digitales entre los países y dentro de ellos, y que la colaboración internacional, por ejemplo en materia de creación de capacidad, reviste importancia para dichos esfuerzos;</w:t>
      </w:r>
    </w:p>
    <w:p w14:paraId="602FC710" w14:textId="77777777" w:rsidR="005677A5" w:rsidRPr="005677A5" w:rsidRDefault="005677A5" w:rsidP="007573C6">
      <w:pPr>
        <w:jc w:val="both"/>
      </w:pPr>
      <w:r w:rsidRPr="005677A5">
        <w:t>14</w:t>
      </w:r>
      <w:r w:rsidRPr="005677A5">
        <w:tab/>
        <w:t>que la promoción de aplicaciones, servicios y herramientas de telecomunicaciones/TIC asequibles, accesibles e inclusivos para los jóvenes, las personas de edad y las personas con discapacidad resulta crucial, al igual que la consideración de sus necesidades durante la transformación digital;</w:t>
      </w:r>
    </w:p>
    <w:p w14:paraId="23F49B96" w14:textId="77777777" w:rsidR="005677A5" w:rsidRPr="005677A5" w:rsidRDefault="005677A5" w:rsidP="007573C6">
      <w:pPr>
        <w:jc w:val="both"/>
      </w:pPr>
      <w:r w:rsidRPr="005677A5">
        <w:lastRenderedPageBreak/>
        <w:t>15</w:t>
      </w:r>
      <w:r w:rsidRPr="005677A5">
        <w:tab/>
        <w:t>que es importante formular estrategias de inclusión digital basadas en datos desglosados y en análisis localizados, con objeto de determinar los grupos digitalmente excluidos en cada país o región;</w:t>
      </w:r>
    </w:p>
    <w:p w14:paraId="7A019D1C" w14:textId="77777777" w:rsidR="005677A5" w:rsidRPr="007573C6" w:rsidRDefault="005677A5" w:rsidP="007573C6">
      <w:pPr>
        <w:jc w:val="both"/>
        <w:rPr>
          <w:spacing w:val="-2"/>
        </w:rPr>
      </w:pPr>
      <w:r w:rsidRPr="007573C6">
        <w:rPr>
          <w:spacing w:val="-2"/>
        </w:rPr>
        <w:t>16</w:t>
      </w:r>
      <w:r w:rsidRPr="007573C6">
        <w:rPr>
          <w:spacing w:val="-2"/>
        </w:rPr>
        <w:tab/>
        <w:t>que los responsables políticos deberían ir más allá de la concepción reglamentaria y velar por que se establezcan mecanismos que permitan observar la aplicación efectiva y la repercusión de las reglamentaciones a lo largo del tiempo, mediante mecanismos tales como la auditoría independiente, la presentación periódica de informes y los circuitos de retroalimentación comunitaria,</w:t>
      </w:r>
    </w:p>
    <w:p w14:paraId="2AF53049" w14:textId="77777777" w:rsidR="005677A5" w:rsidRPr="005677A5" w:rsidRDefault="005677A5" w:rsidP="005677A5">
      <w:pPr>
        <w:pStyle w:val="Call"/>
      </w:pPr>
      <w:r w:rsidRPr="005677A5">
        <w:t>invita a los Estados Miembros</w:t>
      </w:r>
    </w:p>
    <w:p w14:paraId="1B4A36C4" w14:textId="77777777" w:rsidR="005677A5" w:rsidRPr="005677A5" w:rsidRDefault="005677A5" w:rsidP="007573C6">
      <w:pPr>
        <w:jc w:val="both"/>
      </w:pPr>
      <w:r w:rsidRPr="005677A5">
        <w:t>1</w:t>
      </w:r>
      <w:r w:rsidRPr="005677A5">
        <w:tab/>
        <w:t>a considerar la posibilidad de establecer redes y aplicaciones de telecomunicaciones/TIC resilientes, seguras, inclusivas e interfuncionales, incluidas las que posibilitan la infraestructura pública digital, adaptadas a los contextos nacionales, que faciliten la conectividad universal y significativa y reduzcan las brechas digitales;</w:t>
      </w:r>
    </w:p>
    <w:p w14:paraId="0923B34E" w14:textId="77777777" w:rsidR="005677A5" w:rsidRPr="005677A5" w:rsidRDefault="005677A5" w:rsidP="007573C6">
      <w:pPr>
        <w:jc w:val="both"/>
        <w:rPr>
          <w:bCs/>
        </w:rPr>
      </w:pPr>
      <w:r w:rsidRPr="005677A5">
        <w:rPr>
          <w:bCs/>
        </w:rPr>
        <w:t>2</w:t>
      </w:r>
      <w:r w:rsidRPr="005677A5">
        <w:rPr>
          <w:bCs/>
        </w:rPr>
        <w:tab/>
      </w:r>
      <w:r w:rsidRPr="005677A5">
        <w:t>a seguir examinando y, cuando proceda, revisando el alcance de los marcos normativos y reglamentarios pertinentes, y a considerar la creación de entornos propicios a las inversiones destinadas a extender las tecnologías móviles más recientes, tales como las IMT-2020, las infraestructuras espaciales y otras infraestructuras de banda ancha, a las zonas no atendidas e insuficientemente atendidas, incluidas las zonas rurales, remotas y marítimas, en beneficio de las comunidades respectivas; y a proporcionar incentivos a los operadores de telecomunicaciones para que ofrezcan servicios móviles y de banda ancha en las zonas insuficientemente atendidas y no atendidas;</w:t>
      </w:r>
    </w:p>
    <w:p w14:paraId="39A2705B" w14:textId="461ECD3D" w:rsidR="005677A5" w:rsidRPr="005677A5" w:rsidRDefault="005677A5" w:rsidP="007573C6">
      <w:pPr>
        <w:jc w:val="both"/>
      </w:pPr>
      <w:r w:rsidRPr="005677A5">
        <w:t>3</w:t>
      </w:r>
      <w:r w:rsidRPr="005677A5">
        <w:tab/>
        <w:t>a elaborar políticas inclusivas que promuevan el acceso equitativo y asequible de todos, la igualdad de género, y que respalden la inclusión digital de las personas de edad y las personas con discapacidad abordando los obstáculos culturales, estructurales y de accesibilidad; que dichos esfuerzos deberían reconocer y tener en cuenta la diversidad nacional y regional, garantizar el acceso de todos a la tecnología, ofrecer programas específicos de alfabetización digital, alentar la participación de las mujeres en las disciplinas STEM y dar prioridad al diseño de tecnologías accesibles para las personas de edad y las personas con discapacidad; y que, asimismo, se alienta a los Estados a incorporar las consideraciones relativas al género y a la edad en las estrategias en materia de</w:t>
      </w:r>
      <w:r>
        <w:t> </w:t>
      </w:r>
      <w:r w:rsidRPr="005677A5">
        <w:t>TIC, STEM y telecomunicaciones, a fin de construir un mundo digital más inclusivo y equitativo;</w:t>
      </w:r>
    </w:p>
    <w:p w14:paraId="27BD35AB" w14:textId="77777777" w:rsidR="005677A5" w:rsidRPr="005677A5" w:rsidRDefault="005677A5" w:rsidP="007573C6">
      <w:pPr>
        <w:jc w:val="both"/>
      </w:pPr>
      <w:r w:rsidRPr="005677A5">
        <w:t>4</w:t>
      </w:r>
      <w:r w:rsidRPr="005677A5">
        <w:tab/>
        <w:t>a respaldar la investigación sobre los obstáculos al acceso a las telecomunicaciones/TIC y a la utilización significativa de Internet, prestando especial atención a las consideraciones relativas al género y a la edad;</w:t>
      </w:r>
    </w:p>
    <w:p w14:paraId="20C09619" w14:textId="77777777" w:rsidR="005677A5" w:rsidRPr="005677A5" w:rsidRDefault="005677A5" w:rsidP="007573C6">
      <w:pPr>
        <w:jc w:val="both"/>
      </w:pPr>
      <w:r w:rsidRPr="005677A5">
        <w:t>5</w:t>
      </w:r>
      <w:r w:rsidRPr="005677A5">
        <w:tab/>
        <w:t>a recopilar datos de alta calidad, desglosados por género, edad, ubicación geográfica, condición socioeconómica, acceso a Internet y su utilización, y participación en el sector de las telecomunicaciones/TIC, a fin de posibilitar la medición de la brecha digital y fundamentar respuestas normativas y programas de desarrollo inclusivos;</w:t>
      </w:r>
    </w:p>
    <w:p w14:paraId="174B00AC" w14:textId="77777777" w:rsidR="005677A5" w:rsidRPr="005677A5" w:rsidRDefault="005677A5" w:rsidP="007573C6">
      <w:pPr>
        <w:jc w:val="both"/>
      </w:pPr>
      <w:r w:rsidRPr="005677A5">
        <w:t>6</w:t>
      </w:r>
      <w:r w:rsidRPr="005677A5">
        <w:tab/>
        <w:t>a colaborar con las partes interesadas del sector privado, la sociedad civil, la comunidad técnica y las instituciones académicas para estudiar la mejor manera de ampliar la conectividad significativa y asequible y las oportunidades de empleo en las telecomunicaciones/TIC, impartir competencias digitales y colmar la brecha digital de género;</w:t>
      </w:r>
    </w:p>
    <w:p w14:paraId="336573D1" w14:textId="77777777" w:rsidR="005677A5" w:rsidRPr="005677A5" w:rsidRDefault="005677A5" w:rsidP="007573C6">
      <w:pPr>
        <w:jc w:val="both"/>
      </w:pPr>
      <w:r w:rsidRPr="005677A5">
        <w:t>7</w:t>
      </w:r>
      <w:r w:rsidRPr="005677A5">
        <w:tab/>
        <w:t xml:space="preserve">a adoptar estrategias regionales, locales y nacionales, en consulta con las partes interesadas, para hacer frente a las brechas digitales garantizando la conectividad para todos y promoviendo </w:t>
      </w:r>
      <w:r w:rsidRPr="005677A5">
        <w:lastRenderedPageBreak/>
        <w:t>soluciones digitales adecuadas al contexto y pertinentes a escala local, que atiendan las necesidades específicas de las comunidades y los grupos vulnerables y que estimulen la demanda y la inversión en infraestructuras digitales;</w:t>
      </w:r>
    </w:p>
    <w:p w14:paraId="5618EEA5" w14:textId="77777777" w:rsidR="005677A5" w:rsidRPr="005677A5" w:rsidRDefault="005677A5" w:rsidP="007573C6">
      <w:pPr>
        <w:jc w:val="both"/>
      </w:pPr>
      <w:r w:rsidRPr="005677A5">
        <w:t>8</w:t>
      </w:r>
      <w:r w:rsidRPr="005677A5">
        <w:tab/>
        <w:t>a promover y reforzar las políticas, programas y mecanismos de alfabetización y competencias digitales, y a integrar enfoques con perspectiva de género en las políticas, estrategias y marcos reglamentarios nacionales en materia de TIC, con objeto de contribuir a reducir las brechas digitales y garantizar el acceso equitativo y asequible de todos, el desarrollo de competencias y la participación significativa de las mujeres y las niñas en la economía digital, incluso mediante una participación activa en los foros de colaboración regionales y mundiales;</w:t>
      </w:r>
    </w:p>
    <w:p w14:paraId="158801FE" w14:textId="77777777" w:rsidR="005677A5" w:rsidRPr="005677A5" w:rsidRDefault="005677A5" w:rsidP="007573C6">
      <w:pPr>
        <w:jc w:val="both"/>
      </w:pPr>
      <w:r w:rsidRPr="005677A5">
        <w:t>9</w:t>
      </w:r>
      <w:r w:rsidRPr="005677A5">
        <w:tab/>
        <w:t>a considerar la posibilidad de determinar las carencias existentes en los planes de estudio de competencias digitales en la educación, la formación de aprendices y otros programas de desarrollo de competencias laborales para jóvenes y adultos, y a estudiar métodos adecuados para subsanar dichas carencias, tales como los mecanismos de financiación, promoviendo al mismo tiempo itinerarios profesionales y programas de tutoría acordes con las futuras necesidades de la mano de obra y con las telecomunicaciones/TIC incipientes;</w:t>
      </w:r>
    </w:p>
    <w:p w14:paraId="1DC11CC8" w14:textId="77777777" w:rsidR="005677A5" w:rsidRPr="005677A5" w:rsidRDefault="005677A5" w:rsidP="007573C6">
      <w:pPr>
        <w:jc w:val="both"/>
      </w:pPr>
      <w:r w:rsidRPr="005677A5">
        <w:t>10</w:t>
      </w:r>
      <w:r w:rsidRPr="005677A5">
        <w:tab/>
        <w:t>a considerar la posibilidad de adoptar medidas normativas y reglamentarias que faciliten el despliegue de infraestructuras de telecomunicaciones/TIC y su compartición, especialmente en las zonas rurales y aisladas;</w:t>
      </w:r>
    </w:p>
    <w:p w14:paraId="1479DE47" w14:textId="77777777" w:rsidR="005677A5" w:rsidRPr="005677A5" w:rsidRDefault="005677A5" w:rsidP="007573C6">
      <w:pPr>
        <w:jc w:val="both"/>
      </w:pPr>
      <w:r w:rsidRPr="005677A5">
        <w:t>11</w:t>
      </w:r>
      <w:r w:rsidRPr="005677A5">
        <w:tab/>
        <w:t>a crear un entorno propicio al despliegue y la adopción de las telecomunicaciones/TIC nuevas e incipientes, movilizando su potencial para reducir las brechas digitales;</w:t>
      </w:r>
    </w:p>
    <w:p w14:paraId="2251176C" w14:textId="77777777" w:rsidR="005677A5" w:rsidRPr="005677A5" w:rsidRDefault="005677A5" w:rsidP="007573C6">
      <w:pPr>
        <w:jc w:val="both"/>
      </w:pPr>
      <w:r w:rsidRPr="005677A5">
        <w:t>12</w:t>
      </w:r>
      <w:r w:rsidRPr="005677A5">
        <w:tab/>
        <w:t>a intensificar la cooperación internacional, en particular mediante la creación de capacidad y el intercambio de prácticas idóneas, con objeto de ayudar a los países en desarrollo a movilizar las tecnologías nuevas e incipientes para mejorar las telecomunicaciones/TIC y hacer frente a los retos polifacéticos relacionados con las brechas digitales;</w:t>
      </w:r>
    </w:p>
    <w:p w14:paraId="1BFC449B" w14:textId="77777777" w:rsidR="005677A5" w:rsidRPr="005677A5" w:rsidRDefault="005677A5" w:rsidP="007573C6">
      <w:pPr>
        <w:jc w:val="both"/>
      </w:pPr>
      <w:r w:rsidRPr="005677A5">
        <w:t>13</w:t>
      </w:r>
      <w:r w:rsidRPr="005677A5">
        <w:tab/>
        <w:t>a establecer políticas, estrategias y normas, y a ofrecer cursos de formación y orientaciones, con miras a mejorar las competencias y la alfabetización digitales de los niños, garantizando al mismo tiempo su protección en línea;</w:t>
      </w:r>
    </w:p>
    <w:p w14:paraId="37E0B4E4" w14:textId="77777777" w:rsidR="005677A5" w:rsidRPr="005677A5" w:rsidRDefault="005677A5" w:rsidP="007573C6">
      <w:pPr>
        <w:jc w:val="both"/>
      </w:pPr>
      <w:r w:rsidRPr="005677A5">
        <w:t>14</w:t>
      </w:r>
      <w:r w:rsidRPr="005677A5">
        <w:tab/>
        <w:t>a elaborar planes y políticas que apliquen tecnologías y productos de telecomunicaciones/TIC que respondan a las necesidades de las personas de edad y las personas con discapacidad, creando un entorno accesible y adaptado a la edad;</w:t>
      </w:r>
    </w:p>
    <w:p w14:paraId="42886CB7" w14:textId="77777777" w:rsidR="005677A5" w:rsidRPr="005677A5" w:rsidRDefault="005677A5" w:rsidP="007573C6">
      <w:pPr>
        <w:jc w:val="both"/>
      </w:pPr>
      <w:r w:rsidRPr="005677A5">
        <w:t>15</w:t>
      </w:r>
      <w:r w:rsidRPr="005677A5">
        <w:tab/>
        <w:t>a seguir aplicando políticas que faciliten el despliegue no discriminatorio de las telecomunicaciones/TIC nuevas e incipientes, asequibles y accesibles para todos, proporcionando incentivos para promover las infraestructuras y los servicios de telecomunicaciones/TIC en las zonas no atendidas e insuficientemente atendidas;</w:t>
      </w:r>
    </w:p>
    <w:p w14:paraId="06BF72D0" w14:textId="77777777" w:rsidR="005677A5" w:rsidRPr="005677A5" w:rsidRDefault="005677A5" w:rsidP="007573C6">
      <w:pPr>
        <w:jc w:val="both"/>
      </w:pPr>
      <w:r w:rsidRPr="005677A5">
        <w:t>16</w:t>
      </w:r>
      <w:r w:rsidRPr="005677A5">
        <w:tab/>
        <w:t>a reforzar las asociaciones entre los gobiernos y las partes interesadas del sector privado, la sociedad civil, la comunidad técnica, las instituciones académicas y los asociados para el desarrollo, con objeto de garantizar una coordinación eficaz de las intervenciones en materia de desarrollo de competencias, ampliar la conectividad significativa y asequible y las oportunidades de empleo en el sector de las telecomunicaciones/TIC, impartir competencias digitales, colmar la brecha digital de género y garantizar que todos los grupos de la sociedad dispongan de un acceso equitativo a la formación, la educación y el empleo en el ámbito de las telecomunicaciones/TIC, como medio de reducir las brechas digitales;</w:t>
      </w:r>
    </w:p>
    <w:p w14:paraId="79A4503A" w14:textId="77777777" w:rsidR="005677A5" w:rsidRPr="005677A5" w:rsidRDefault="005677A5" w:rsidP="007573C6">
      <w:pPr>
        <w:jc w:val="both"/>
      </w:pPr>
      <w:r w:rsidRPr="005677A5">
        <w:lastRenderedPageBreak/>
        <w:t>17</w:t>
      </w:r>
      <w:r w:rsidRPr="005677A5">
        <w:tab/>
        <w:t>a considerar la posibilidad de adoptar políticas que aborden los requisitos en materia de competencias especializadas en las telecomunicaciones/TIC nuevas e incipientes y en las tecnologías nuevas e incipientes;</w:t>
      </w:r>
    </w:p>
    <w:p w14:paraId="2FA6C9E4" w14:textId="77777777" w:rsidR="005677A5" w:rsidRPr="005677A5" w:rsidRDefault="005677A5" w:rsidP="007573C6">
      <w:pPr>
        <w:jc w:val="both"/>
      </w:pPr>
      <w:r w:rsidRPr="005677A5">
        <w:t>18</w:t>
      </w:r>
      <w:r w:rsidRPr="005677A5">
        <w:tab/>
        <w:t>a promover el reciclado y la redistribución de dispositivos entre las comunidades digitalmente excluidas;</w:t>
      </w:r>
    </w:p>
    <w:p w14:paraId="2C9BFD61" w14:textId="77777777" w:rsidR="005677A5" w:rsidRPr="005677A5" w:rsidRDefault="005677A5" w:rsidP="007573C6">
      <w:pPr>
        <w:jc w:val="both"/>
      </w:pPr>
      <w:r w:rsidRPr="005677A5">
        <w:t>19</w:t>
      </w:r>
      <w:r w:rsidRPr="005677A5">
        <w:tab/>
        <w:t>a promover las infraestructuras de telecomunicaciones/TIC y las redes y sistemas de banda ancha, en particular en las zonas remotas e insuficientemente atendidas, incluso mediante redes y soluciones de acceso complementarias, con arreglo a las reglamentaciones nacionales;</w:t>
      </w:r>
    </w:p>
    <w:p w14:paraId="77544C00" w14:textId="77777777" w:rsidR="005677A5" w:rsidRPr="005677A5" w:rsidRDefault="005677A5" w:rsidP="007573C6">
      <w:pPr>
        <w:jc w:val="both"/>
      </w:pPr>
      <w:r w:rsidRPr="005677A5">
        <w:t>20</w:t>
      </w:r>
      <w:r w:rsidRPr="005677A5">
        <w:tab/>
        <w:t>a perfeccionar las competencias de los trabajadores de los sectores público y privado para que presten servicios digitales inclusivos, incluida la formación en competencias, con objeto de reforzar las iniciativas de inclusión digital a escala comunitaria, incluida la formación en competencias digitales;</w:t>
      </w:r>
    </w:p>
    <w:p w14:paraId="77F48D10" w14:textId="77777777" w:rsidR="005677A5" w:rsidRPr="005677A5" w:rsidRDefault="005677A5" w:rsidP="007573C6">
      <w:pPr>
        <w:jc w:val="both"/>
      </w:pPr>
      <w:r w:rsidRPr="005677A5">
        <w:t>21</w:t>
      </w:r>
      <w:r w:rsidRPr="005677A5">
        <w:tab/>
        <w:t>a alentar a los responsables políticos y a los reguladores a adoptar modelos de gobernanza adaptativos, aplicar un seguimiento basado en los resultados y promover una elaboración de políticas fundamentada en la aportación de las comunidades, con miras a reducir la brecha digital,</w:t>
      </w:r>
    </w:p>
    <w:p w14:paraId="7BD4A2C2" w14:textId="77777777" w:rsidR="005677A5" w:rsidRPr="005677A5" w:rsidRDefault="005677A5" w:rsidP="005677A5">
      <w:pPr>
        <w:pStyle w:val="Call"/>
        <w:rPr>
          <w:iCs/>
        </w:rPr>
      </w:pPr>
      <w:r w:rsidRPr="005677A5">
        <w:t>invita a la Secretaria General</w:t>
      </w:r>
    </w:p>
    <w:p w14:paraId="2774E7BC" w14:textId="3F0457AB" w:rsidR="005677A5" w:rsidRPr="005677A5" w:rsidRDefault="005677A5" w:rsidP="007573C6">
      <w:pPr>
        <w:jc w:val="both"/>
      </w:pPr>
      <w:r w:rsidRPr="005677A5">
        <w:t>1</w:t>
      </w:r>
      <w:r w:rsidRPr="005677A5">
        <w:tab/>
        <w:t>a seguir reforzando los esfuerzos de la</w:t>
      </w:r>
      <w:r w:rsidR="00A8107B">
        <w:t> </w:t>
      </w:r>
      <w:r w:rsidRPr="005677A5">
        <w:t>UIT, en el marco de su mandato y en colaboración con los Estados Miembros, las partes interesadas y las organizaciones asociadas, para reducir las brechas digitales, en particular las relativas al género, la edad, las competencias y la conectividad, garantizando al mismo tiempo que las iniciativas respondan a las circunstancias específicas de los países en desarrollo, en consonancia con los datos y las conclusiones de la</w:t>
      </w:r>
      <w:r w:rsidR="00A8107B">
        <w:t> </w:t>
      </w:r>
      <w:r w:rsidRPr="005677A5">
        <w:t>UIT sobre la conectividad universal y significativa;</w:t>
      </w:r>
    </w:p>
    <w:p w14:paraId="4AEAE97E" w14:textId="77777777" w:rsidR="005677A5" w:rsidRPr="005677A5" w:rsidRDefault="005677A5" w:rsidP="007573C6">
      <w:pPr>
        <w:jc w:val="both"/>
      </w:pPr>
      <w:r w:rsidRPr="005677A5">
        <w:t>2</w:t>
      </w:r>
      <w:r w:rsidRPr="005677A5">
        <w:tab/>
        <w:t>a contribuir a facilitar y compartir prácticas idóneas, directrices y conjuntos de herramientas entre los Estados Miembros en desarrollo, con miras a integrar las consideraciones relativas a la igualdad de género en las políticas y estrategias en materia de TIC.</w:t>
      </w:r>
    </w:p>
    <w:p w14:paraId="3A5A3ABB" w14:textId="77777777" w:rsidR="005677A5" w:rsidRDefault="005677A5" w:rsidP="00411C49">
      <w:pPr>
        <w:pStyle w:val="Reasons"/>
      </w:pPr>
    </w:p>
    <w:p w14:paraId="328BD9F2" w14:textId="77777777" w:rsidR="005677A5" w:rsidRDefault="005677A5">
      <w:pPr>
        <w:jc w:val="center"/>
      </w:pPr>
      <w:r>
        <w:t>______________</w:t>
      </w:r>
    </w:p>
    <w:sectPr w:rsidR="005677A5" w:rsidSect="00A70E95">
      <w:headerReference w:type="default" r:id="rId9"/>
      <w:footerReference w:type="first" r:id="rId10"/>
      <w:type w:val="continuous"/>
      <w:pgSz w:w="11913"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1E692" w14:textId="77777777" w:rsidR="00EB2074" w:rsidRDefault="00EB2074">
      <w:r>
        <w:separator/>
      </w:r>
    </w:p>
  </w:endnote>
  <w:endnote w:type="continuationSeparator" w:id="0">
    <w:p w14:paraId="49A6C10B" w14:textId="77777777" w:rsidR="00EB2074" w:rsidRDefault="00EB2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B673B" w14:textId="77777777" w:rsidR="004B07DB" w:rsidRPr="00DB336C" w:rsidRDefault="00DB336C" w:rsidP="00DB336C">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r w:rsidRPr="00E20935">
        <w:rPr>
          <w:rStyle w:val="Hyperlink"/>
          <w:color w:val="0070C0"/>
          <w:sz w:val="22"/>
          <w:szCs w:val="22"/>
          <w:lang w:val="en-GB"/>
        </w:rPr>
        <w:t>www.itu.int/WTPF/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FBFD4" w14:textId="77777777" w:rsidR="00EB2074" w:rsidRDefault="00EB2074">
      <w:r>
        <w:t>____________________</w:t>
      </w:r>
    </w:p>
  </w:footnote>
  <w:footnote w:type="continuationSeparator" w:id="0">
    <w:p w14:paraId="66AACE74" w14:textId="77777777" w:rsidR="00EB2074" w:rsidRDefault="00EB2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04FDC" w14:textId="5AC9CE3F" w:rsidR="00255FA1" w:rsidRPr="00DB336C" w:rsidRDefault="00DB336C" w:rsidP="003C1B77">
    <w:pPr>
      <w:pStyle w:val="Header"/>
    </w:pPr>
    <w:r>
      <w:fldChar w:fldCharType="begin"/>
    </w:r>
    <w:r>
      <w:instrText xml:space="preserve"> PAGE   \* MERGEFORMAT </w:instrText>
    </w:r>
    <w:r>
      <w:fldChar w:fldCharType="separate"/>
    </w:r>
    <w: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80F7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54A7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60D7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C2CF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FCA2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08DF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384F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CC0F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8B5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0202F08"/>
    <w:lvl w:ilvl="0">
      <w:start w:val="1"/>
      <w:numFmt w:val="bullet"/>
      <w:lvlText w:val=""/>
      <w:lvlJc w:val="left"/>
      <w:pPr>
        <w:tabs>
          <w:tab w:val="num" w:pos="360"/>
        </w:tabs>
        <w:ind w:left="360" w:hanging="360"/>
      </w:pPr>
      <w:rPr>
        <w:rFonts w:ascii="Symbol" w:hAnsi="Symbol" w:hint="default"/>
      </w:rPr>
    </w:lvl>
  </w:abstractNum>
  <w:num w:numId="1" w16cid:durableId="1231162132">
    <w:abstractNumId w:val="9"/>
  </w:num>
  <w:num w:numId="2" w16cid:durableId="1423599617">
    <w:abstractNumId w:val="7"/>
  </w:num>
  <w:num w:numId="3" w16cid:durableId="500855778">
    <w:abstractNumId w:val="6"/>
  </w:num>
  <w:num w:numId="4" w16cid:durableId="1953903617">
    <w:abstractNumId w:val="5"/>
  </w:num>
  <w:num w:numId="5" w16cid:durableId="1033963013">
    <w:abstractNumId w:val="4"/>
  </w:num>
  <w:num w:numId="6" w16cid:durableId="1313876875">
    <w:abstractNumId w:val="8"/>
  </w:num>
  <w:num w:numId="7" w16cid:durableId="399981840">
    <w:abstractNumId w:val="3"/>
  </w:num>
  <w:num w:numId="8" w16cid:durableId="645471273">
    <w:abstractNumId w:val="2"/>
  </w:num>
  <w:num w:numId="9" w16cid:durableId="1766805467">
    <w:abstractNumId w:val="1"/>
  </w:num>
  <w:num w:numId="10" w16cid:durableId="1302540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BD1"/>
    <w:rsid w:val="0000188C"/>
    <w:rsid w:val="000507CA"/>
    <w:rsid w:val="00055C50"/>
    <w:rsid w:val="00057402"/>
    <w:rsid w:val="00075113"/>
    <w:rsid w:val="000863AB"/>
    <w:rsid w:val="000A1523"/>
    <w:rsid w:val="000B1752"/>
    <w:rsid w:val="000B1BD1"/>
    <w:rsid w:val="0010546D"/>
    <w:rsid w:val="00135F93"/>
    <w:rsid w:val="001632E3"/>
    <w:rsid w:val="001B1EF5"/>
    <w:rsid w:val="001B3234"/>
    <w:rsid w:val="001D4983"/>
    <w:rsid w:val="001D6EC3"/>
    <w:rsid w:val="001D787B"/>
    <w:rsid w:val="001E3D06"/>
    <w:rsid w:val="001F0B24"/>
    <w:rsid w:val="001F2819"/>
    <w:rsid w:val="001F4406"/>
    <w:rsid w:val="001F5B03"/>
    <w:rsid w:val="00225F6B"/>
    <w:rsid w:val="00237C17"/>
    <w:rsid w:val="00242376"/>
    <w:rsid w:val="00254BFC"/>
    <w:rsid w:val="00255FA1"/>
    <w:rsid w:val="00262FF4"/>
    <w:rsid w:val="00277985"/>
    <w:rsid w:val="002C6527"/>
    <w:rsid w:val="002E44FC"/>
    <w:rsid w:val="002F5C72"/>
    <w:rsid w:val="003537B5"/>
    <w:rsid w:val="00365F30"/>
    <w:rsid w:val="003707E5"/>
    <w:rsid w:val="00375610"/>
    <w:rsid w:val="00391611"/>
    <w:rsid w:val="003B276A"/>
    <w:rsid w:val="003B5DC9"/>
    <w:rsid w:val="003C1B77"/>
    <w:rsid w:val="003D0027"/>
    <w:rsid w:val="003E6E73"/>
    <w:rsid w:val="00451395"/>
    <w:rsid w:val="00484B72"/>
    <w:rsid w:val="00491A25"/>
    <w:rsid w:val="004A21CC"/>
    <w:rsid w:val="004A346E"/>
    <w:rsid w:val="004A63A9"/>
    <w:rsid w:val="004B07DB"/>
    <w:rsid w:val="004B09D4"/>
    <w:rsid w:val="004B0BCB"/>
    <w:rsid w:val="004C27F5"/>
    <w:rsid w:val="004C39C6"/>
    <w:rsid w:val="004D15DE"/>
    <w:rsid w:val="004D23BA"/>
    <w:rsid w:val="004E069C"/>
    <w:rsid w:val="004E08E0"/>
    <w:rsid w:val="004E28FB"/>
    <w:rsid w:val="004F4BB1"/>
    <w:rsid w:val="00504FD4"/>
    <w:rsid w:val="00507662"/>
    <w:rsid w:val="00523448"/>
    <w:rsid w:val="005359B6"/>
    <w:rsid w:val="005470E8"/>
    <w:rsid w:val="00550FCF"/>
    <w:rsid w:val="00556958"/>
    <w:rsid w:val="005677A5"/>
    <w:rsid w:val="00567ED5"/>
    <w:rsid w:val="00580DAA"/>
    <w:rsid w:val="005A329F"/>
    <w:rsid w:val="005D1164"/>
    <w:rsid w:val="005D6488"/>
    <w:rsid w:val="005F6278"/>
    <w:rsid w:val="00601280"/>
    <w:rsid w:val="00641DBD"/>
    <w:rsid w:val="006426C0"/>
    <w:rsid w:val="006455D2"/>
    <w:rsid w:val="006537F3"/>
    <w:rsid w:val="00682039"/>
    <w:rsid w:val="006B5512"/>
    <w:rsid w:val="006B5C62"/>
    <w:rsid w:val="006B7CAE"/>
    <w:rsid w:val="006C190D"/>
    <w:rsid w:val="00720686"/>
    <w:rsid w:val="00737EFF"/>
    <w:rsid w:val="00750806"/>
    <w:rsid w:val="007573C6"/>
    <w:rsid w:val="007875D2"/>
    <w:rsid w:val="007D61E2"/>
    <w:rsid w:val="007F6EBC"/>
    <w:rsid w:val="00802FD6"/>
    <w:rsid w:val="00810D8B"/>
    <w:rsid w:val="00882773"/>
    <w:rsid w:val="008B4706"/>
    <w:rsid w:val="008B6676"/>
    <w:rsid w:val="008C3FA8"/>
    <w:rsid w:val="008E51C5"/>
    <w:rsid w:val="008F7109"/>
    <w:rsid w:val="008F7F3E"/>
    <w:rsid w:val="009107B0"/>
    <w:rsid w:val="009220DE"/>
    <w:rsid w:val="00930E84"/>
    <w:rsid w:val="009415B6"/>
    <w:rsid w:val="00956FE6"/>
    <w:rsid w:val="0099270D"/>
    <w:rsid w:val="0099551E"/>
    <w:rsid w:val="009A1A86"/>
    <w:rsid w:val="009D1BE0"/>
    <w:rsid w:val="009E0C42"/>
    <w:rsid w:val="00A50BE3"/>
    <w:rsid w:val="00A70E95"/>
    <w:rsid w:val="00A8107B"/>
    <w:rsid w:val="00AA1F73"/>
    <w:rsid w:val="00AB190D"/>
    <w:rsid w:val="00AB34CA"/>
    <w:rsid w:val="00AB7640"/>
    <w:rsid w:val="00AD400E"/>
    <w:rsid w:val="00AE3305"/>
    <w:rsid w:val="00AF0DC5"/>
    <w:rsid w:val="00B012B7"/>
    <w:rsid w:val="00B30C52"/>
    <w:rsid w:val="00B501AB"/>
    <w:rsid w:val="00B73978"/>
    <w:rsid w:val="00B77C4D"/>
    <w:rsid w:val="00BB13FE"/>
    <w:rsid w:val="00BC7EE2"/>
    <w:rsid w:val="00BF32F2"/>
    <w:rsid w:val="00BF5475"/>
    <w:rsid w:val="00C20ED7"/>
    <w:rsid w:val="00C42D2D"/>
    <w:rsid w:val="00C43474"/>
    <w:rsid w:val="00C61A48"/>
    <w:rsid w:val="00C80F8F"/>
    <w:rsid w:val="00C84355"/>
    <w:rsid w:val="00C84A65"/>
    <w:rsid w:val="00CA3051"/>
    <w:rsid w:val="00CD20D9"/>
    <w:rsid w:val="00CD701A"/>
    <w:rsid w:val="00D04D2C"/>
    <w:rsid w:val="00D05AAE"/>
    <w:rsid w:val="00D05E6B"/>
    <w:rsid w:val="00D066F8"/>
    <w:rsid w:val="00D254A6"/>
    <w:rsid w:val="00D42B55"/>
    <w:rsid w:val="00D57D70"/>
    <w:rsid w:val="00D84907"/>
    <w:rsid w:val="00D935F7"/>
    <w:rsid w:val="00DB336C"/>
    <w:rsid w:val="00DE3E41"/>
    <w:rsid w:val="00E05D81"/>
    <w:rsid w:val="00E20935"/>
    <w:rsid w:val="00E313E9"/>
    <w:rsid w:val="00E53DFC"/>
    <w:rsid w:val="00E66FC3"/>
    <w:rsid w:val="00E677DD"/>
    <w:rsid w:val="00E77F17"/>
    <w:rsid w:val="00E809D8"/>
    <w:rsid w:val="00E921EC"/>
    <w:rsid w:val="00EA433D"/>
    <w:rsid w:val="00EB2074"/>
    <w:rsid w:val="00EB23D0"/>
    <w:rsid w:val="00EC395A"/>
    <w:rsid w:val="00F01632"/>
    <w:rsid w:val="00F04858"/>
    <w:rsid w:val="00F13AA4"/>
    <w:rsid w:val="00F21A8A"/>
    <w:rsid w:val="00F3510D"/>
    <w:rsid w:val="00F43C07"/>
    <w:rsid w:val="00F43D44"/>
    <w:rsid w:val="00F80E6E"/>
    <w:rsid w:val="00F81A87"/>
    <w:rsid w:val="00FD19EF"/>
    <w:rsid w:val="00FD7A1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818696"/>
  <w15:docId w15:val="{36306E3F-14FF-4969-8F56-6ED8D072F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63A9"/>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s-ES_tradnl" w:eastAsia="en-US"/>
    </w:rPr>
  </w:style>
  <w:style w:type="paragraph" w:styleId="Heading1">
    <w:name w:val="heading 1"/>
    <w:basedOn w:val="Normal"/>
    <w:next w:val="Normal"/>
    <w:qFormat/>
    <w:rsid w:val="004A63A9"/>
    <w:pPr>
      <w:keepNext/>
      <w:keepLines/>
      <w:spacing w:before="480"/>
      <w:ind w:left="567" w:hanging="567"/>
      <w:outlineLvl w:val="0"/>
    </w:pPr>
    <w:rPr>
      <w:b/>
      <w:sz w:val="28"/>
    </w:rPr>
  </w:style>
  <w:style w:type="paragraph" w:styleId="Heading2">
    <w:name w:val="heading 2"/>
    <w:basedOn w:val="Heading1"/>
    <w:next w:val="Normal"/>
    <w:qFormat/>
    <w:rsid w:val="00BB13FE"/>
    <w:pPr>
      <w:spacing w:before="320"/>
      <w:outlineLvl w:val="1"/>
    </w:pPr>
    <w:rPr>
      <w:sz w:val="24"/>
    </w:rPr>
  </w:style>
  <w:style w:type="paragraph" w:styleId="Heading3">
    <w:name w:val="heading 3"/>
    <w:basedOn w:val="Heading1"/>
    <w:next w:val="Normal"/>
    <w:qFormat/>
    <w:rsid w:val="00BB13FE"/>
    <w:pPr>
      <w:spacing w:before="200"/>
      <w:outlineLvl w:val="2"/>
    </w:pPr>
    <w:rPr>
      <w:sz w:val="24"/>
    </w:rPr>
  </w:style>
  <w:style w:type="paragraph" w:styleId="Heading4">
    <w:name w:val="heading 4"/>
    <w:basedOn w:val="Heading3"/>
    <w:next w:val="Normal"/>
    <w:qFormat/>
    <w:rsid w:val="00A70E95"/>
    <w:pPr>
      <w:ind w:left="1134" w:hanging="1134"/>
      <w:outlineLvl w:val="3"/>
    </w:pPr>
  </w:style>
  <w:style w:type="paragraph" w:styleId="Heading5">
    <w:name w:val="heading 5"/>
    <w:basedOn w:val="Heading4"/>
    <w:next w:val="Normal"/>
    <w:qFormat/>
    <w:rsid w:val="00A70E95"/>
    <w:pPr>
      <w:outlineLvl w:val="4"/>
    </w:pPr>
  </w:style>
  <w:style w:type="paragraph" w:styleId="Heading6">
    <w:name w:val="heading 6"/>
    <w:basedOn w:val="Heading4"/>
    <w:next w:val="Normal"/>
    <w:qFormat/>
    <w:rsid w:val="00A70E95"/>
    <w:pPr>
      <w:outlineLvl w:val="5"/>
    </w:pPr>
  </w:style>
  <w:style w:type="paragraph" w:styleId="Heading7">
    <w:name w:val="heading 7"/>
    <w:basedOn w:val="Heading4"/>
    <w:next w:val="Normal"/>
    <w:qFormat/>
    <w:rsid w:val="00A70E95"/>
    <w:pPr>
      <w:ind w:left="1701" w:hanging="1701"/>
      <w:outlineLvl w:val="6"/>
    </w:pPr>
  </w:style>
  <w:style w:type="paragraph" w:styleId="Heading8">
    <w:name w:val="heading 8"/>
    <w:basedOn w:val="Heading4"/>
    <w:next w:val="Normal"/>
    <w:qFormat/>
    <w:rsid w:val="00A70E95"/>
    <w:pPr>
      <w:ind w:left="1701" w:hanging="1701"/>
      <w:outlineLvl w:val="7"/>
    </w:pPr>
  </w:style>
  <w:style w:type="paragraph" w:styleId="Heading9">
    <w:name w:val="heading 9"/>
    <w:basedOn w:val="Heading4"/>
    <w:next w:val="Normal"/>
    <w:qFormat/>
    <w:rsid w:val="00A70E95"/>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A70E95"/>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A70E95"/>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A70E9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A70E9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A70E95"/>
    <w:rPr>
      <w:position w:val="6"/>
      <w:sz w:val="16"/>
    </w:rPr>
  </w:style>
  <w:style w:type="paragraph" w:styleId="FootnoteText">
    <w:name w:val="footnote text"/>
    <w:basedOn w:val="Normal"/>
    <w:rsid w:val="00A70E95"/>
    <w:pPr>
      <w:keepLines/>
      <w:tabs>
        <w:tab w:val="left" w:pos="256"/>
      </w:tabs>
      <w:ind w:left="256" w:hanging="256"/>
    </w:pPr>
  </w:style>
  <w:style w:type="paragraph" w:styleId="NormalIndent">
    <w:name w:val="Normal Indent"/>
    <w:basedOn w:val="Normal"/>
    <w:rsid w:val="00A70E95"/>
    <w:pPr>
      <w:ind w:left="567"/>
    </w:pPr>
  </w:style>
  <w:style w:type="paragraph" w:customStyle="1" w:styleId="Tablelegend">
    <w:name w:val="Table_legend"/>
    <w:basedOn w:val="Tabletext"/>
    <w:rsid w:val="00A70E95"/>
    <w:pPr>
      <w:spacing w:before="120"/>
    </w:pPr>
  </w:style>
  <w:style w:type="paragraph" w:customStyle="1" w:styleId="Tabletext">
    <w:name w:val="Table_text"/>
    <w:basedOn w:val="Normal"/>
    <w:rsid w:val="00A70E95"/>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A70E95"/>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A70E95"/>
    <w:pPr>
      <w:keepNext/>
      <w:spacing w:before="560" w:after="120"/>
      <w:jc w:val="center"/>
    </w:pPr>
    <w:rPr>
      <w:caps/>
    </w:rPr>
  </w:style>
  <w:style w:type="paragraph" w:customStyle="1" w:styleId="enumlev1">
    <w:name w:val="enumlev1"/>
    <w:basedOn w:val="Normal"/>
    <w:rsid w:val="00A70E95"/>
    <w:pPr>
      <w:spacing w:before="86"/>
      <w:ind w:left="567" w:hanging="567"/>
    </w:pPr>
  </w:style>
  <w:style w:type="paragraph" w:customStyle="1" w:styleId="enumlev2">
    <w:name w:val="enumlev2"/>
    <w:basedOn w:val="enumlev1"/>
    <w:rsid w:val="00A70E95"/>
    <w:pPr>
      <w:ind w:left="1134"/>
    </w:pPr>
  </w:style>
  <w:style w:type="paragraph" w:customStyle="1" w:styleId="enumlev3">
    <w:name w:val="enumlev3"/>
    <w:basedOn w:val="enumlev2"/>
    <w:rsid w:val="00A70E95"/>
    <w:pPr>
      <w:ind w:left="1701"/>
    </w:pPr>
  </w:style>
  <w:style w:type="paragraph" w:customStyle="1" w:styleId="Tablehead">
    <w:name w:val="Table_head"/>
    <w:basedOn w:val="Tabletext"/>
    <w:rsid w:val="00A70E95"/>
    <w:pPr>
      <w:spacing w:before="120" w:after="120"/>
      <w:jc w:val="center"/>
    </w:pPr>
    <w:rPr>
      <w:b/>
    </w:rPr>
  </w:style>
  <w:style w:type="paragraph" w:customStyle="1" w:styleId="Normalaftertitle">
    <w:name w:val="Normal after title"/>
    <w:basedOn w:val="Normal"/>
    <w:next w:val="Normal"/>
    <w:rsid w:val="00A70E95"/>
    <w:pPr>
      <w:spacing w:before="240"/>
    </w:pPr>
  </w:style>
  <w:style w:type="paragraph" w:customStyle="1" w:styleId="AnnexNo">
    <w:name w:val="Annex_No"/>
    <w:basedOn w:val="Normal"/>
    <w:next w:val="Annexref"/>
    <w:rsid w:val="00BB13FE"/>
    <w:pPr>
      <w:spacing w:before="720"/>
      <w:jc w:val="center"/>
    </w:pPr>
    <w:rPr>
      <w:caps/>
      <w:sz w:val="28"/>
    </w:rPr>
  </w:style>
  <w:style w:type="paragraph" w:customStyle="1" w:styleId="Annexref">
    <w:name w:val="Annex_ref"/>
    <w:basedOn w:val="Normal"/>
    <w:next w:val="Annextitle"/>
    <w:rsid w:val="00BB13FE"/>
    <w:pPr>
      <w:jc w:val="center"/>
    </w:pPr>
    <w:rPr>
      <w:sz w:val="28"/>
    </w:rPr>
  </w:style>
  <w:style w:type="paragraph" w:customStyle="1" w:styleId="Annextitle">
    <w:name w:val="Annex_title"/>
    <w:basedOn w:val="Normal"/>
    <w:next w:val="Normal"/>
    <w:rsid w:val="00BB13FE"/>
    <w:pPr>
      <w:spacing w:before="240" w:after="240"/>
      <w:jc w:val="center"/>
    </w:pPr>
    <w:rPr>
      <w:b/>
      <w:sz w:val="28"/>
    </w:rPr>
  </w:style>
  <w:style w:type="paragraph" w:customStyle="1" w:styleId="AppendixNo">
    <w:name w:val="Appendix_No"/>
    <w:basedOn w:val="AnnexNo"/>
    <w:next w:val="Appendixref"/>
    <w:rsid w:val="00A70E95"/>
  </w:style>
  <w:style w:type="paragraph" w:customStyle="1" w:styleId="Appendixref">
    <w:name w:val="Appendix_ref"/>
    <w:basedOn w:val="Annexref"/>
    <w:next w:val="Appendixtitle"/>
    <w:rsid w:val="00A70E95"/>
  </w:style>
  <w:style w:type="paragraph" w:customStyle="1" w:styleId="Appendixtitle">
    <w:name w:val="Appendix_title"/>
    <w:basedOn w:val="Annextitle"/>
    <w:next w:val="Normal"/>
    <w:rsid w:val="00A70E95"/>
  </w:style>
  <w:style w:type="paragraph" w:customStyle="1" w:styleId="Reftitle">
    <w:name w:val="Ref_title"/>
    <w:basedOn w:val="Normal"/>
    <w:next w:val="Reftext"/>
    <w:rsid w:val="00BB13FE"/>
    <w:pPr>
      <w:spacing w:before="480"/>
      <w:jc w:val="center"/>
    </w:pPr>
    <w:rPr>
      <w:caps/>
      <w:sz w:val="28"/>
    </w:rPr>
  </w:style>
  <w:style w:type="paragraph" w:customStyle="1" w:styleId="Reftext">
    <w:name w:val="Ref_text"/>
    <w:basedOn w:val="Normal"/>
    <w:rsid w:val="00A70E95"/>
    <w:pPr>
      <w:ind w:left="567" w:hanging="567"/>
    </w:pPr>
  </w:style>
  <w:style w:type="paragraph" w:customStyle="1" w:styleId="Rectitle">
    <w:name w:val="Rec_title"/>
    <w:basedOn w:val="Normal"/>
    <w:next w:val="Heading1"/>
    <w:rsid w:val="004A63A9"/>
    <w:pPr>
      <w:spacing w:before="240"/>
      <w:jc w:val="center"/>
    </w:pPr>
    <w:rPr>
      <w:b/>
      <w:sz w:val="28"/>
    </w:rPr>
  </w:style>
  <w:style w:type="paragraph" w:customStyle="1" w:styleId="Call">
    <w:name w:val="Call"/>
    <w:basedOn w:val="Normal"/>
    <w:next w:val="Normal"/>
    <w:rsid w:val="00A70E95"/>
    <w:pPr>
      <w:keepNext/>
      <w:keepLines/>
      <w:tabs>
        <w:tab w:val="clear" w:pos="1134"/>
        <w:tab w:val="clear" w:pos="1701"/>
        <w:tab w:val="clear" w:pos="2268"/>
        <w:tab w:val="clear" w:pos="2835"/>
      </w:tabs>
      <w:spacing w:before="160"/>
      <w:ind w:left="567"/>
    </w:pPr>
    <w:rPr>
      <w:i/>
    </w:rPr>
  </w:style>
  <w:style w:type="paragraph" w:customStyle="1" w:styleId="RecNo">
    <w:name w:val="Rec_No"/>
    <w:basedOn w:val="Normal"/>
    <w:next w:val="Rectitle"/>
    <w:rsid w:val="00BB13FE"/>
    <w:pPr>
      <w:spacing w:before="720"/>
      <w:jc w:val="center"/>
    </w:pPr>
    <w:rPr>
      <w:caps/>
      <w:sz w:val="28"/>
    </w:rPr>
  </w:style>
  <w:style w:type="paragraph" w:customStyle="1" w:styleId="toc0">
    <w:name w:val="toc 0"/>
    <w:basedOn w:val="Normal"/>
    <w:next w:val="TOC1"/>
    <w:rsid w:val="00A70E95"/>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BB13FE"/>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A70E95"/>
    <w:pPr>
      <w:tabs>
        <w:tab w:val="clear" w:pos="567"/>
        <w:tab w:val="left" w:pos="851"/>
      </w:tabs>
    </w:pPr>
  </w:style>
  <w:style w:type="paragraph" w:customStyle="1" w:styleId="MinusFootnote">
    <w:name w:val="MinusFootnote"/>
    <w:basedOn w:val="Normal"/>
    <w:rsid w:val="00A70E95"/>
    <w:pPr>
      <w:ind w:left="-1701" w:hanging="284"/>
    </w:pPr>
  </w:style>
  <w:style w:type="paragraph" w:customStyle="1" w:styleId="Title3">
    <w:name w:val="Title 3"/>
    <w:basedOn w:val="Title2"/>
    <w:next w:val="Normalaftertitle"/>
    <w:rsid w:val="00A70E95"/>
    <w:rPr>
      <w:caps w:val="0"/>
    </w:rPr>
  </w:style>
  <w:style w:type="paragraph" w:customStyle="1" w:styleId="Title2">
    <w:name w:val="Title 2"/>
    <w:basedOn w:val="Source"/>
    <w:next w:val="Title3"/>
    <w:rsid w:val="00A70E95"/>
    <w:pPr>
      <w:spacing w:before="240"/>
    </w:pPr>
    <w:rPr>
      <w:b w:val="0"/>
      <w:caps/>
    </w:rPr>
  </w:style>
  <w:style w:type="paragraph" w:customStyle="1" w:styleId="Source">
    <w:name w:val="Source"/>
    <w:basedOn w:val="Normal"/>
    <w:next w:val="Title1"/>
    <w:rsid w:val="000A1523"/>
    <w:pPr>
      <w:spacing w:before="840"/>
      <w:jc w:val="center"/>
    </w:pPr>
    <w:rPr>
      <w:b/>
      <w:sz w:val="28"/>
    </w:rPr>
  </w:style>
  <w:style w:type="paragraph" w:customStyle="1" w:styleId="Title1">
    <w:name w:val="Title 1"/>
    <w:basedOn w:val="Source"/>
    <w:next w:val="Title2"/>
    <w:rsid w:val="00A70E95"/>
    <w:pPr>
      <w:spacing w:before="240"/>
    </w:pPr>
    <w:rPr>
      <w:b w:val="0"/>
      <w:caps/>
    </w:rPr>
  </w:style>
  <w:style w:type="paragraph" w:customStyle="1" w:styleId="ArtNo">
    <w:name w:val="Art_No"/>
    <w:basedOn w:val="Normal"/>
    <w:next w:val="Arttitle"/>
    <w:rsid w:val="00BB13FE"/>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B13FE"/>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A70E95"/>
  </w:style>
  <w:style w:type="paragraph" w:customStyle="1" w:styleId="Chaptitle">
    <w:name w:val="Chap_title"/>
    <w:basedOn w:val="Arttitle"/>
    <w:next w:val="Normal"/>
    <w:rsid w:val="00A70E95"/>
  </w:style>
  <w:style w:type="paragraph" w:customStyle="1" w:styleId="Reasons">
    <w:name w:val="Reasons"/>
    <w:basedOn w:val="Normal"/>
    <w:qFormat/>
    <w:rsid w:val="00A70E95"/>
  </w:style>
  <w:style w:type="paragraph" w:customStyle="1" w:styleId="ResNo">
    <w:name w:val="Res_No"/>
    <w:basedOn w:val="AnnexNo"/>
    <w:next w:val="Restitle"/>
    <w:rsid w:val="00A70E95"/>
  </w:style>
  <w:style w:type="paragraph" w:customStyle="1" w:styleId="Restitle">
    <w:name w:val="Res_title"/>
    <w:basedOn w:val="Annextitle"/>
    <w:next w:val="Normal"/>
    <w:rsid w:val="004A63A9"/>
  </w:style>
  <w:style w:type="paragraph" w:customStyle="1" w:styleId="AnnexNoS2">
    <w:name w:val="Annex_No_S2"/>
    <w:basedOn w:val="AnnexNo"/>
    <w:next w:val="AnnexrefS2"/>
    <w:rsid w:val="00BB13FE"/>
    <w:pPr>
      <w:tabs>
        <w:tab w:val="clear" w:pos="567"/>
        <w:tab w:val="clear" w:pos="1134"/>
        <w:tab w:val="clear" w:pos="1701"/>
        <w:tab w:val="clear" w:pos="2268"/>
        <w:tab w:val="clear" w:pos="2835"/>
        <w:tab w:val="left" w:pos="851"/>
      </w:tabs>
      <w:jc w:val="left"/>
    </w:pPr>
    <w:rPr>
      <w:b/>
      <w:sz w:val="24"/>
    </w:rPr>
  </w:style>
  <w:style w:type="paragraph" w:customStyle="1" w:styleId="AnnexrefS2">
    <w:name w:val="Annex_ref_S2"/>
    <w:basedOn w:val="Annexref"/>
    <w:next w:val="AnnextitleS2"/>
    <w:rsid w:val="00BB13FE"/>
    <w:pPr>
      <w:tabs>
        <w:tab w:val="clear" w:pos="567"/>
        <w:tab w:val="clear" w:pos="1134"/>
        <w:tab w:val="clear" w:pos="1701"/>
        <w:tab w:val="clear" w:pos="2268"/>
        <w:tab w:val="clear" w:pos="2835"/>
        <w:tab w:val="left" w:pos="851"/>
      </w:tabs>
      <w:jc w:val="left"/>
    </w:pPr>
    <w:rPr>
      <w:b/>
      <w:sz w:val="24"/>
    </w:rPr>
  </w:style>
  <w:style w:type="paragraph" w:customStyle="1" w:styleId="AnnextitleS2">
    <w:name w:val="Annex_title_S2"/>
    <w:basedOn w:val="Annextitle"/>
    <w:next w:val="NormalS2"/>
    <w:rsid w:val="00BB13FE"/>
    <w:pPr>
      <w:tabs>
        <w:tab w:val="clear" w:pos="567"/>
        <w:tab w:val="clear" w:pos="1134"/>
        <w:tab w:val="clear" w:pos="1701"/>
        <w:tab w:val="clear" w:pos="2268"/>
        <w:tab w:val="clear" w:pos="2835"/>
        <w:tab w:val="left" w:pos="851"/>
      </w:tabs>
      <w:jc w:val="left"/>
    </w:pPr>
    <w:rPr>
      <w:sz w:val="24"/>
    </w:rPr>
  </w:style>
  <w:style w:type="paragraph" w:customStyle="1" w:styleId="NormalS2">
    <w:name w:val="Normal_S2"/>
    <w:basedOn w:val="Normal"/>
    <w:rsid w:val="00A70E95"/>
    <w:pPr>
      <w:tabs>
        <w:tab w:val="clear" w:pos="567"/>
        <w:tab w:val="clear" w:pos="1134"/>
        <w:tab w:val="clear" w:pos="1701"/>
        <w:tab w:val="clear" w:pos="2268"/>
        <w:tab w:val="clear" w:pos="2835"/>
        <w:tab w:val="left" w:pos="851"/>
      </w:tabs>
    </w:pPr>
    <w:rPr>
      <w:b/>
    </w:rPr>
  </w:style>
  <w:style w:type="paragraph" w:customStyle="1" w:styleId="Section1">
    <w:name w:val="Section 1"/>
    <w:basedOn w:val="ChapNo"/>
    <w:next w:val="Normal"/>
    <w:rsid w:val="00A70E95"/>
    <w:rPr>
      <w:caps w:val="0"/>
    </w:rPr>
  </w:style>
  <w:style w:type="paragraph" w:customStyle="1" w:styleId="Section2">
    <w:name w:val="Section 2"/>
    <w:basedOn w:val="Section1"/>
    <w:next w:val="Normal"/>
    <w:rsid w:val="00A70E95"/>
    <w:pPr>
      <w:spacing w:before="240"/>
    </w:pPr>
    <w:rPr>
      <w:b/>
      <w:i/>
    </w:rPr>
  </w:style>
  <w:style w:type="paragraph" w:customStyle="1" w:styleId="AppendixNoS2">
    <w:name w:val="Appendix_No_S2"/>
    <w:basedOn w:val="AppendixNo"/>
    <w:next w:val="AppendixrefS2"/>
    <w:rsid w:val="00BB13FE"/>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BB13FE"/>
    <w:pPr>
      <w:tabs>
        <w:tab w:val="clear" w:pos="567"/>
        <w:tab w:val="clear" w:pos="1134"/>
        <w:tab w:val="clear" w:pos="1701"/>
        <w:tab w:val="clear" w:pos="2268"/>
        <w:tab w:val="clear" w:pos="2835"/>
        <w:tab w:val="left" w:pos="851"/>
      </w:tabs>
      <w:jc w:val="left"/>
    </w:pPr>
    <w:rPr>
      <w:b/>
      <w:sz w:val="24"/>
    </w:rPr>
  </w:style>
  <w:style w:type="paragraph" w:customStyle="1" w:styleId="AppendixtitleS2">
    <w:name w:val="Appendix_title_S2"/>
    <w:basedOn w:val="Appendixtitle"/>
    <w:next w:val="NormalS2"/>
    <w:rsid w:val="00BB13FE"/>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BB13FE"/>
    <w:pPr>
      <w:tabs>
        <w:tab w:val="left" w:pos="851"/>
      </w:tabs>
      <w:jc w:val="left"/>
    </w:pPr>
    <w:rPr>
      <w:b/>
      <w:sz w:val="24"/>
    </w:rPr>
  </w:style>
  <w:style w:type="paragraph" w:customStyle="1" w:styleId="ArttitleS2">
    <w:name w:val="Art_title_S2"/>
    <w:basedOn w:val="Arttitle"/>
    <w:next w:val="NormalS2"/>
    <w:rsid w:val="00BB13FE"/>
    <w:pPr>
      <w:tabs>
        <w:tab w:val="left" w:pos="851"/>
      </w:tabs>
      <w:jc w:val="left"/>
    </w:pPr>
    <w:rPr>
      <w:sz w:val="24"/>
    </w:rPr>
  </w:style>
  <w:style w:type="paragraph" w:customStyle="1" w:styleId="ChapNoS2">
    <w:name w:val="Chap_No_S2"/>
    <w:basedOn w:val="ChapNo"/>
    <w:next w:val="ChaptitleS2"/>
    <w:rsid w:val="004A63A9"/>
    <w:pPr>
      <w:tabs>
        <w:tab w:val="left" w:pos="851"/>
      </w:tabs>
      <w:jc w:val="left"/>
    </w:pPr>
    <w:rPr>
      <w:b/>
      <w:sz w:val="24"/>
    </w:rPr>
  </w:style>
  <w:style w:type="paragraph" w:customStyle="1" w:styleId="ChaptitleS2">
    <w:name w:val="Chap_title_S2"/>
    <w:basedOn w:val="Chaptitle"/>
    <w:next w:val="NormalS2"/>
    <w:rsid w:val="00BB13FE"/>
    <w:pPr>
      <w:tabs>
        <w:tab w:val="left" w:pos="851"/>
      </w:tabs>
      <w:jc w:val="left"/>
    </w:pPr>
    <w:rPr>
      <w:sz w:val="24"/>
    </w:rPr>
  </w:style>
  <w:style w:type="paragraph" w:customStyle="1" w:styleId="enumlev1S2">
    <w:name w:val="enumlev1_S2"/>
    <w:basedOn w:val="enumlev1"/>
    <w:rsid w:val="00A70E95"/>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A70E95"/>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A70E95"/>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A70E95"/>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BB13FE"/>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A70E95"/>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BB13FE"/>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A70E95"/>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A70E95"/>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A70E95"/>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A70E95"/>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A70E95"/>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A70E95"/>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A70E95"/>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A70E95"/>
    <w:pPr>
      <w:tabs>
        <w:tab w:val="clear" w:pos="567"/>
        <w:tab w:val="clear" w:pos="1134"/>
        <w:tab w:val="clear" w:pos="1701"/>
        <w:tab w:val="clear" w:pos="2268"/>
        <w:tab w:val="clear" w:pos="2835"/>
        <w:tab w:val="left" w:pos="851"/>
      </w:tabs>
      <w:ind w:left="0"/>
    </w:pPr>
    <w:rPr>
      <w:b/>
    </w:rPr>
  </w:style>
  <w:style w:type="paragraph" w:customStyle="1" w:styleId="ReasonsS2">
    <w:name w:val="Reasons_S2"/>
    <w:basedOn w:val="Reasons"/>
    <w:rsid w:val="00A70E95"/>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BB13FE"/>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BB13FE"/>
    <w:pPr>
      <w:tabs>
        <w:tab w:val="clear" w:pos="567"/>
        <w:tab w:val="clear" w:pos="1134"/>
        <w:tab w:val="clear" w:pos="1701"/>
        <w:tab w:val="clear" w:pos="2268"/>
        <w:tab w:val="clear" w:pos="2835"/>
        <w:tab w:val="left" w:pos="851"/>
      </w:tabs>
      <w:jc w:val="left"/>
    </w:pPr>
    <w:rPr>
      <w:caps/>
      <w:sz w:val="24"/>
    </w:rPr>
  </w:style>
  <w:style w:type="paragraph" w:customStyle="1" w:styleId="ReftextS2">
    <w:name w:val="Ref_text_S2"/>
    <w:basedOn w:val="Reftext"/>
    <w:rsid w:val="00A70E95"/>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BB13FE"/>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BB13FE"/>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BB13FE"/>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BB13FE"/>
    <w:pPr>
      <w:tabs>
        <w:tab w:val="left" w:pos="851"/>
      </w:tabs>
      <w:jc w:val="left"/>
    </w:pPr>
    <w:rPr>
      <w:caps/>
      <w:sz w:val="24"/>
    </w:rPr>
  </w:style>
  <w:style w:type="paragraph" w:customStyle="1" w:styleId="Section2S2">
    <w:name w:val="Section 2_S2"/>
    <w:basedOn w:val="Section2"/>
    <w:next w:val="NormalS2"/>
    <w:rsid w:val="004A63A9"/>
    <w:pPr>
      <w:tabs>
        <w:tab w:val="left" w:pos="851"/>
      </w:tabs>
      <w:jc w:val="left"/>
    </w:pPr>
    <w:rPr>
      <w:sz w:val="24"/>
    </w:rPr>
  </w:style>
  <w:style w:type="paragraph" w:customStyle="1" w:styleId="TableNoS2">
    <w:name w:val="Table_No_S2"/>
    <w:basedOn w:val="TableNo"/>
    <w:next w:val="TabletitleS2"/>
    <w:rsid w:val="00A70E95"/>
    <w:pPr>
      <w:keepNext w:val="0"/>
      <w:tabs>
        <w:tab w:val="clear" w:pos="567"/>
        <w:tab w:val="clear" w:pos="1134"/>
        <w:tab w:val="clear" w:pos="1701"/>
        <w:tab w:val="clear" w:pos="2268"/>
        <w:tab w:val="clear" w:pos="2835"/>
        <w:tab w:val="left" w:pos="851"/>
      </w:tabs>
      <w:jc w:val="left"/>
    </w:pPr>
    <w:rPr>
      <w:b/>
    </w:rPr>
  </w:style>
  <w:style w:type="paragraph" w:customStyle="1" w:styleId="TabletitleS2">
    <w:name w:val="Table_title_S2"/>
    <w:basedOn w:val="Tabletitle"/>
    <w:next w:val="TabletextS2"/>
    <w:rsid w:val="00A70E95"/>
    <w:pPr>
      <w:keepNext w:val="0"/>
      <w:tabs>
        <w:tab w:val="clear" w:pos="2948"/>
        <w:tab w:val="clear" w:pos="4082"/>
        <w:tab w:val="left" w:pos="851"/>
      </w:tabs>
      <w:jc w:val="left"/>
    </w:pPr>
  </w:style>
  <w:style w:type="paragraph" w:customStyle="1" w:styleId="TabletextS2">
    <w:name w:val="Table_text_S2"/>
    <w:basedOn w:val="Tabletext"/>
    <w:rsid w:val="00A70E95"/>
    <w:pPr>
      <w:tabs>
        <w:tab w:val="left" w:pos="851"/>
      </w:tabs>
    </w:pPr>
    <w:rPr>
      <w:b/>
    </w:rPr>
  </w:style>
  <w:style w:type="paragraph" w:customStyle="1" w:styleId="TablelegendS2">
    <w:name w:val="Table_legend_S2"/>
    <w:basedOn w:val="Tablelegend"/>
    <w:rsid w:val="00A70E95"/>
    <w:pPr>
      <w:tabs>
        <w:tab w:val="left" w:pos="851"/>
      </w:tabs>
      <w:spacing w:after="0"/>
    </w:pPr>
    <w:rPr>
      <w:b/>
    </w:rPr>
  </w:style>
  <w:style w:type="paragraph" w:customStyle="1" w:styleId="FooterS2">
    <w:name w:val="Footer_S2"/>
    <w:basedOn w:val="Footer"/>
    <w:rsid w:val="00A70E95"/>
    <w:pPr>
      <w:tabs>
        <w:tab w:val="clear" w:pos="5954"/>
        <w:tab w:val="clear" w:pos="9639"/>
        <w:tab w:val="left" w:pos="3686"/>
        <w:tab w:val="right" w:pos="7655"/>
      </w:tabs>
      <w:ind w:left="-1985"/>
    </w:pPr>
  </w:style>
  <w:style w:type="paragraph" w:customStyle="1" w:styleId="HeaderS2">
    <w:name w:val="Header_S2"/>
    <w:basedOn w:val="Normal"/>
    <w:rsid w:val="00A70E95"/>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A70E95"/>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A70E95"/>
    <w:pPr>
      <w:tabs>
        <w:tab w:val="left" w:pos="851"/>
      </w:tabs>
      <w:jc w:val="left"/>
    </w:pPr>
  </w:style>
  <w:style w:type="paragraph" w:customStyle="1" w:styleId="NoteS2">
    <w:name w:val="Note_S2"/>
    <w:basedOn w:val="Note"/>
    <w:rsid w:val="00A70E95"/>
    <w:pPr>
      <w:tabs>
        <w:tab w:val="clear" w:pos="1134"/>
        <w:tab w:val="clear" w:pos="1701"/>
        <w:tab w:val="clear" w:pos="2268"/>
        <w:tab w:val="clear" w:pos="2835"/>
      </w:tabs>
    </w:pPr>
    <w:rPr>
      <w:b/>
    </w:rPr>
  </w:style>
  <w:style w:type="paragraph" w:styleId="Date">
    <w:name w:val="Date"/>
    <w:basedOn w:val="Normal"/>
    <w:rsid w:val="00A70E95"/>
    <w:pPr>
      <w:framePr w:hSpace="181" w:wrap="notBeside" w:vAnchor="page" w:hAnchor="page" w:x="1135" w:y="852"/>
      <w:tabs>
        <w:tab w:val="clear" w:pos="2268"/>
        <w:tab w:val="left" w:pos="1843"/>
        <w:tab w:val="left" w:pos="2269"/>
        <w:tab w:val="left" w:pos="3544"/>
        <w:tab w:val="left" w:pos="3969"/>
      </w:tabs>
      <w:spacing w:before="192" w:line="240" w:lineRule="atLeast"/>
      <w:jc w:val="center"/>
    </w:pPr>
    <w:rPr>
      <w:sz w:val="20"/>
    </w:rPr>
  </w:style>
  <w:style w:type="paragraph" w:customStyle="1" w:styleId="HeadingbS2">
    <w:name w:val="Headingb_S2"/>
    <w:basedOn w:val="Headingb"/>
    <w:next w:val="NormalS2"/>
    <w:rsid w:val="00A70E95"/>
    <w:pPr>
      <w:tabs>
        <w:tab w:val="clear" w:pos="567"/>
        <w:tab w:val="clear" w:pos="1134"/>
        <w:tab w:val="clear" w:pos="1701"/>
        <w:tab w:val="clear" w:pos="2268"/>
        <w:tab w:val="clear" w:pos="2835"/>
        <w:tab w:val="left" w:pos="851"/>
      </w:tabs>
    </w:pPr>
  </w:style>
  <w:style w:type="paragraph" w:customStyle="1" w:styleId="Headingb">
    <w:name w:val="Heading_b"/>
    <w:basedOn w:val="Heading3"/>
    <w:next w:val="Normal"/>
    <w:rsid w:val="00A70E95"/>
    <w:pPr>
      <w:spacing w:before="160"/>
      <w:outlineLvl w:val="0"/>
    </w:pPr>
  </w:style>
  <w:style w:type="paragraph" w:customStyle="1" w:styleId="HeadingiS2">
    <w:name w:val="Headingi_S2"/>
    <w:basedOn w:val="Headingi"/>
    <w:next w:val="NormalS2"/>
    <w:rsid w:val="00A70E95"/>
    <w:pPr>
      <w:tabs>
        <w:tab w:val="clear" w:pos="567"/>
        <w:tab w:val="clear" w:pos="1134"/>
        <w:tab w:val="clear" w:pos="1701"/>
        <w:tab w:val="clear" w:pos="2268"/>
        <w:tab w:val="clear" w:pos="2835"/>
        <w:tab w:val="left" w:pos="851"/>
      </w:tabs>
    </w:pPr>
    <w:rPr>
      <w:b/>
      <w:i w:val="0"/>
    </w:rPr>
  </w:style>
  <w:style w:type="paragraph" w:customStyle="1" w:styleId="Headingi">
    <w:name w:val="Heading_i"/>
    <w:basedOn w:val="Heading3"/>
    <w:next w:val="Normal"/>
    <w:rsid w:val="004A63A9"/>
    <w:pPr>
      <w:spacing w:before="160"/>
      <w:outlineLvl w:val="0"/>
    </w:pPr>
    <w:rPr>
      <w:b w:val="0"/>
      <w:i/>
    </w:rPr>
  </w:style>
  <w:style w:type="paragraph" w:customStyle="1" w:styleId="FirstFooter">
    <w:name w:val="FirstFooter"/>
    <w:basedOn w:val="Footer"/>
    <w:rsid w:val="00A70E95"/>
    <w:rPr>
      <w:caps w:val="0"/>
    </w:rPr>
  </w:style>
  <w:style w:type="paragraph" w:styleId="TOC9">
    <w:name w:val="toc 9"/>
    <w:basedOn w:val="Normal"/>
    <w:next w:val="Normal"/>
    <w:rsid w:val="00A70E95"/>
    <w:pPr>
      <w:tabs>
        <w:tab w:val="clear" w:pos="567"/>
        <w:tab w:val="clear" w:pos="1134"/>
        <w:tab w:val="clear" w:pos="1701"/>
        <w:tab w:val="clear" w:pos="2268"/>
        <w:tab w:val="clear" w:pos="2835"/>
        <w:tab w:val="right" w:leader="dot" w:pos="9645"/>
      </w:tabs>
      <w:ind w:left="1920"/>
    </w:pPr>
  </w:style>
  <w:style w:type="paragraph" w:customStyle="1" w:styleId="Heading1c">
    <w:name w:val="Heading 1c"/>
    <w:basedOn w:val="Heading1"/>
    <w:next w:val="Normal"/>
    <w:rsid w:val="000863AB"/>
    <w:pPr>
      <w:ind w:left="0" w:firstLine="0"/>
      <w:jc w:val="center"/>
      <w:outlineLvl w:val="9"/>
    </w:pPr>
  </w:style>
  <w:style w:type="paragraph" w:customStyle="1" w:styleId="Heading1cS2">
    <w:name w:val="Heading 1c_S2"/>
    <w:basedOn w:val="Heading1c"/>
    <w:next w:val="NormalS2"/>
    <w:rsid w:val="00BB13FE"/>
    <w:pPr>
      <w:tabs>
        <w:tab w:val="clear" w:pos="567"/>
        <w:tab w:val="clear" w:pos="1134"/>
        <w:tab w:val="clear" w:pos="1701"/>
        <w:tab w:val="clear" w:pos="2268"/>
        <w:tab w:val="clear" w:pos="2835"/>
        <w:tab w:val="left" w:pos="851"/>
      </w:tabs>
      <w:jc w:val="left"/>
    </w:pPr>
    <w:rPr>
      <w:sz w:val="24"/>
    </w:rPr>
  </w:style>
  <w:style w:type="paragraph" w:customStyle="1" w:styleId="Heading2i">
    <w:name w:val="Heading 2i"/>
    <w:basedOn w:val="Heading2"/>
    <w:next w:val="Normal"/>
    <w:rsid w:val="004A63A9"/>
    <w:rPr>
      <w:b w:val="0"/>
      <w:i/>
    </w:rPr>
  </w:style>
  <w:style w:type="paragraph" w:customStyle="1" w:styleId="Heading2iS2">
    <w:name w:val="Heading 2i_S2"/>
    <w:basedOn w:val="Heading2i"/>
    <w:next w:val="NormalS2"/>
    <w:rsid w:val="00A70E95"/>
    <w:pPr>
      <w:tabs>
        <w:tab w:val="clear" w:pos="567"/>
        <w:tab w:val="clear" w:pos="1134"/>
        <w:tab w:val="clear" w:pos="1701"/>
        <w:tab w:val="clear" w:pos="2268"/>
        <w:tab w:val="clear" w:pos="2835"/>
        <w:tab w:val="left" w:pos="851"/>
      </w:tabs>
    </w:pPr>
    <w:rPr>
      <w:b/>
      <w:i w:val="0"/>
    </w:rPr>
  </w:style>
  <w:style w:type="character" w:styleId="PageNumber">
    <w:name w:val="page number"/>
    <w:basedOn w:val="DefaultParagraphFont"/>
    <w:rsid w:val="004A63A9"/>
    <w:rPr>
      <w:rFonts w:ascii="Calibri" w:hAnsi="Calibri"/>
    </w:rPr>
  </w:style>
  <w:style w:type="character" w:styleId="Hyperlink">
    <w:name w:val="Hyperlink"/>
    <w:basedOn w:val="DefaultParagraphFont"/>
    <w:uiPriority w:val="99"/>
    <w:rsid w:val="000863AB"/>
    <w:rPr>
      <w:rFonts w:ascii="Calibri" w:hAnsi="Calibri"/>
      <w:color w:val="0000FF"/>
      <w:u w:val="single"/>
    </w:rPr>
  </w:style>
  <w:style w:type="paragraph" w:customStyle="1" w:styleId="Head">
    <w:name w:val="Head"/>
    <w:basedOn w:val="Normal"/>
    <w:rsid w:val="00A70E95"/>
    <w:pPr>
      <w:tabs>
        <w:tab w:val="clear" w:pos="567"/>
        <w:tab w:val="clear" w:pos="1134"/>
        <w:tab w:val="clear" w:pos="1701"/>
        <w:tab w:val="clear" w:pos="2268"/>
        <w:tab w:val="clear" w:pos="2835"/>
      </w:tabs>
      <w:spacing w:before="0"/>
    </w:pPr>
  </w:style>
  <w:style w:type="paragraph" w:customStyle="1" w:styleId="Heading1pv">
    <w:name w:val="Heading 1pv"/>
    <w:basedOn w:val="Heading1"/>
    <w:next w:val="Normalpv"/>
    <w:rsid w:val="00A70E95"/>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Normalpv">
    <w:name w:val="Normal pv"/>
    <w:basedOn w:val="Normal"/>
    <w:rsid w:val="00A70E95"/>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2pv">
    <w:name w:val="Heading 2pv"/>
    <w:basedOn w:val="Heading1pv"/>
    <w:next w:val="Normalpv"/>
    <w:rsid w:val="00A70E95"/>
    <w:pPr>
      <w:spacing w:before="320"/>
      <w:outlineLvl w:val="1"/>
    </w:pPr>
  </w:style>
  <w:style w:type="paragraph" w:customStyle="1" w:styleId="Heading3pv">
    <w:name w:val="Heading 3pv"/>
    <w:basedOn w:val="Heading1pv"/>
    <w:next w:val="Normalpv"/>
    <w:rsid w:val="00A70E95"/>
    <w:pPr>
      <w:spacing w:before="200"/>
      <w:outlineLvl w:val="2"/>
    </w:pPr>
  </w:style>
  <w:style w:type="paragraph" w:customStyle="1" w:styleId="NormalendS2">
    <w:name w:val="Normal_end_S2"/>
    <w:basedOn w:val="Normal"/>
    <w:qFormat/>
    <w:rsid w:val="00F80E6E"/>
    <w:pPr>
      <w:tabs>
        <w:tab w:val="clear" w:pos="567"/>
        <w:tab w:val="clear" w:pos="1134"/>
        <w:tab w:val="clear" w:pos="1701"/>
        <w:tab w:val="clear" w:pos="2268"/>
        <w:tab w:val="clear" w:pos="2835"/>
      </w:tabs>
      <w:overflowPunct/>
      <w:autoSpaceDE/>
      <w:autoSpaceDN/>
      <w:adjustRightInd/>
      <w:spacing w:before="0"/>
      <w:textAlignment w:val="auto"/>
    </w:pPr>
  </w:style>
  <w:style w:type="paragraph" w:customStyle="1" w:styleId="Dectitle">
    <w:name w:val="Dec_title"/>
    <w:basedOn w:val="Rectitle"/>
    <w:next w:val="Normalaftertitle"/>
    <w:qFormat/>
    <w:rsid w:val="009A1A86"/>
  </w:style>
  <w:style w:type="paragraph" w:customStyle="1" w:styleId="DecNo">
    <w:name w:val="Dec_No"/>
    <w:basedOn w:val="RecNo"/>
    <w:next w:val="Dectitle"/>
    <w:qFormat/>
    <w:rsid w:val="009A1A86"/>
  </w:style>
  <w:style w:type="paragraph" w:customStyle="1" w:styleId="DectitleS2">
    <w:name w:val="Dec_title_S2"/>
    <w:basedOn w:val="RestitleS2"/>
    <w:next w:val="Normal"/>
    <w:qFormat/>
    <w:rsid w:val="009A1A86"/>
  </w:style>
  <w:style w:type="paragraph" w:customStyle="1" w:styleId="DecNoS2">
    <w:name w:val="Dec_No_S2"/>
    <w:basedOn w:val="ResNoS2"/>
    <w:next w:val="DectitleS2"/>
    <w:qFormat/>
    <w:rsid w:val="009A1A86"/>
  </w:style>
  <w:style w:type="paragraph" w:customStyle="1" w:styleId="SectionNo">
    <w:name w:val="Section_No"/>
    <w:basedOn w:val="ArtNo"/>
    <w:next w:val="Normal"/>
    <w:qFormat/>
    <w:rsid w:val="00CD20D9"/>
    <w:rPr>
      <w:lang w:val="en-GB"/>
    </w:rPr>
  </w:style>
  <w:style w:type="paragraph" w:customStyle="1" w:styleId="SectionNoS2">
    <w:name w:val="Section_No_S2"/>
    <w:basedOn w:val="ArtNoS2"/>
    <w:next w:val="Normal"/>
    <w:qFormat/>
    <w:rsid w:val="00CD20D9"/>
    <w:rPr>
      <w:lang w:val="en-GB"/>
    </w:rPr>
  </w:style>
  <w:style w:type="paragraph" w:customStyle="1" w:styleId="Sectiontitle">
    <w:name w:val="Section_title"/>
    <w:basedOn w:val="Arttitle"/>
    <w:next w:val="Normalaftertitle"/>
    <w:qFormat/>
    <w:rsid w:val="00CD20D9"/>
    <w:rPr>
      <w:lang w:val="en-GB"/>
    </w:rPr>
  </w:style>
  <w:style w:type="paragraph" w:customStyle="1" w:styleId="SectiontitleS2">
    <w:name w:val="Section_title_S2"/>
    <w:basedOn w:val="ArttitleS2"/>
    <w:next w:val="Normal"/>
    <w:qFormat/>
    <w:rsid w:val="00CD20D9"/>
    <w:rPr>
      <w:lang w:val="en-GB"/>
    </w:rPr>
  </w:style>
  <w:style w:type="paragraph" w:customStyle="1" w:styleId="firstfooter0">
    <w:name w:val="firstfooter"/>
    <w:basedOn w:val="Normal"/>
    <w:rsid w:val="004B07DB"/>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Agendaitem">
    <w:name w:val="Agenda_item"/>
    <w:basedOn w:val="Normal"/>
    <w:next w:val="Normal"/>
    <w:qFormat/>
    <w:rsid w:val="00255FA1"/>
    <w:pPr>
      <w:tabs>
        <w:tab w:val="clear" w:pos="567"/>
        <w:tab w:val="clear" w:pos="1701"/>
        <w:tab w:val="clear" w:pos="2835"/>
        <w:tab w:val="left" w:pos="1871"/>
      </w:tabs>
      <w:overflowPunct/>
      <w:autoSpaceDE/>
      <w:autoSpaceDN/>
      <w:adjustRightInd/>
      <w:spacing w:before="240"/>
      <w:jc w:val="center"/>
      <w:textAlignment w:val="auto"/>
    </w:pPr>
    <w:rPr>
      <w:rFonts w:asciiTheme="minorHAnsi" w:hAnsiTheme="minorHAnsi"/>
      <w:sz w:val="28"/>
    </w:rPr>
  </w:style>
  <w:style w:type="paragraph" w:customStyle="1" w:styleId="Committee">
    <w:name w:val="Committee"/>
    <w:basedOn w:val="Normal"/>
    <w:qFormat/>
    <w:rsid w:val="00255FA1"/>
    <w:pPr>
      <w:framePr w:hSpace="180" w:wrap="around" w:hAnchor="margin" w:y="-675"/>
      <w:tabs>
        <w:tab w:val="clear" w:pos="567"/>
        <w:tab w:val="clear" w:pos="1701"/>
        <w:tab w:val="clear" w:pos="2835"/>
        <w:tab w:val="left" w:pos="1871"/>
      </w:tabs>
      <w:spacing w:before="0" w:after="48" w:line="240" w:lineRule="atLeast"/>
    </w:pPr>
    <w:rPr>
      <w:rFonts w:asciiTheme="minorHAnsi" w:hAnsiTheme="minorHAnsi" w:cstheme="minorHAnsi"/>
      <w:b/>
      <w:smallCaps/>
      <w:szCs w:val="24"/>
      <w:lang w:val="en-US"/>
    </w:rPr>
  </w:style>
  <w:style w:type="character" w:customStyle="1" w:styleId="HeaderChar">
    <w:name w:val="Header Char"/>
    <w:basedOn w:val="DefaultParagraphFont"/>
    <w:link w:val="Header"/>
    <w:rsid w:val="00255FA1"/>
    <w:rPr>
      <w:rFonts w:ascii="Calibri" w:hAnsi="Calibri"/>
      <w:sz w:val="18"/>
      <w:lang w:val="es-ES_tradnl" w:eastAsia="en-US"/>
    </w:rPr>
  </w:style>
  <w:style w:type="paragraph" w:customStyle="1" w:styleId="Proposal">
    <w:name w:val="Proposal"/>
    <w:basedOn w:val="Normal"/>
    <w:next w:val="Normal"/>
    <w:rsid w:val="003D0027"/>
    <w:pPr>
      <w:keepNext/>
      <w:tabs>
        <w:tab w:val="clear" w:pos="567"/>
        <w:tab w:val="clear" w:pos="1701"/>
        <w:tab w:val="clear" w:pos="2268"/>
        <w:tab w:val="clear" w:pos="2835"/>
      </w:tabs>
      <w:spacing w:before="240"/>
    </w:pPr>
    <w:rPr>
      <w:rFonts w:asciiTheme="minorHAnsi" w:hAnsi="Times New Roman Bold"/>
      <w:b/>
      <w:lang w:val="en-GB"/>
    </w:rPr>
  </w:style>
  <w:style w:type="paragraph" w:styleId="BalloonText">
    <w:name w:val="Balloon Text"/>
    <w:basedOn w:val="Normal"/>
    <w:link w:val="BalloonTextChar"/>
    <w:semiHidden/>
    <w:unhideWhenUsed/>
    <w:rsid w:val="00AD400E"/>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AD400E"/>
    <w:rPr>
      <w:rFonts w:ascii="Tahoma" w:hAnsi="Tahoma" w:cs="Tahoma"/>
      <w:sz w:val="16"/>
      <w:szCs w:val="16"/>
      <w:lang w:val="es-ES_tradnl" w:eastAsia="en-US"/>
    </w:rPr>
  </w:style>
  <w:style w:type="paragraph" w:customStyle="1" w:styleId="OP">
    <w:name w:val="OP"/>
    <w:basedOn w:val="Normal"/>
    <w:next w:val="Normal"/>
    <w:qFormat/>
    <w:rsid w:val="00504FD4"/>
    <w:pPr>
      <w:tabs>
        <w:tab w:val="clear" w:pos="1134"/>
        <w:tab w:val="clear" w:pos="2268"/>
        <w:tab w:val="right" w:pos="567"/>
        <w:tab w:val="left" w:pos="794"/>
        <w:tab w:val="left" w:pos="1191"/>
        <w:tab w:val="left" w:pos="1588"/>
        <w:tab w:val="left" w:pos="1985"/>
      </w:tabs>
      <w:spacing w:before="1200" w:after="240" w:line="480" w:lineRule="atLeast"/>
      <w:jc w:val="center"/>
    </w:pPr>
    <w:rPr>
      <w:b/>
      <w:sz w:val="32"/>
      <w:lang w:val="en-GB"/>
    </w:rPr>
  </w:style>
  <w:style w:type="paragraph" w:customStyle="1" w:styleId="OPtitle">
    <w:name w:val="OP_title"/>
    <w:basedOn w:val="Normal"/>
    <w:next w:val="Normalaftertitle"/>
    <w:qFormat/>
    <w:rsid w:val="00504FD4"/>
    <w:pPr>
      <w:jc w:val="center"/>
    </w:pPr>
    <w:rPr>
      <w:b/>
      <w:bCs/>
      <w:lang w:val="en-GB"/>
    </w:rPr>
  </w:style>
  <w:style w:type="paragraph" w:customStyle="1" w:styleId="VolumeTitle">
    <w:name w:val="VolumeTitle"/>
    <w:basedOn w:val="Normal"/>
    <w:next w:val="Normal"/>
    <w:rsid w:val="004B09D4"/>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caps/>
      <w:sz w:val="32"/>
      <w:szCs w:val="32"/>
      <w:lang w:val="en-US" w:eastAsia="zh-CN"/>
    </w:rPr>
  </w:style>
  <w:style w:type="paragraph" w:customStyle="1" w:styleId="VolumeTitleS2">
    <w:name w:val="VolumeTitle_S2"/>
    <w:basedOn w:val="VolumeTitle"/>
    <w:next w:val="Normal"/>
    <w:qFormat/>
    <w:rsid w:val="00504FD4"/>
  </w:style>
  <w:style w:type="character" w:styleId="UnresolvedMention">
    <w:name w:val="Unresolved Mention"/>
    <w:basedOn w:val="DefaultParagraphFont"/>
    <w:uiPriority w:val="99"/>
    <w:semiHidden/>
    <w:unhideWhenUsed/>
    <w:rsid w:val="003B5DC9"/>
    <w:rPr>
      <w:color w:val="605E5C"/>
      <w:shd w:val="clear" w:color="auto" w:fill="E1DFDD"/>
    </w:rPr>
  </w:style>
  <w:style w:type="character" w:styleId="FollowedHyperlink">
    <w:name w:val="FollowedHyperlink"/>
    <w:basedOn w:val="DefaultParagraphFont"/>
    <w:semiHidden/>
    <w:unhideWhenUsed/>
    <w:rsid w:val="00057402"/>
    <w:rPr>
      <w:color w:val="800080" w:themeColor="followedHyperlink"/>
      <w:u w:val="single"/>
    </w:rPr>
  </w:style>
  <w:style w:type="character" w:styleId="PlaceholderText">
    <w:name w:val="Placeholder Text"/>
    <w:basedOn w:val="DefaultParagraphFont"/>
    <w:uiPriority w:val="99"/>
    <w:semiHidden/>
    <w:rsid w:val="00DB336C"/>
    <w:rPr>
      <w:color w:val="666666"/>
    </w:rPr>
  </w:style>
  <w:style w:type="paragraph" w:customStyle="1" w:styleId="OpNo">
    <w:name w:val="Op_No"/>
    <w:basedOn w:val="ResNo"/>
    <w:rsid w:val="003C1B77"/>
    <w:pPr>
      <w:tabs>
        <w:tab w:val="clear" w:pos="567"/>
        <w:tab w:val="left" w:pos="851"/>
      </w:tabs>
    </w:pPr>
    <w:rPr>
      <w:lang w:val="en-GB"/>
    </w:rPr>
  </w:style>
  <w:style w:type="paragraph" w:customStyle="1" w:styleId="Optitle0">
    <w:name w:val="Op_title"/>
    <w:basedOn w:val="Restitle"/>
    <w:rsid w:val="003C1B77"/>
    <w:pPr>
      <w:tabs>
        <w:tab w:val="clear" w:pos="567"/>
        <w:tab w:val="left" w:pos="851"/>
      </w:tabs>
    </w:pPr>
    <w:rPr>
      <w:rFonts w:eastAsia="Calibri"/>
      <w:lang w:val="en-GB"/>
    </w:rPr>
  </w:style>
  <w:style w:type="paragraph" w:styleId="Revision">
    <w:name w:val="Revision"/>
    <w:hidden/>
    <w:uiPriority w:val="99"/>
    <w:semiHidden/>
    <w:rsid w:val="00365F30"/>
    <w:rPr>
      <w:rFonts w:ascii="Calibri" w:hAnsi="Calibri"/>
      <w:sz w:val="24"/>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TEMPLATE\ITUOffice2007\POOL\POOL%20S%20-%20ITU\GS\PS_WTPF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2B0EF-F0F2-49DE-9B22-1928D6704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PS_WTPF26.dotx</Template>
  <TotalTime>2</TotalTime>
  <Pages>8</Pages>
  <Words>3835</Words>
  <Characters>21862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Manager/>
  <Company>ITU</Company>
  <LinksUpToDate>false</LinksUpToDate>
  <CharactersWithSpaces>25646</CharactersWithSpaces>
  <SharedDoc>false</SharedDoc>
  <HyperlinkBase/>
  <HLinks>
    <vt:vector size="6" baseType="variant">
      <vt:variant>
        <vt:i4>4194374</vt:i4>
      </vt:variant>
      <vt:variant>
        <vt:i4>12</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Opinión 1 - La reducción de las brechas digitales, en particular las relativas al género y la edad, así como a las competencias y la conectividad</dc:title>
  <dc:subject>World telecommunication/information and communication technology policy forum</dc:subject>
  <cp:keywords>WTPF, WTPF-26</cp:keywords>
  <dc:description/>
  <dcterms:created xsi:type="dcterms:W3CDTF">2026-08-20T15:27:00Z</dcterms:created>
  <dcterms:modified xsi:type="dcterms:W3CDTF">2026-08-20T15:29:00Z</dcterms:modified>
  <cp:category>Conference document</cp:category>
</cp:coreProperties>
</file>