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B75B70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B75B70" w:rsidRDefault="003B04FF" w:rsidP="000D42F6">
            <w:pPr>
              <w:spacing w:before="0"/>
              <w:rPr>
                <w:lang w:val="ru-RU"/>
              </w:rPr>
            </w:pPr>
            <w:r w:rsidRPr="00B75B70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B75B70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B75B7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B75B70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B75B70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B75B70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B75B70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16174B9E" w:rsidR="00F96AB4" w:rsidRPr="00B75B70" w:rsidRDefault="00776D24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76D24">
              <w:rPr>
                <w:rFonts w:cstheme="minorHAnsi"/>
                <w:b/>
                <w:szCs w:val="28"/>
                <w:lang w:val="ru-RU"/>
              </w:rPr>
              <w:t>Документ WTPF-26/DT/</w:t>
            </w:r>
            <w:r>
              <w:rPr>
                <w:rFonts w:cstheme="minorHAnsi"/>
                <w:b/>
                <w:szCs w:val="28"/>
                <w:lang w:val="es-ES"/>
              </w:rPr>
              <w:t>4</w:t>
            </w:r>
            <w:r w:rsidRPr="00776D24">
              <w:rPr>
                <w:rFonts w:cstheme="minorHAnsi"/>
                <w:b/>
                <w:szCs w:val="28"/>
                <w:lang w:val="ru-RU"/>
              </w:rPr>
              <w:t>-R</w:t>
            </w:r>
          </w:p>
        </w:tc>
      </w:tr>
      <w:tr w:rsidR="00F96AB4" w:rsidRPr="00B75B70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55DF994A" w:rsidR="00F96AB4" w:rsidRPr="00B75B70" w:rsidRDefault="00776D2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es-ES"/>
              </w:rPr>
              <w:t>4</w:t>
            </w:r>
            <w:r w:rsidRPr="00776D24">
              <w:rPr>
                <w:rFonts w:cstheme="minorHAnsi"/>
                <w:b/>
                <w:bCs/>
                <w:szCs w:val="28"/>
                <w:lang w:val="ru-RU"/>
              </w:rPr>
              <w:t xml:space="preserve"> сентября 2026 года</w:t>
            </w:r>
          </w:p>
        </w:tc>
      </w:tr>
      <w:tr w:rsidR="00F96AB4" w:rsidRPr="00B75B70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B75B70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75B70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B75B70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B75B7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419F4934" w14:textId="77777777" w:rsidR="00B75B70" w:rsidRPr="00B75B70" w:rsidRDefault="00B75B70" w:rsidP="00B75B70">
      <w:pPr>
        <w:pStyle w:val="OpNo"/>
      </w:pPr>
      <w:bookmarkStart w:id="2" w:name="_Hlk133586559"/>
      <w:bookmarkStart w:id="3" w:name="_Hlk133421428"/>
      <w:r w:rsidRPr="00B75B70">
        <w:t>ПРОЕКТ МНЕНИЯ 4</w:t>
      </w:r>
    </w:p>
    <w:p w14:paraId="16C81ECB" w14:textId="77777777" w:rsidR="00B75B70" w:rsidRPr="00B75B70" w:rsidRDefault="00B75B70" w:rsidP="00B75B70">
      <w:pPr>
        <w:pStyle w:val="Optitle0"/>
      </w:pPr>
      <w:r w:rsidRPr="00B75B70">
        <w:t>Космическая связь</w:t>
      </w:r>
    </w:p>
    <w:bookmarkEnd w:id="2"/>
    <w:bookmarkEnd w:id="3"/>
    <w:p w14:paraId="16520F7D" w14:textId="77777777" w:rsidR="00B75B70" w:rsidRPr="00B75B70" w:rsidRDefault="00B75B70" w:rsidP="00B75B70">
      <w:pPr>
        <w:pStyle w:val="Normalaftertitle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B75B70">
        <w:rPr>
          <w:rFonts w:asciiTheme="minorHAnsi" w:eastAsia="Calibr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6528FBA9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напоминая</w:t>
      </w:r>
    </w:p>
    <w:p w14:paraId="704B66A5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a)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17ADC97F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b)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резолюции 76/3 ГА ООН о повестке дня "Космос-2030": космос как двигатель устойчивого развития;</w:t>
      </w:r>
    </w:p>
    <w:p w14:paraId="0117C2DD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c)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положениях Статьи 44 Устава МСЭ;</w:t>
      </w:r>
    </w:p>
    <w:p w14:paraId="079B54D5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d)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резолюциях Полномочной конференции, касающихся темы сетей и служб электросвязи/информационно-коммуникационных технологий (ИКТ) космического базирования, включая, в частности, Резолюцию 139 (Пересм. Бухарест, 2022 г.), Резолюцию 186 (Пересм. Бухарест, 2022 г.), Резолюцию 218 (Бухарест, 2022 г.) и Резолюцию 219 (Бухарест, 2022 г.);</w:t>
      </w:r>
    </w:p>
    <w:p w14:paraId="6D1219DD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e)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резолюциях основных конференций и ассамблей трех Секторов МСЭ, касающиеся темы сетей и служб электросвязи/ИКТ космического базирования, включая, в частности, Резолюцию 22 (Пересм. Дубай, 2023 г.) Всемирной конференции радиосвязи; Резолюции 11 (Пересм. Баку, 2025 г.), 37 (Пересм. Баку, 2025 г.) и 77 (Пересм. Баку, 2025 г.) Всемирной конференции по развитию электросвязи, а также Резолюцию 74 (Дубай, 2023 г.) Ассамблеи радиосвязи;</w:t>
      </w:r>
    </w:p>
    <w:p w14:paraId="6A771840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f)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положениях Статьи 18 Регламента радиосвязи (Пересм. Дубай, 2023 г.);</w:t>
      </w:r>
    </w:p>
    <w:p w14:paraId="75EA3320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g)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руководящих указаниях на основе примеров передового опыта, разработанных в рамках Глобального симпозиума для регуляторных органов (ГСР);</w:t>
      </w:r>
    </w:p>
    <w:p w14:paraId="34B857B3" w14:textId="77777777" w:rsidR="00B75B70" w:rsidRPr="00B75B70" w:rsidRDefault="00B75B70" w:rsidP="00B75B70">
      <w:pPr>
        <w:pStyle w:val="Call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B75B70">
        <w:rPr>
          <w:rFonts w:asciiTheme="minorHAnsi" w:eastAsia="Calibri" w:hAnsiTheme="minorHAnsi" w:cstheme="minorHAnsi"/>
          <w:szCs w:val="24"/>
          <w:lang w:val="ru-RU"/>
        </w:rPr>
        <w:t>учитывая</w:t>
      </w:r>
      <w:r w:rsidRPr="00B75B70">
        <w:rPr>
          <w:rFonts w:asciiTheme="minorHAnsi" w:eastAsia="Calibri" w:hAnsiTheme="minorHAnsi" w:cstheme="minorHAnsi"/>
          <w:i w:val="0"/>
          <w:iCs/>
          <w:szCs w:val="24"/>
          <w:lang w:val="ru-RU"/>
        </w:rPr>
        <w:t>,</w:t>
      </w:r>
    </w:p>
    <w:p w14:paraId="1F093849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a)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выявление и продвижение инструментов и мер, направленных на ускорение развития сетей и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космического базирования, может способствовать глобальному экономическому процветанию, повышению уровня охвата цифровыми технологиями и устранению неравенства в доступе к космическим технологиям;</w:t>
      </w:r>
    </w:p>
    <w:p w14:paraId="3FC0FC38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b)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укрепление инструментов и платформ для эффективного международного сотрудничества в отношении Регламента радиосвязи имеет решающее значение для обеспечения инклюзивного участия в технологиях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p w14:paraId="6998D6EB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c)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инновационные подходы к преодолению последствий образования космического мусора, связанного с использованием технологий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, могут </w:t>
      </w:r>
      <w:r w:rsidRPr="00B75B70">
        <w:rPr>
          <w:rFonts w:eastAsia="Calibri"/>
          <w:lang w:val="ru-RU" w:eastAsia="zh-CN"/>
        </w:rPr>
        <w:lastRenderedPageBreak/>
        <w:t xml:space="preserve">способствовать обеспечению долгосрочной бесперебойной работы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p w14:paraId="2779E8C3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d)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правительства сталкиваются как с возможностями, так и с вызовами при использовании сетей и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, и что их роль имеет решающее значение в формировании политики, способствующей инновациям и одновременно обеспечивающей ответственное использование радиочастотного спектра и соответствующих спутниковых орбит;</w:t>
      </w:r>
    </w:p>
    <w:p w14:paraId="0AE35031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e)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>что в Уставе МСЭ признается суверенное право каждого Государства-Члена регламентировать свою электросвязь, как наземную, так и космическую;</w:t>
      </w:r>
    </w:p>
    <w:p w14:paraId="4D8828FD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f)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>что инициативы МСЭ, такие как Форум по устойчивости космической деятельности, призваны служить площадкой для представления и обсуждения передовой практики, руководящих принципов и стратегий, необходимых для обеспечения доступности и устойчивости космоса как для нынешней, так и для будущей космической деятельности,</w:t>
      </w:r>
    </w:p>
    <w:p w14:paraId="7B994CCB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признавая</w:t>
      </w:r>
      <w:r w:rsidRPr="00B75B70">
        <w:rPr>
          <w:i w:val="0"/>
          <w:iCs/>
          <w:lang w:val="ru-RU"/>
        </w:rPr>
        <w:t>,</w:t>
      </w:r>
    </w:p>
    <w:p w14:paraId="4324149D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a)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частный сектор играет ведущую роль в развертывании сетей и служб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и что он продолжает разрабатывать технологические инновации и творческие бизнес-модели совместно с другими заинтересованными сторонами, включая правительства, академические организации и гражданское общество;</w:t>
      </w:r>
    </w:p>
    <w:p w14:paraId="5A379118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b)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>что сети и службы электросвязи/ИКТ</w:t>
      </w:r>
      <w:r w:rsidRPr="00B75B70">
        <w:rPr>
          <w:lang w:val="ru-RU"/>
        </w:rPr>
        <w:t xml:space="preserve"> космического базирования</w:t>
      </w:r>
      <w:r w:rsidRPr="00B75B70">
        <w:rPr>
          <w:rFonts w:eastAsia="Aptos"/>
          <w:lang w:val="ru-RU"/>
        </w:rPr>
        <w:t>, включая спутники на геостационарной орбите (ГСО) и на негеостационарной орбите (НГСО), способны содействовать преодолению цифрового разрыва путем обеспечения связи на обширных географических территориях с потенциальной экономией затрат на развертывание за счет снижения потребности в наземной инфраструктуре, предоставляя надежное решение для обеспечения связи с населением в районах с низкой плотностью населения, включая обслуживаемые в недостаточной степени регионы, особенно в наименее развитых странах (НРС), развивающихся странах, не имеющих выхода к морю (ЛЛДС), и малых островных развивающихся государствах (СИДС);</w:t>
      </w:r>
    </w:p>
    <w:p w14:paraId="20C61931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c)</w:t>
      </w:r>
      <w:r w:rsidRPr="00B75B70">
        <w:rPr>
          <w:rFonts w:eastAsia="Aptos"/>
          <w:i/>
          <w:lang w:val="ru-RU"/>
        </w:rPr>
        <w:tab/>
      </w:r>
      <w:bookmarkStart w:id="4" w:name="_Hlk175572783"/>
      <w:r w:rsidRPr="00B75B70">
        <w:rPr>
          <w:rFonts w:eastAsia="Aptos"/>
          <w:lang w:val="ru-RU"/>
        </w:rPr>
        <w:t xml:space="preserve">что сети и </w:t>
      </w:r>
      <w:r w:rsidRPr="00B75B70">
        <w:rPr>
          <w:lang w:val="ru-RU"/>
        </w:rPr>
        <w:t>службы</w:t>
      </w:r>
      <w:r w:rsidRPr="00B75B70">
        <w:rPr>
          <w:rFonts w:eastAsia="Aptos"/>
          <w:lang w:val="ru-RU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>, используемые как системами НГСО, так и системами ГСО, стремительно развиваются, и что взаимодополняемость этих двух систем является одной из ключевых предпосылок для расширения возможностей установления соединений;</w:t>
      </w:r>
    </w:p>
    <w:p w14:paraId="6AC12D9D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d)</w:t>
      </w:r>
      <w:r w:rsidRPr="00B75B70">
        <w:rPr>
          <w:rFonts w:eastAsia="Aptos"/>
          <w:i/>
          <w:lang w:val="ru-RU"/>
        </w:rPr>
        <w:tab/>
      </w:r>
      <w:bookmarkEnd w:id="4"/>
      <w:r w:rsidRPr="00B75B70">
        <w:rPr>
          <w:rFonts w:eastAsia="Aptos"/>
          <w:lang w:val="ru-RU"/>
        </w:rPr>
        <w:t>что передовой опыт отрасли в сочетании с благоприятными и перспективными политическими рамками способствует максимальному раскрытию потенциала сетей и служб электросвязи/ИКТ</w:t>
      </w:r>
      <w:r w:rsidRPr="00B75B70">
        <w:rPr>
          <w:lang w:val="ru-RU"/>
        </w:rPr>
        <w:t xml:space="preserve"> космического базирования</w:t>
      </w:r>
      <w:r w:rsidRPr="00B75B70">
        <w:rPr>
          <w:rFonts w:eastAsia="Aptos"/>
          <w:lang w:val="ru-RU"/>
        </w:rPr>
        <w:t>;</w:t>
      </w:r>
    </w:p>
    <w:p w14:paraId="0FFFBE73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e)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усилия по наращиванию потенциала, включая обмен передовым опытом и проведение таких мероприятий, как Глобальный симпозиум для регуляторных органов, а также недавняя разработка ГСР-24 и ГСР-25 Руководящих указаний на основе примеров передового опыта, могут помочь странам не отстать от быстрых темпов развертывания сетей и служб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и могут способствовать формированию подходов национальных регуляторных органов по мере того, как страны решают такие вопросы, как лицензирование и безопасность;</w:t>
      </w:r>
    </w:p>
    <w:p w14:paraId="6139F028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f)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обеспечение справедливого доступа к сетям и службам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требует анализа проблем, которые еще предстоит решить, таких как использование ресурсов, связанных с технологиями электросвязи/ИКТ космического базирования;</w:t>
      </w:r>
    </w:p>
    <w:p w14:paraId="06BF1915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g)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МСЭ обладает конкретным мандатом в области электросвязи/ИКТ, включая сети и службы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>, который дополняет компетенции в рамках более широкой системы Организации Объединенных Наций, и что необходимо координировать усилия во избежание дублирования деятельности между учреждениями;</w:t>
      </w:r>
    </w:p>
    <w:p w14:paraId="6C31F957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lastRenderedPageBreak/>
        <w:t>h)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>что космическая связь может укрепить национальную устойчивость и повысить эффективность реагирования на бедствия при ее интеграции в национальные планы обеспечения электросвязи в чрезвычайных ситуациях,</w:t>
      </w:r>
    </w:p>
    <w:p w14:paraId="54378015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считает</w:t>
      </w:r>
      <w:r w:rsidRPr="00B75B70">
        <w:rPr>
          <w:i w:val="0"/>
          <w:iCs/>
          <w:lang w:val="ru-RU"/>
        </w:rPr>
        <w:t>,</w:t>
      </w:r>
    </w:p>
    <w:p w14:paraId="70397AAB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1</w:t>
      </w:r>
      <w:r w:rsidRPr="00B75B70">
        <w:rPr>
          <w:lang w:val="ru-RU"/>
        </w:rPr>
        <w:tab/>
        <w:t xml:space="preserve">что продвижение и использование сетей и служб электросвязи/ИКТ космического базирования − как самостоятельно, так и, при необходимости, в сочетании с наземными сетями и </w:t>
      </w:r>
      <w:r w:rsidRPr="00B75B70">
        <w:rPr>
          <w:rFonts w:eastAsia="Aptos"/>
          <w:lang w:val="ru-RU"/>
        </w:rPr>
        <w:t>службами</w:t>
      </w:r>
      <w:r w:rsidRPr="00B75B70">
        <w:rPr>
          <w:lang w:val="ru-RU"/>
        </w:rPr>
        <w:t xml:space="preserve"> − могут способствовать устойчивому социально-экономическому развитию, в частности в обслуживаемых в недостаточной степени районах, в том числе в НРС, ЛЛДС и СИДС, с целью обеспечения долгосрочных выгод и решения возникающих проблем;</w:t>
      </w:r>
    </w:p>
    <w:p w14:paraId="6823F88A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2</w:t>
      </w:r>
      <w:r w:rsidRPr="00B75B70">
        <w:rPr>
          <w:lang w:val="ru-RU"/>
        </w:rPr>
        <w:tab/>
        <w:t xml:space="preserve">что благоприятные условия, основанные на прозрачных, стабильных и актуальных правилах и нормативно-правовых рамках, способствуют инвестициям в сети и </w:t>
      </w:r>
      <w:r w:rsidRPr="00B75B70">
        <w:rPr>
          <w:rFonts w:eastAsia="Aptos"/>
          <w:lang w:val="ru-RU"/>
        </w:rPr>
        <w:t>службы</w:t>
      </w:r>
      <w:r w:rsidRPr="00B75B70">
        <w:rPr>
          <w:lang w:val="ru-RU"/>
        </w:rPr>
        <w:t xml:space="preserve"> электросвязи/ИКТ космического базирования, а также доступу к ним;</w:t>
      </w:r>
    </w:p>
    <w:p w14:paraId="4702C13D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3</w:t>
      </w:r>
      <w:r w:rsidRPr="00B75B70">
        <w:rPr>
          <w:lang w:val="ru-RU"/>
        </w:rPr>
        <w:tab/>
        <w:t>что применение технологически нейтральных подходов к достижению целей в области установления соединений расширяет возможности выбора для потребителей и обеспечивает гибкость при выборе наиболее подходящего решения;</w:t>
      </w:r>
    </w:p>
    <w:p w14:paraId="4FBC2BB5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4</w:t>
      </w:r>
      <w:r w:rsidRPr="00B75B70">
        <w:rPr>
          <w:lang w:val="ru-RU"/>
        </w:rPr>
        <w:tab/>
        <w:t xml:space="preserve">что администрации могут счесть целесообразным рассмотреть возможность обновления политики и мер регулирования, если они найдут это уместным, с целью адаптации к инновациям в области развертывания и развития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lang w:val="ru-RU"/>
        </w:rPr>
        <w:t xml:space="preserve"> электросвязи/ИКТ космического базирования, поощряя участие отрасли и создавая условия, способствующие развитию как космических, так и наземных </w:t>
      </w:r>
      <w:r w:rsidRPr="00B75B70">
        <w:rPr>
          <w:rFonts w:eastAsia="Aptos"/>
          <w:lang w:val="ru-RU"/>
        </w:rPr>
        <w:t>служб</w:t>
      </w:r>
      <w:r w:rsidRPr="00B75B70">
        <w:rPr>
          <w:lang w:val="ru-RU"/>
        </w:rPr>
        <w:t>;</w:t>
      </w:r>
    </w:p>
    <w:p w14:paraId="00E5A3D6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5</w:t>
      </w:r>
      <w:r w:rsidRPr="00B75B70">
        <w:rPr>
          <w:lang w:val="ru-RU"/>
        </w:rPr>
        <w:tab/>
        <w:t>что глобальные партнерства и международное сотрудничество с другими учреждениями ООН, международными организациями и заинтересованными сторонами имеют решающее значение для содействия вовлечению Государств-Членов в деятельность в области космической связи, особенно в отношении развивающихся стран, что способствует достижению ЦУР без ущерба для национальных приоритетов и подходов;</w:t>
      </w:r>
    </w:p>
    <w:p w14:paraId="04CAFD7F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6</w:t>
      </w:r>
      <w:r w:rsidRPr="00B75B70">
        <w:rPr>
          <w:lang w:val="ru-RU"/>
        </w:rPr>
        <w:tab/>
        <w:t>что изучение возможностей международного сотрудничества и реализации инициатив по обмену знаниями может способствовать обеспечению равных возможностей, предоставляемых применениями и службами электросвязи/ИКТ космического базирования;</w:t>
      </w:r>
    </w:p>
    <w:p w14:paraId="7A6B9FD1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7</w:t>
      </w:r>
      <w:r w:rsidRPr="00B75B70">
        <w:rPr>
          <w:lang w:val="ru-RU"/>
        </w:rPr>
        <w:tab/>
        <w:t>что поддержка научных исследований и инноваций может способствовать долгосрочной устойчивости деятельности в области технологий электросвязи/ИКТ космического базирования, укрепляя взаимодействие между соответствующими организациями в рамках их мандатов, а также многостороннее сотрудничество с участием всех заинтересованных сторон, включая компании отрасли;</w:t>
      </w:r>
    </w:p>
    <w:p w14:paraId="0DDF007C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8</w:t>
      </w:r>
      <w:r w:rsidRPr="00B75B70">
        <w:rPr>
          <w:lang w:val="ru-RU"/>
        </w:rPr>
        <w:tab/>
        <w:t>что инвестиции государственного и частного секторов в технологии электросвязи/ИКТ космического базирования играют важную роль в расширении возможностей установления соединений, а устранение препятствий для инвестиций может способствовать инновациям и ускорить доступ к возможностям установления соединений,</w:t>
      </w:r>
    </w:p>
    <w:p w14:paraId="3F224A52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предлагает Государствам-Членам</w:t>
      </w:r>
    </w:p>
    <w:p w14:paraId="218A0B40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1</w:t>
      </w:r>
      <w:r w:rsidRPr="00B75B70">
        <w:rPr>
          <w:lang w:val="ru-RU"/>
        </w:rPr>
        <w:tab/>
        <w:t xml:space="preserve">рассмотреть возможность принятия политических и регуляторных мер, способствующих доступу к сетям и </w:t>
      </w:r>
      <w:r w:rsidRPr="00B75B70">
        <w:rPr>
          <w:rFonts w:eastAsia="Aptos"/>
          <w:lang w:val="ru-RU"/>
        </w:rPr>
        <w:t>службам</w:t>
      </w:r>
      <w:r w:rsidRPr="00B75B70">
        <w:rPr>
          <w:lang w:val="ru-RU"/>
        </w:rPr>
        <w:t xml:space="preserve"> электросвязи/ИКТ космического базирования, как указано в пункте 4 раздела </w:t>
      </w:r>
      <w:r w:rsidRPr="00B75B70">
        <w:rPr>
          <w:i/>
          <w:iCs/>
          <w:lang w:val="ru-RU"/>
        </w:rPr>
        <w:t>считает</w:t>
      </w:r>
      <w:r w:rsidRPr="00B75B70">
        <w:rPr>
          <w:lang w:val="ru-RU"/>
        </w:rPr>
        <w:t>;</w:t>
      </w:r>
    </w:p>
    <w:p w14:paraId="47DE5976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>рассмотреть возможность применения технологически инклюзивных подходов к достижению целей в области установления соединений на основе передовой практики, которая предоставляет потребителям и поставщикам гибкость в выборе технологии, наилучшим образом отвечающей местным потребностям,</w:t>
      </w:r>
    </w:p>
    <w:p w14:paraId="381ADB16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lastRenderedPageBreak/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79539EF3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1</w:t>
      </w:r>
      <w:r w:rsidRPr="00B75B70">
        <w:rPr>
          <w:rFonts w:eastAsia="Calibri"/>
          <w:lang w:val="ru-RU" w:eastAsia="zh-CN"/>
        </w:rPr>
        <w:tab/>
        <w:t xml:space="preserve">рассмотреть возможность активного участия в соответствующих международных форумах, посвященных технологиям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и направленных на преодоление цифрового разрыва;</w:t>
      </w:r>
    </w:p>
    <w:p w14:paraId="1805C6D1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 xml:space="preserve">расширять глобальные партнерства и укреплять сотрудничество в целях продвижения и использования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для целей устойчивого развития;</w:t>
      </w:r>
    </w:p>
    <w:p w14:paraId="30A90131" w14:textId="77777777" w:rsidR="00B75B70" w:rsidRPr="00B75B70" w:rsidRDefault="00B75B70" w:rsidP="00B75B70">
      <w:pPr>
        <w:rPr>
          <w:rFonts w:eastAsia="Calibri"/>
          <w:lang w:val="ru-RU" w:eastAsia="zh-CN"/>
        </w:rPr>
      </w:pPr>
      <w:bookmarkStart w:id="5" w:name="_Hlk219985672"/>
      <w:r w:rsidRPr="00B75B70">
        <w:rPr>
          <w:rFonts w:eastAsia="Calibri"/>
          <w:lang w:val="ru-RU" w:eastAsia="zh-CN"/>
        </w:rPr>
        <w:t>3</w:t>
      </w:r>
      <w:r w:rsidRPr="00B75B70">
        <w:rPr>
          <w:rFonts w:eastAsia="Calibri"/>
          <w:lang w:val="ru-RU" w:eastAsia="zh-CN"/>
        </w:rPr>
        <w:tab/>
        <w:t xml:space="preserve">содействовать сотрудничеству и обмену передовым опытом в области политических и нормативных рамок, регулирующих сети и </w:t>
      </w:r>
      <w:r w:rsidRPr="00B75B70">
        <w:rPr>
          <w:rFonts w:eastAsia="Aptos"/>
          <w:lang w:val="ru-RU"/>
        </w:rPr>
        <w:t>службы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bookmarkEnd w:id="5"/>
    <w:p w14:paraId="5E9F704B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4</w:t>
      </w:r>
      <w:r w:rsidRPr="00B75B70">
        <w:rPr>
          <w:rFonts w:eastAsia="Calibri"/>
          <w:lang w:val="ru-RU" w:eastAsia="zh-CN"/>
        </w:rPr>
        <w:tab/>
        <w:t xml:space="preserve">содействовать сотрудничеству между операторами наземных сетей и операторами неназемных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с целью использования преимуществ новых и появляющихся услуг и технологий в сфере электросвязи/ИКТ;</w:t>
      </w:r>
    </w:p>
    <w:p w14:paraId="25A3CFA1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5</w:t>
      </w:r>
      <w:r w:rsidRPr="00B75B70">
        <w:rPr>
          <w:rFonts w:eastAsia="Calibri"/>
          <w:lang w:val="ru-RU" w:eastAsia="zh-CN"/>
        </w:rPr>
        <w:tab/>
        <w:t xml:space="preserve">укреплять политические и нормативные рамки для развития и развертывания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,</w:t>
      </w:r>
    </w:p>
    <w:p w14:paraId="186119EC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предлагает Генеральному секретарю в тесном сотрудничестве с директорами Бюро радиосвязи и Бюро развития электросвязи</w:t>
      </w:r>
    </w:p>
    <w:p w14:paraId="602C42AE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1</w:t>
      </w:r>
      <w:r w:rsidRPr="00B75B70">
        <w:rPr>
          <w:rFonts w:eastAsia="Calibri"/>
          <w:lang w:val="ru-RU" w:eastAsia="zh-CN"/>
        </w:rPr>
        <w:tab/>
        <w:t xml:space="preserve">продолжать содействовать и укреплять усилия МСЭ по расширению доступа к сетям и </w:t>
      </w:r>
      <w:r w:rsidRPr="00B75B70">
        <w:rPr>
          <w:rFonts w:eastAsia="Aptos"/>
          <w:lang w:val="ru-RU"/>
        </w:rPr>
        <w:t>службам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в рамках более широких усилий МСЭ, направленных на обеспечение универсальной и реальной возможности установления соединений, а также на устойчивое использование ресурсов космической связи, таких как радиочастотный спектр и соответствующие орбиты, сектором электросвязи/ИКТ;</w:t>
      </w:r>
    </w:p>
    <w:p w14:paraId="1D070626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 xml:space="preserve">продолжать оказывать поддержку регуляторным органам и лицам, ответственным за формирование политики, путем укрепления потенциала посредством разработки инструментов и ресурсов, включая тематические исследования современных примеров передовой практики в области технологий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.</w:t>
      </w:r>
    </w:p>
    <w:p w14:paraId="20AD37B5" w14:textId="77777777" w:rsidR="00B75B70" w:rsidRPr="00B75B70" w:rsidRDefault="00B75B70" w:rsidP="005C4E29">
      <w:pPr>
        <w:spacing w:before="480"/>
        <w:jc w:val="center"/>
        <w:rPr>
          <w:lang w:val="ru-RU"/>
        </w:rPr>
      </w:pPr>
      <w:r w:rsidRPr="00B75B70">
        <w:rPr>
          <w:lang w:val="ru-RU"/>
        </w:rPr>
        <w:t>______________</w:t>
      </w:r>
    </w:p>
    <w:sectPr w:rsidR="00B75B70" w:rsidRPr="00B75B70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DF5DC" w14:textId="77777777" w:rsidR="001425B4" w:rsidRDefault="001425B4" w:rsidP="0079159C">
      <w:r>
        <w:separator/>
      </w:r>
    </w:p>
    <w:p w14:paraId="6FEDCC3D" w14:textId="77777777" w:rsidR="001425B4" w:rsidRDefault="001425B4" w:rsidP="0079159C"/>
    <w:p w14:paraId="10C13FC4" w14:textId="77777777" w:rsidR="001425B4" w:rsidRDefault="001425B4" w:rsidP="0079159C"/>
    <w:p w14:paraId="60B80291" w14:textId="77777777" w:rsidR="001425B4" w:rsidRDefault="001425B4" w:rsidP="0079159C"/>
    <w:p w14:paraId="0E474FA4" w14:textId="77777777" w:rsidR="001425B4" w:rsidRDefault="001425B4" w:rsidP="0079159C"/>
    <w:p w14:paraId="60C70DAF" w14:textId="77777777" w:rsidR="001425B4" w:rsidRDefault="001425B4" w:rsidP="0079159C"/>
    <w:p w14:paraId="4F64DAE0" w14:textId="77777777" w:rsidR="001425B4" w:rsidRDefault="001425B4" w:rsidP="0079159C"/>
    <w:p w14:paraId="6B2D9738" w14:textId="77777777" w:rsidR="001425B4" w:rsidRDefault="001425B4" w:rsidP="0079159C"/>
    <w:p w14:paraId="4F0F22FF" w14:textId="77777777" w:rsidR="001425B4" w:rsidRDefault="001425B4" w:rsidP="0079159C"/>
    <w:p w14:paraId="12BE80F5" w14:textId="77777777" w:rsidR="001425B4" w:rsidRDefault="001425B4" w:rsidP="0079159C"/>
    <w:p w14:paraId="3165F532" w14:textId="77777777" w:rsidR="001425B4" w:rsidRDefault="001425B4" w:rsidP="0079159C"/>
    <w:p w14:paraId="2F7C4FDD" w14:textId="77777777" w:rsidR="001425B4" w:rsidRDefault="001425B4" w:rsidP="0079159C"/>
    <w:p w14:paraId="4F109CD0" w14:textId="77777777" w:rsidR="001425B4" w:rsidRDefault="001425B4" w:rsidP="0079159C"/>
    <w:p w14:paraId="4B5CB4FF" w14:textId="77777777" w:rsidR="001425B4" w:rsidRDefault="001425B4" w:rsidP="0079159C"/>
    <w:p w14:paraId="3E9887E2" w14:textId="77777777" w:rsidR="001425B4" w:rsidRDefault="001425B4" w:rsidP="004B3A6C"/>
    <w:p w14:paraId="7CA1BC7E" w14:textId="77777777" w:rsidR="001425B4" w:rsidRDefault="001425B4" w:rsidP="004B3A6C"/>
  </w:endnote>
  <w:endnote w:type="continuationSeparator" w:id="0">
    <w:p w14:paraId="38E9F680" w14:textId="77777777" w:rsidR="001425B4" w:rsidRDefault="001425B4" w:rsidP="0079159C">
      <w:r>
        <w:continuationSeparator/>
      </w:r>
    </w:p>
    <w:p w14:paraId="02A260E0" w14:textId="77777777" w:rsidR="001425B4" w:rsidRDefault="001425B4" w:rsidP="0079159C"/>
    <w:p w14:paraId="2A6B12B8" w14:textId="77777777" w:rsidR="001425B4" w:rsidRDefault="001425B4" w:rsidP="0079159C"/>
    <w:p w14:paraId="68B9F02A" w14:textId="77777777" w:rsidR="001425B4" w:rsidRDefault="001425B4" w:rsidP="0079159C"/>
    <w:p w14:paraId="403F6B80" w14:textId="77777777" w:rsidR="001425B4" w:rsidRDefault="001425B4" w:rsidP="0079159C"/>
    <w:p w14:paraId="5C0BEB16" w14:textId="77777777" w:rsidR="001425B4" w:rsidRDefault="001425B4" w:rsidP="0079159C"/>
    <w:p w14:paraId="50467FCF" w14:textId="77777777" w:rsidR="001425B4" w:rsidRDefault="001425B4" w:rsidP="0079159C"/>
    <w:p w14:paraId="3BA219B7" w14:textId="77777777" w:rsidR="001425B4" w:rsidRDefault="001425B4" w:rsidP="0079159C"/>
    <w:p w14:paraId="54C16270" w14:textId="77777777" w:rsidR="001425B4" w:rsidRDefault="001425B4" w:rsidP="0079159C"/>
    <w:p w14:paraId="19EA3E2D" w14:textId="77777777" w:rsidR="001425B4" w:rsidRDefault="001425B4" w:rsidP="0079159C"/>
    <w:p w14:paraId="4A6015DF" w14:textId="77777777" w:rsidR="001425B4" w:rsidRDefault="001425B4" w:rsidP="0079159C"/>
    <w:p w14:paraId="6333D776" w14:textId="77777777" w:rsidR="001425B4" w:rsidRDefault="001425B4" w:rsidP="0079159C"/>
    <w:p w14:paraId="56DDC6B2" w14:textId="77777777" w:rsidR="001425B4" w:rsidRDefault="001425B4" w:rsidP="0079159C"/>
    <w:p w14:paraId="151C8C09" w14:textId="77777777" w:rsidR="001425B4" w:rsidRDefault="001425B4" w:rsidP="0079159C"/>
    <w:p w14:paraId="0334E1EE" w14:textId="77777777" w:rsidR="001425B4" w:rsidRDefault="001425B4" w:rsidP="004B3A6C"/>
    <w:p w14:paraId="1ECC24D4" w14:textId="77777777" w:rsidR="001425B4" w:rsidRDefault="001425B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050596">
        <w:rPr>
          <w:rStyle w:val="Hyperlink"/>
          <w:color w:val="0070C0"/>
          <w:sz w:val="22"/>
          <w:szCs w:val="22"/>
          <w:lang w:val="en-GB"/>
        </w:rPr>
        <w:t>www.itu.int</w:t>
      </w:r>
      <w:proofErr w:type="spellEnd"/>
      <w:r w:rsidRPr="00050596">
        <w:rPr>
          <w:rStyle w:val="Hyperlink"/>
          <w:color w:val="0070C0"/>
          <w:sz w:val="22"/>
          <w:szCs w:val="22"/>
          <w:lang w:val="en-GB"/>
        </w:rPr>
        <w:t>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A5C7E" w14:textId="77777777" w:rsidR="001425B4" w:rsidRDefault="001425B4" w:rsidP="0079159C">
      <w:r>
        <w:t>____________________</w:t>
      </w:r>
    </w:p>
  </w:footnote>
  <w:footnote w:type="continuationSeparator" w:id="0">
    <w:p w14:paraId="16C086C2" w14:textId="77777777" w:rsidR="001425B4" w:rsidRDefault="001425B4" w:rsidP="0079159C">
      <w:r>
        <w:continuationSeparator/>
      </w:r>
    </w:p>
    <w:p w14:paraId="72FE77C5" w14:textId="77777777" w:rsidR="001425B4" w:rsidRDefault="001425B4" w:rsidP="0079159C"/>
    <w:p w14:paraId="2745C2B8" w14:textId="77777777" w:rsidR="001425B4" w:rsidRDefault="001425B4" w:rsidP="0079159C"/>
    <w:p w14:paraId="3A4BD3F4" w14:textId="77777777" w:rsidR="001425B4" w:rsidRDefault="001425B4" w:rsidP="0079159C"/>
    <w:p w14:paraId="0A0EF995" w14:textId="77777777" w:rsidR="001425B4" w:rsidRDefault="001425B4" w:rsidP="0079159C"/>
    <w:p w14:paraId="7B89769B" w14:textId="77777777" w:rsidR="001425B4" w:rsidRDefault="001425B4" w:rsidP="0079159C"/>
    <w:p w14:paraId="63982253" w14:textId="77777777" w:rsidR="001425B4" w:rsidRDefault="001425B4" w:rsidP="0079159C"/>
    <w:p w14:paraId="5E69BA78" w14:textId="77777777" w:rsidR="001425B4" w:rsidRDefault="001425B4" w:rsidP="0079159C"/>
    <w:p w14:paraId="19237226" w14:textId="77777777" w:rsidR="001425B4" w:rsidRDefault="001425B4" w:rsidP="0079159C"/>
    <w:p w14:paraId="7FDEEC80" w14:textId="77777777" w:rsidR="001425B4" w:rsidRDefault="001425B4" w:rsidP="0079159C"/>
    <w:p w14:paraId="2623DC65" w14:textId="77777777" w:rsidR="001425B4" w:rsidRDefault="001425B4" w:rsidP="0079159C"/>
    <w:p w14:paraId="48CAC5C3" w14:textId="77777777" w:rsidR="001425B4" w:rsidRDefault="001425B4" w:rsidP="0079159C"/>
    <w:p w14:paraId="2611B716" w14:textId="77777777" w:rsidR="001425B4" w:rsidRDefault="001425B4" w:rsidP="0079159C"/>
    <w:p w14:paraId="10A99A64" w14:textId="77777777" w:rsidR="001425B4" w:rsidRDefault="001425B4" w:rsidP="0079159C"/>
    <w:p w14:paraId="5594A82C" w14:textId="77777777" w:rsidR="001425B4" w:rsidRDefault="001425B4" w:rsidP="004B3A6C"/>
    <w:p w14:paraId="43048284" w14:textId="77777777" w:rsidR="001425B4" w:rsidRDefault="001425B4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5846801B" w14:textId="23AD753C" w:rsidR="00776D24" w:rsidRPr="00776D24" w:rsidRDefault="00776D24" w:rsidP="00A903C6">
    <w:pPr>
      <w:pStyle w:val="Header"/>
      <w:rPr>
        <w:bCs/>
      </w:rPr>
    </w:pPr>
    <w:r w:rsidRPr="00776D24">
      <w:rPr>
        <w:rFonts w:cstheme="minorHAnsi"/>
        <w:bCs/>
        <w:szCs w:val="28"/>
        <w:lang w:val="ru-RU"/>
      </w:rPr>
      <w:t>WTPF-26/DT/</w:t>
    </w:r>
    <w:r w:rsidRPr="00776D24">
      <w:rPr>
        <w:rFonts w:cstheme="minorHAnsi"/>
        <w:bCs/>
        <w:szCs w:val="28"/>
        <w:lang w:val="es-ES"/>
      </w:rPr>
      <w:t>4</w:t>
    </w:r>
    <w:r w:rsidRPr="00776D24">
      <w:rPr>
        <w:rFonts w:cstheme="minorHAnsi"/>
        <w:bCs/>
        <w:szCs w:val="28"/>
        <w:lang w:val="ru-RU"/>
      </w:rPr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5B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C4C2E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B04FF"/>
    <w:rsid w:val="003B276A"/>
    <w:rsid w:val="003D1F95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4E29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76D24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0511"/>
    <w:rsid w:val="009125CE"/>
    <w:rsid w:val="0093377B"/>
    <w:rsid w:val="00934241"/>
    <w:rsid w:val="00950E0F"/>
    <w:rsid w:val="00962CCF"/>
    <w:rsid w:val="0097690C"/>
    <w:rsid w:val="00977F6A"/>
    <w:rsid w:val="00996435"/>
    <w:rsid w:val="009A47A2"/>
    <w:rsid w:val="009A6D9A"/>
    <w:rsid w:val="009E09E0"/>
    <w:rsid w:val="009E4F4B"/>
    <w:rsid w:val="009F0BA9"/>
    <w:rsid w:val="009F3A10"/>
    <w:rsid w:val="00A25C23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45D8"/>
    <w:rsid w:val="00B45785"/>
    <w:rsid w:val="00B52354"/>
    <w:rsid w:val="00B62568"/>
    <w:rsid w:val="00B75B70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752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B75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B75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RUS\Templates\SG\WTPF26_R-template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WTPF26_R-templatefnl.dotx</Template>
  <TotalTime>1</TotalTime>
  <Pages>4</Pages>
  <Words>1320</Words>
  <Characters>9716</Characters>
  <Application>Microsoft Office Word</Application>
  <DocSecurity>0</DocSecurity>
  <Lines>159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ITU</Company>
  <LinksUpToDate>false</LinksUpToDate>
  <CharactersWithSpaces>10978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Opinion 4 - Space connectivity</dc:title>
  <dc:subject>World telecommunication/information and communication technology policy forum</dc:subject>
  <cp:keywords>WTPF, WTPF-26</cp:keywords>
  <dc:description/>
  <dcterms:created xsi:type="dcterms:W3CDTF">2026-09-04T10:10:00Z</dcterms:created>
  <dcterms:modified xsi:type="dcterms:W3CDTF">2026-09-04T10:10:00Z</dcterms:modified>
  <cp:category>Conference document</cp:category>
</cp:coreProperties>
</file>