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6946"/>
        <w:gridCol w:w="3085"/>
      </w:tblGrid>
      <w:tr w:rsidR="00BF32F2" w:rsidRPr="0002785D" w14:paraId="53E2F3C9" w14:textId="77777777" w:rsidTr="00DB336C">
        <w:trPr>
          <w:cantSplit/>
          <w:trHeight w:hRule="exact" w:val="1418"/>
          <w:jc w:val="center"/>
        </w:trPr>
        <w:tc>
          <w:tcPr>
            <w:tcW w:w="10031" w:type="dxa"/>
            <w:gridSpan w:val="2"/>
            <w:tcMar>
              <w:left w:w="0" w:type="dxa"/>
              <w:right w:w="0" w:type="dxa"/>
            </w:tcMar>
            <w:vAlign w:val="center"/>
          </w:tcPr>
          <w:p w14:paraId="703F9FD0" w14:textId="7AD2A830" w:rsidR="00BF32F2" w:rsidRPr="00BF32F2" w:rsidRDefault="00A94EFE" w:rsidP="00BF32F2">
            <w:pPr>
              <w:spacing w:before="0" w:line="240" w:lineRule="atLeast"/>
              <w:rPr>
                <w:rFonts w:cstheme="minorHAnsi"/>
              </w:rPr>
            </w:pPr>
            <w:r>
              <w:rPr>
                <w:rFonts w:cstheme="minorHAnsi"/>
                <w:noProof/>
              </w:rPr>
              <w:drawing>
                <wp:inline distT="0" distB="0" distL="0" distR="0" wp14:anchorId="7E8B36DD" wp14:editId="11948D3D">
                  <wp:extent cx="6660000" cy="971793"/>
                  <wp:effectExtent l="0" t="0" r="7620" b="0"/>
                  <wp:docPr id="5742357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35746" name="Picture 57423574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77985" w:rsidRPr="00930E84" w14:paraId="7936D6CB" w14:textId="77777777" w:rsidTr="005A329F">
        <w:trPr>
          <w:cantSplit/>
          <w:trHeight w:val="283"/>
          <w:jc w:val="center"/>
        </w:trPr>
        <w:tc>
          <w:tcPr>
            <w:tcW w:w="10031" w:type="dxa"/>
            <w:gridSpan w:val="2"/>
            <w:tcBorders>
              <w:bottom w:val="single" w:sz="12" w:space="0" w:color="71716F"/>
            </w:tcBorders>
          </w:tcPr>
          <w:p w14:paraId="11F82F2F" w14:textId="77777777" w:rsidR="00277985" w:rsidRPr="00DE3E41" w:rsidRDefault="00277985" w:rsidP="00BF32F2">
            <w:pPr>
              <w:spacing w:before="0" w:line="240" w:lineRule="atLeast"/>
              <w:rPr>
                <w:rFonts w:cstheme="minorHAnsi"/>
                <w:b/>
                <w:smallCaps/>
                <w:szCs w:val="24"/>
                <w:lang w:val="fr-CH"/>
              </w:rPr>
            </w:pPr>
            <w:bookmarkStart w:id="0" w:name="dhead"/>
          </w:p>
        </w:tc>
      </w:tr>
      <w:tr w:rsidR="00255FA1" w:rsidRPr="0002785D" w14:paraId="420A698C" w14:textId="77777777" w:rsidTr="00DB336C">
        <w:trPr>
          <w:cantSplit/>
          <w:trHeight w:val="255"/>
          <w:jc w:val="center"/>
        </w:trPr>
        <w:tc>
          <w:tcPr>
            <w:tcW w:w="6946" w:type="dxa"/>
            <w:tcBorders>
              <w:top w:val="single" w:sz="12" w:space="0" w:color="71716F"/>
            </w:tcBorders>
          </w:tcPr>
          <w:p w14:paraId="47DB16D7" w14:textId="77777777" w:rsidR="00255FA1" w:rsidRPr="00DE3E41" w:rsidRDefault="00255FA1" w:rsidP="00BF32F2">
            <w:pPr>
              <w:spacing w:before="0"/>
              <w:ind w:firstLine="720"/>
              <w:rPr>
                <w:rFonts w:cstheme="minorHAnsi"/>
                <w:b/>
                <w:smallCaps/>
                <w:szCs w:val="24"/>
                <w:lang w:val="fr-CH"/>
              </w:rPr>
            </w:pPr>
          </w:p>
        </w:tc>
        <w:tc>
          <w:tcPr>
            <w:tcW w:w="3085" w:type="dxa"/>
            <w:tcBorders>
              <w:top w:val="single" w:sz="12" w:space="0" w:color="71716F"/>
            </w:tcBorders>
          </w:tcPr>
          <w:p w14:paraId="3B0821EE" w14:textId="77777777" w:rsidR="00255FA1" w:rsidRPr="00DE3E41" w:rsidRDefault="00255FA1" w:rsidP="00BF32F2">
            <w:pPr>
              <w:spacing w:before="0"/>
              <w:rPr>
                <w:rFonts w:cstheme="minorHAnsi"/>
                <w:szCs w:val="24"/>
                <w:lang w:val="fr-CH"/>
              </w:rPr>
            </w:pPr>
          </w:p>
        </w:tc>
      </w:tr>
      <w:bookmarkEnd w:id="0"/>
      <w:tr w:rsidR="00075113" w:rsidRPr="0002785D" w14:paraId="6E5D99D3" w14:textId="77777777" w:rsidTr="00DB336C">
        <w:trPr>
          <w:cantSplit/>
          <w:jc w:val="center"/>
        </w:trPr>
        <w:tc>
          <w:tcPr>
            <w:tcW w:w="6946" w:type="dxa"/>
          </w:tcPr>
          <w:p w14:paraId="248001A5" w14:textId="295FEB22" w:rsidR="00075113" w:rsidRPr="004C22ED" w:rsidRDefault="00075113" w:rsidP="00075113">
            <w:pPr>
              <w:pStyle w:val="Committee"/>
              <w:framePr w:hSpace="0" w:wrap="auto" w:hAnchor="text" w:yAlign="inline"/>
              <w:spacing w:after="0" w:line="240" w:lineRule="auto"/>
            </w:pPr>
          </w:p>
        </w:tc>
        <w:tc>
          <w:tcPr>
            <w:tcW w:w="3085" w:type="dxa"/>
          </w:tcPr>
          <w:p w14:paraId="5DCBCBFD" w14:textId="4407FF36" w:rsidR="00075113" w:rsidRPr="004C22ED" w:rsidRDefault="00075113" w:rsidP="00DB336C">
            <w:pPr>
              <w:spacing w:before="0"/>
              <w:rPr>
                <w:rFonts w:cstheme="minorHAnsi"/>
                <w:szCs w:val="24"/>
                <w:lang w:val="en-US"/>
              </w:rPr>
            </w:pPr>
            <w:r w:rsidRPr="00A92DEE">
              <w:rPr>
                <w:rFonts w:cstheme="minorHAnsi"/>
                <w:b/>
                <w:szCs w:val="24"/>
                <w:lang w:val="es-ES"/>
              </w:rPr>
              <w:t>Documento</w:t>
            </w:r>
            <w:r>
              <w:rPr>
                <w:rFonts w:cstheme="minorHAnsi"/>
                <w:b/>
                <w:szCs w:val="24"/>
                <w:lang w:val="en-US"/>
              </w:rPr>
              <w:t xml:space="preserve"> </w:t>
            </w:r>
            <w:r w:rsidR="00DB336C" w:rsidRPr="00DB336C">
              <w:rPr>
                <w:rFonts w:cstheme="minorHAnsi"/>
                <w:b/>
                <w:szCs w:val="24"/>
              </w:rPr>
              <w:t>WTPF-26/</w:t>
            </w:r>
            <w:r w:rsidR="00081E04">
              <w:rPr>
                <w:rFonts w:cstheme="minorHAnsi"/>
                <w:b/>
                <w:szCs w:val="24"/>
              </w:rPr>
              <w:t>2</w:t>
            </w:r>
            <w:r>
              <w:rPr>
                <w:rFonts w:cstheme="minorHAnsi"/>
                <w:b/>
                <w:szCs w:val="24"/>
                <w:lang w:val="en-US"/>
              </w:rPr>
              <w:t>-S</w:t>
            </w:r>
          </w:p>
        </w:tc>
      </w:tr>
      <w:tr w:rsidR="00075113" w:rsidRPr="0002785D" w14:paraId="483D078B" w14:textId="77777777" w:rsidTr="00DB336C">
        <w:trPr>
          <w:cantSplit/>
          <w:jc w:val="center"/>
        </w:trPr>
        <w:tc>
          <w:tcPr>
            <w:tcW w:w="6946" w:type="dxa"/>
          </w:tcPr>
          <w:p w14:paraId="17E32998" w14:textId="36F0CCB2" w:rsidR="00075113" w:rsidRPr="00BF5475" w:rsidRDefault="00075113" w:rsidP="00075113">
            <w:pPr>
              <w:spacing w:before="0"/>
              <w:rPr>
                <w:rFonts w:cstheme="minorHAnsi"/>
                <w:b/>
                <w:szCs w:val="24"/>
                <w:lang w:val="en-US"/>
              </w:rPr>
            </w:pPr>
          </w:p>
        </w:tc>
        <w:tc>
          <w:tcPr>
            <w:tcW w:w="3085" w:type="dxa"/>
          </w:tcPr>
          <w:p w14:paraId="00BF5C1A" w14:textId="704D61A6" w:rsidR="00075113" w:rsidRPr="004C22ED" w:rsidRDefault="00A92DEE" w:rsidP="00075113">
            <w:pPr>
              <w:spacing w:before="0"/>
              <w:rPr>
                <w:rFonts w:cstheme="minorHAnsi"/>
                <w:b/>
                <w:szCs w:val="24"/>
                <w:lang w:val="en-US"/>
              </w:rPr>
            </w:pPr>
            <w:r>
              <w:rPr>
                <w:b/>
                <w:lang w:val="es-ES"/>
              </w:rPr>
              <w:t>11</w:t>
            </w:r>
            <w:r w:rsidR="00081E04">
              <w:rPr>
                <w:b/>
                <w:lang w:val="es-ES"/>
              </w:rPr>
              <w:t xml:space="preserve"> de </w:t>
            </w:r>
            <w:r>
              <w:rPr>
                <w:b/>
                <w:lang w:val="es-ES"/>
              </w:rPr>
              <w:t xml:space="preserve">agosto </w:t>
            </w:r>
            <w:r w:rsidR="00081E04">
              <w:rPr>
                <w:b/>
                <w:lang w:val="es-ES"/>
              </w:rPr>
              <w:t>de 2026</w:t>
            </w:r>
          </w:p>
        </w:tc>
      </w:tr>
      <w:tr w:rsidR="00075113" w:rsidRPr="0002785D" w14:paraId="7EE17784" w14:textId="77777777" w:rsidTr="00DB336C">
        <w:trPr>
          <w:cantSplit/>
          <w:jc w:val="center"/>
        </w:trPr>
        <w:tc>
          <w:tcPr>
            <w:tcW w:w="6946" w:type="dxa"/>
          </w:tcPr>
          <w:p w14:paraId="68573EE1" w14:textId="77777777" w:rsidR="00075113" w:rsidRPr="004C22ED" w:rsidRDefault="00075113" w:rsidP="00075113">
            <w:pPr>
              <w:spacing w:before="0"/>
              <w:rPr>
                <w:rFonts w:cstheme="minorHAnsi"/>
                <w:b/>
                <w:smallCaps/>
                <w:szCs w:val="24"/>
                <w:lang w:val="en-US"/>
              </w:rPr>
            </w:pPr>
          </w:p>
        </w:tc>
        <w:tc>
          <w:tcPr>
            <w:tcW w:w="3085" w:type="dxa"/>
          </w:tcPr>
          <w:p w14:paraId="76142BCE" w14:textId="03B29E45" w:rsidR="00075113" w:rsidRPr="004C22ED" w:rsidRDefault="00075113" w:rsidP="00075113">
            <w:pPr>
              <w:spacing w:before="0"/>
              <w:rPr>
                <w:rFonts w:cstheme="minorHAnsi"/>
                <w:b/>
                <w:szCs w:val="24"/>
                <w:lang w:val="en-US"/>
              </w:rPr>
            </w:pPr>
            <w:r w:rsidRPr="00075113">
              <w:rPr>
                <w:rFonts w:cstheme="minorHAnsi"/>
                <w:b/>
                <w:szCs w:val="24"/>
                <w:lang w:val="en-US"/>
              </w:rPr>
              <w:t xml:space="preserve">Original: </w:t>
            </w:r>
            <w:r w:rsidRPr="00A92DEE">
              <w:rPr>
                <w:rFonts w:cstheme="minorHAnsi"/>
                <w:b/>
                <w:szCs w:val="24"/>
                <w:lang w:val="es-ES"/>
              </w:rPr>
              <w:t>inglés</w:t>
            </w:r>
          </w:p>
        </w:tc>
      </w:tr>
      <w:tr w:rsidR="00075113" w:rsidRPr="0002785D" w14:paraId="3075E850" w14:textId="77777777" w:rsidTr="005A329F">
        <w:trPr>
          <w:cantSplit/>
          <w:jc w:val="center"/>
        </w:trPr>
        <w:tc>
          <w:tcPr>
            <w:tcW w:w="10031" w:type="dxa"/>
            <w:gridSpan w:val="2"/>
          </w:tcPr>
          <w:p w14:paraId="2AB3028F" w14:textId="77777777" w:rsidR="00075113" w:rsidRPr="004C22ED" w:rsidRDefault="00075113" w:rsidP="00075113">
            <w:pPr>
              <w:spacing w:before="0" w:line="240" w:lineRule="atLeast"/>
              <w:rPr>
                <w:rFonts w:cstheme="minorHAnsi"/>
                <w:b/>
                <w:szCs w:val="24"/>
                <w:lang w:val="en-US"/>
              </w:rPr>
            </w:pPr>
          </w:p>
        </w:tc>
      </w:tr>
      <w:tr w:rsidR="00075113" w:rsidRPr="0002785D" w14:paraId="53FF73A6" w14:textId="77777777" w:rsidTr="005A329F">
        <w:trPr>
          <w:cantSplit/>
          <w:jc w:val="center"/>
        </w:trPr>
        <w:tc>
          <w:tcPr>
            <w:tcW w:w="10031" w:type="dxa"/>
            <w:gridSpan w:val="2"/>
          </w:tcPr>
          <w:p w14:paraId="365E2007" w14:textId="1254F349" w:rsidR="00075113" w:rsidRPr="00081E04" w:rsidRDefault="005E7270" w:rsidP="00075113">
            <w:pPr>
              <w:pStyle w:val="Source"/>
              <w:rPr>
                <w:lang w:val="es-ES"/>
              </w:rPr>
            </w:pPr>
            <w:bookmarkStart w:id="1" w:name="dsource" w:colFirst="0" w:colLast="0"/>
            <w:r w:rsidRPr="00443CF9">
              <w:t>Informe de</w:t>
            </w:r>
            <w:r>
              <w:t xml:space="preserve"> </w:t>
            </w:r>
            <w:r w:rsidRPr="00443CF9">
              <w:t>l</w:t>
            </w:r>
            <w:r>
              <w:t>a</w:t>
            </w:r>
            <w:r w:rsidRPr="00443CF9">
              <w:t xml:space="preserve"> Secretari</w:t>
            </w:r>
            <w:r>
              <w:t>a</w:t>
            </w:r>
            <w:r w:rsidRPr="00443CF9">
              <w:t xml:space="preserve"> General</w:t>
            </w:r>
          </w:p>
        </w:tc>
      </w:tr>
      <w:tr w:rsidR="00075113" w:rsidRPr="0002785D" w14:paraId="6C060127" w14:textId="77777777" w:rsidTr="005A329F">
        <w:trPr>
          <w:cantSplit/>
          <w:jc w:val="center"/>
        </w:trPr>
        <w:tc>
          <w:tcPr>
            <w:tcW w:w="10031" w:type="dxa"/>
            <w:gridSpan w:val="2"/>
          </w:tcPr>
          <w:p w14:paraId="0A048F9C" w14:textId="4C4CF68F" w:rsidR="00075113" w:rsidRPr="00A92DEE" w:rsidRDefault="007D0008" w:rsidP="00075113">
            <w:pPr>
              <w:pStyle w:val="Title1"/>
              <w:rPr>
                <w:lang w:val="es-ES"/>
              </w:rPr>
            </w:pPr>
            <w:bookmarkStart w:id="2" w:name="dtitle1" w:colFirst="0" w:colLast="0"/>
            <w:bookmarkEnd w:id="1"/>
            <w:r w:rsidRPr="0052117D">
              <w:rPr>
                <w:caps w:val="0"/>
              </w:rPr>
              <w:t xml:space="preserve">PARA EL SÉPTIMO FORO MUNDIAL DE POLÍTICA DE </w:t>
            </w:r>
            <w:r w:rsidRPr="0052117D">
              <w:rPr>
                <w:caps w:val="0"/>
              </w:rPr>
              <w:br/>
              <w:t xml:space="preserve">TELECOMUNICACIONES/TECNOLOGÍAS DE LA INFORMACIÓN </w:t>
            </w:r>
            <w:r w:rsidRPr="0052117D">
              <w:rPr>
                <w:caps w:val="0"/>
              </w:rPr>
              <w:br/>
              <w:t>Y LA COMUNICACIÓN DE 2026, ULTIMADO POR EL GIE-FMPT-26</w:t>
            </w:r>
          </w:p>
        </w:tc>
      </w:tr>
    </w:tbl>
    <w:p w14:paraId="0A6F2BFA" w14:textId="77777777" w:rsidR="00081E04" w:rsidRPr="003F5F9B" w:rsidRDefault="00081E04" w:rsidP="003F5F9B">
      <w:pPr>
        <w:pStyle w:val="Heading1"/>
      </w:pPr>
      <w:bookmarkStart w:id="3" w:name="_Hlk182852311"/>
      <w:bookmarkEnd w:id="2"/>
      <w:r w:rsidRPr="0052117D">
        <w:t>1</w:t>
      </w:r>
      <w:r w:rsidRPr="0052117D">
        <w:tab/>
        <w:t>Preámbulo</w:t>
      </w:r>
    </w:p>
    <w:p w14:paraId="65F6DDC0" w14:textId="77777777" w:rsidR="00081E04" w:rsidRPr="0052117D" w:rsidRDefault="00081E04" w:rsidP="003F5F9B">
      <w:pPr>
        <w:pStyle w:val="Heading2"/>
      </w:pPr>
      <w:r w:rsidRPr="0052117D">
        <w:rPr>
          <w:spacing w:val="-4"/>
          <w:sz w:val="22"/>
          <w:szCs w:val="22"/>
        </w:rPr>
        <w:t>1.1</w:t>
      </w:r>
      <w:r w:rsidRPr="0052117D">
        <w:rPr>
          <w:spacing w:val="-4"/>
          <w:sz w:val="22"/>
          <w:szCs w:val="22"/>
        </w:rPr>
        <w:tab/>
      </w:r>
      <w:r w:rsidRPr="0052117D">
        <w:t xml:space="preserve">El séptimo Foro Mundial de </w:t>
      </w:r>
      <w:r w:rsidRPr="003F5F9B">
        <w:t>Política</w:t>
      </w:r>
      <w:r w:rsidRPr="0052117D">
        <w:t xml:space="preserve"> de Telecomunicaciones/Tecnologías de la Información y la Comunicación de 2026 (FMPT-26)</w:t>
      </w:r>
    </w:p>
    <w:p w14:paraId="4AA5F6FA" w14:textId="77777777" w:rsidR="00081E04" w:rsidRPr="0052117D" w:rsidRDefault="00081E04" w:rsidP="003F5F9B">
      <w:pPr>
        <w:jc w:val="both"/>
        <w:rPr>
          <w:rFonts w:eastAsiaTheme="minorEastAsia"/>
          <w:b/>
          <w:lang w:eastAsia="zh-CN"/>
        </w:rPr>
      </w:pPr>
      <w:r w:rsidRPr="0052117D">
        <w:rPr>
          <w:rFonts w:eastAsiaTheme="minorEastAsia"/>
          <w:bCs/>
          <w:lang w:eastAsia="zh-CN"/>
        </w:rPr>
        <w:t>1.1.1</w:t>
      </w:r>
      <w:r w:rsidRPr="0052117D">
        <w:rPr>
          <w:rFonts w:eastAsiaTheme="minorEastAsia"/>
          <w:bCs/>
          <w:lang w:eastAsia="zh-CN"/>
        </w:rPr>
        <w:tab/>
      </w:r>
      <w:r w:rsidRPr="0052117D">
        <w:rPr>
          <w:rFonts w:eastAsiaTheme="minorEastAsia"/>
          <w:lang w:eastAsia="zh-CN"/>
        </w:rPr>
        <w:t>Creado inicialmente por la Conferencia de Plenipotenciarios (</w:t>
      </w:r>
      <w:proofErr w:type="spellStart"/>
      <w:r w:rsidRPr="0052117D">
        <w:rPr>
          <w:rFonts w:eastAsiaTheme="minorEastAsia"/>
          <w:lang w:eastAsia="zh-CN"/>
        </w:rPr>
        <w:t>Kyoto</w:t>
      </w:r>
      <w:proofErr w:type="spellEnd"/>
      <w:r w:rsidRPr="0052117D">
        <w:rPr>
          <w:rFonts w:eastAsiaTheme="minorEastAsia"/>
          <w:lang w:eastAsia="zh-CN"/>
        </w:rPr>
        <w:t xml:space="preserve">, 1994) de la Unión Internacional de Telecomunicaciones (UIT), el Foro Mundial de Política de Telecomunicaciones/Tecnologías de la Información y la Comunicación (FMPT) se ha celebrado con éxito en 1996, 1998, 2001, 2009, 2013 y 2021. Mediante su </w:t>
      </w:r>
      <w:hyperlink r:id="rId9">
        <w:r w:rsidRPr="0052117D">
          <w:rPr>
            <w:rStyle w:val="Hyperlink"/>
            <w:lang w:eastAsia="zh-CN"/>
          </w:rPr>
          <w:t>Resolución 2 (Rev. Bucarest, 2022)</w:t>
        </w:r>
      </w:hyperlink>
      <w:r w:rsidRPr="0052117D">
        <w:rPr>
          <w:rFonts w:eastAsiaTheme="minorEastAsia"/>
          <w:lang w:eastAsia="zh-CN"/>
        </w:rPr>
        <w:t>, la Conferencia de Plenipotenciarios de la UIT resolvió celebrar el próximo FMPT en 2026.</w:t>
      </w:r>
    </w:p>
    <w:p w14:paraId="5C00A1B2" w14:textId="77777777" w:rsidR="00081E04" w:rsidRPr="00282C98" w:rsidRDefault="00081E04" w:rsidP="003F5F9B">
      <w:pPr>
        <w:jc w:val="both"/>
        <w:rPr>
          <w:rFonts w:eastAsiaTheme="minorEastAsia"/>
          <w:b/>
          <w:spacing w:val="-3"/>
          <w:lang w:eastAsia="zh-CN"/>
        </w:rPr>
      </w:pPr>
      <w:r w:rsidRPr="00282C98">
        <w:rPr>
          <w:rFonts w:eastAsiaTheme="minorEastAsia"/>
          <w:bCs/>
          <w:spacing w:val="-3"/>
          <w:lang w:eastAsia="zh-CN"/>
        </w:rPr>
        <w:t>1.1.2</w:t>
      </w:r>
      <w:r w:rsidRPr="00282C98">
        <w:rPr>
          <w:rFonts w:eastAsiaTheme="minorEastAsia"/>
          <w:bCs/>
          <w:spacing w:val="-3"/>
          <w:lang w:eastAsia="zh-CN"/>
        </w:rPr>
        <w:tab/>
      </w:r>
      <w:r w:rsidRPr="00282C98">
        <w:rPr>
          <w:rFonts w:eastAsiaTheme="minorEastAsia"/>
          <w:spacing w:val="-3"/>
          <w:lang w:eastAsia="zh-CN"/>
        </w:rPr>
        <w:t xml:space="preserve">El FMPT tiene por objeto servir de foro para el intercambio de opiniones e información y crear así una visión común entre los responsables políticos de todo el mundo acerca de los retos y las oportunidades que conllevan los servicios y tecnologías de telecomunicaciones/TIC nuevos e incipientes, así como examinar cualquier otra cuestión de política general de telecomunicaciones/TIC que pueda beneficiarse de un intercambio de opiniones a escala mundial, además de adoptar opiniones que respondan a puntos de vista comunes, de conformidad con la </w:t>
      </w:r>
      <w:hyperlink r:id="rId10" w:history="1">
        <w:r w:rsidRPr="00282C98">
          <w:rPr>
            <w:rFonts w:eastAsiaTheme="minorEastAsia"/>
            <w:spacing w:val="-3"/>
            <w:lang w:eastAsia="zh-CN"/>
          </w:rPr>
          <w:t>Resolución 2 (Rev. Bucarest, 2022)</w:t>
        </w:r>
      </w:hyperlink>
      <w:r w:rsidRPr="00282C98">
        <w:rPr>
          <w:rFonts w:eastAsiaTheme="minorEastAsia"/>
          <w:spacing w:val="-3"/>
          <w:lang w:eastAsia="zh-CN"/>
        </w:rPr>
        <w:t>.</w:t>
      </w:r>
    </w:p>
    <w:p w14:paraId="1F481171" w14:textId="77777777" w:rsidR="00081E04" w:rsidRPr="0052117D" w:rsidRDefault="00081E04" w:rsidP="003F5F9B">
      <w:pPr>
        <w:jc w:val="both"/>
        <w:rPr>
          <w:rFonts w:asciiTheme="minorHAnsi" w:eastAsiaTheme="minorEastAsia" w:hAnsiTheme="minorHAnsi" w:cstheme="minorBidi"/>
          <w:b/>
          <w:szCs w:val="24"/>
          <w:lang w:eastAsia="zh-CN"/>
        </w:rPr>
      </w:pPr>
      <w:r w:rsidRPr="0052117D">
        <w:rPr>
          <w:rFonts w:asciiTheme="minorHAnsi" w:eastAsiaTheme="minorEastAsia" w:hAnsiTheme="minorHAnsi" w:cstheme="minorBidi"/>
          <w:bCs/>
          <w:szCs w:val="24"/>
          <w:lang w:eastAsia="zh-CN"/>
        </w:rPr>
        <w:t>1.1.3</w:t>
      </w:r>
      <w:r w:rsidRPr="0052117D">
        <w:rPr>
          <w:rFonts w:asciiTheme="minorHAnsi" w:eastAsiaTheme="minorEastAsia" w:hAnsiTheme="minorHAnsi" w:cstheme="minorBidi"/>
          <w:bCs/>
          <w:szCs w:val="24"/>
          <w:lang w:eastAsia="zh-CN"/>
        </w:rPr>
        <w:tab/>
      </w:r>
      <w:r w:rsidRPr="0052117D">
        <w:rPr>
          <w:rFonts w:asciiTheme="minorHAnsi" w:eastAsiaTheme="minorEastAsia" w:hAnsiTheme="minorHAnsi" w:cstheme="minorBidi"/>
          <w:szCs w:val="24"/>
          <w:lang w:eastAsia="zh-CN"/>
        </w:rPr>
        <w:t xml:space="preserve">Mediante su </w:t>
      </w:r>
      <w:hyperlink r:id="rId11" w:history="1">
        <w:r w:rsidRPr="0052117D">
          <w:rPr>
            <w:rStyle w:val="Hyperlink"/>
            <w:rFonts w:asciiTheme="minorHAnsi" w:eastAsiaTheme="minorEastAsia" w:hAnsiTheme="minorHAnsi" w:cstheme="minorHAnsi"/>
            <w:szCs w:val="24"/>
            <w:lang w:eastAsia="zh-CN"/>
          </w:rPr>
          <w:t>Acuerdo 641 (</w:t>
        </w:r>
        <w:proofErr w:type="spellStart"/>
        <w:r w:rsidRPr="0052117D">
          <w:rPr>
            <w:rStyle w:val="Hyperlink"/>
            <w:rFonts w:asciiTheme="minorHAnsi" w:eastAsiaTheme="minorEastAsia" w:hAnsiTheme="minorHAnsi" w:cstheme="minorHAnsi"/>
            <w:szCs w:val="24"/>
            <w:lang w:eastAsia="zh-CN"/>
          </w:rPr>
          <w:t>C24</w:t>
        </w:r>
        <w:proofErr w:type="spellEnd"/>
        <w:r w:rsidRPr="0052117D">
          <w:rPr>
            <w:rStyle w:val="Hyperlink"/>
            <w:rFonts w:asciiTheme="minorHAnsi" w:eastAsiaTheme="minorEastAsia" w:hAnsiTheme="minorHAnsi" w:cstheme="minorHAnsi"/>
            <w:szCs w:val="24"/>
            <w:lang w:eastAsia="zh-CN"/>
          </w:rPr>
          <w:t xml:space="preserve">, modificado por última vez en </w:t>
        </w:r>
        <w:proofErr w:type="spellStart"/>
        <w:r w:rsidRPr="0052117D">
          <w:rPr>
            <w:rStyle w:val="Hyperlink"/>
            <w:rFonts w:asciiTheme="minorHAnsi" w:eastAsiaTheme="minorEastAsia" w:hAnsiTheme="minorHAnsi" w:cstheme="minorHAnsi"/>
            <w:szCs w:val="24"/>
            <w:lang w:eastAsia="zh-CN"/>
          </w:rPr>
          <w:t>C25</w:t>
        </w:r>
        <w:proofErr w:type="spellEnd"/>
        <w:r w:rsidRPr="0052117D">
          <w:rPr>
            <w:rStyle w:val="Hyperlink"/>
            <w:rFonts w:asciiTheme="minorHAnsi" w:eastAsiaTheme="minorEastAsia" w:hAnsiTheme="minorHAnsi" w:cstheme="minorHAnsi"/>
            <w:szCs w:val="24"/>
            <w:lang w:eastAsia="zh-CN"/>
          </w:rPr>
          <w:t>)</w:t>
        </w:r>
      </w:hyperlink>
      <w:r w:rsidRPr="0052117D">
        <w:rPr>
          <w:rFonts w:asciiTheme="minorHAnsi" w:eastAsiaTheme="minorEastAsia" w:hAnsiTheme="minorHAnsi" w:cstheme="minorBidi"/>
          <w:szCs w:val="24"/>
          <w:lang w:eastAsia="zh-CN"/>
        </w:rPr>
        <w:t xml:space="preserve">, el </w:t>
      </w:r>
      <w:r w:rsidRPr="0052117D">
        <w:rPr>
          <w:rFonts w:eastAsiaTheme="minorEastAsia"/>
          <w:szCs w:val="24"/>
          <w:lang w:eastAsia="zh-CN"/>
        </w:rPr>
        <w:t>Consejo</w:t>
      </w:r>
      <w:r w:rsidRPr="0052117D">
        <w:rPr>
          <w:rFonts w:asciiTheme="minorHAnsi" w:eastAsiaTheme="minorEastAsia" w:hAnsiTheme="minorHAnsi" w:cstheme="minorBidi"/>
          <w:szCs w:val="24"/>
          <w:lang w:eastAsia="zh-CN"/>
        </w:rPr>
        <w:t xml:space="preserve"> de la UIT decidió que </w:t>
      </w:r>
      <w:r w:rsidRPr="0052117D">
        <w:rPr>
          <w:rFonts w:asciiTheme="minorHAnsi" w:eastAsiaTheme="minorEastAsia" w:hAnsiTheme="minorHAnsi" w:cstheme="minorHAnsi"/>
          <w:szCs w:val="24"/>
          <w:lang w:eastAsia="zh-CN"/>
        </w:rPr>
        <w:t>el tema del FMPT-26 sería el siguiente:</w:t>
      </w:r>
    </w:p>
    <w:p w14:paraId="2AD1E57B" w14:textId="77777777" w:rsidR="00081E04" w:rsidRPr="0052117D" w:rsidRDefault="00081E04" w:rsidP="003F5F9B">
      <w:pPr>
        <w:pStyle w:val="enumlev1"/>
        <w:jc w:val="both"/>
        <w:rPr>
          <w:rFonts w:eastAsiaTheme="minorEastAsia"/>
          <w:iCs/>
          <w:lang w:eastAsia="zh-CN"/>
        </w:rPr>
      </w:pPr>
      <w:r w:rsidRPr="0052117D">
        <w:rPr>
          <w:rFonts w:eastAsiaTheme="minorEastAsia"/>
          <w:lang w:eastAsia="zh-CN"/>
        </w:rPr>
        <w:tab/>
        <w:t>"</w:t>
      </w:r>
      <w:r w:rsidRPr="0052117D">
        <w:rPr>
          <w:rFonts w:eastAsiaTheme="minorEastAsia"/>
          <w:b/>
          <w:i/>
          <w:lang w:eastAsia="zh-CN"/>
        </w:rPr>
        <w:t>Acelerar un futuro digital inclusivo, sostenible, resiliente e innovador</w:t>
      </w:r>
      <w:r w:rsidRPr="0052117D">
        <w:rPr>
          <w:rFonts w:eastAsiaTheme="minorEastAsia"/>
          <w:lang w:eastAsia="zh-CN"/>
        </w:rPr>
        <w:t xml:space="preserve">: a tal efecto, en el FMPT-26 se examinarán las oportunidades, los retos y las políticas que permitan abordar las </w:t>
      </w:r>
      <w:r w:rsidRPr="0052117D">
        <w:rPr>
          <w:rFonts w:eastAsiaTheme="minorEastAsia"/>
        </w:rPr>
        <w:t>cuestiones</w:t>
      </w:r>
      <w:r w:rsidRPr="0052117D">
        <w:rPr>
          <w:rFonts w:eastAsiaTheme="minorEastAsia"/>
          <w:lang w:eastAsia="zh-CN"/>
        </w:rPr>
        <w:t xml:space="preserve"> siguientes:</w:t>
      </w:r>
    </w:p>
    <w:p w14:paraId="515D79D2" w14:textId="77777777" w:rsidR="00081E04" w:rsidRPr="0052117D" w:rsidRDefault="00081E04" w:rsidP="003F5F9B">
      <w:pPr>
        <w:pStyle w:val="enumlev2"/>
        <w:jc w:val="both"/>
        <w:rPr>
          <w:rFonts w:eastAsiaTheme="minorEastAsia"/>
          <w:szCs w:val="24"/>
          <w:lang w:eastAsia="zh-CN"/>
        </w:rPr>
      </w:pPr>
      <w:r w:rsidRPr="0052117D">
        <w:rPr>
          <w:rFonts w:eastAsiaTheme="minorEastAsia"/>
          <w:szCs w:val="24"/>
          <w:lang w:eastAsia="zh-CN"/>
        </w:rPr>
        <w:t>–</w:t>
      </w:r>
      <w:r w:rsidRPr="0052117D">
        <w:rPr>
          <w:rFonts w:eastAsiaTheme="minorEastAsia"/>
          <w:szCs w:val="24"/>
          <w:lang w:eastAsia="zh-CN"/>
        </w:rPr>
        <w:tab/>
        <w:t>la reducción de las brechas digitales, en particular las relativas al género y la edad, así como a las competencias y la conectividad;</w:t>
      </w:r>
    </w:p>
    <w:p w14:paraId="0A175AD6" w14:textId="77777777" w:rsidR="00081E04" w:rsidRPr="0052117D" w:rsidRDefault="00081E04" w:rsidP="003F5F9B">
      <w:pPr>
        <w:pStyle w:val="enumlev2"/>
        <w:rPr>
          <w:rFonts w:eastAsiaTheme="minorEastAsia"/>
          <w:szCs w:val="24"/>
          <w:lang w:eastAsia="zh-CN"/>
        </w:rPr>
      </w:pPr>
      <w:r w:rsidRPr="0052117D">
        <w:rPr>
          <w:rFonts w:eastAsiaTheme="minorEastAsia"/>
          <w:szCs w:val="24"/>
          <w:lang w:eastAsia="zh-CN"/>
        </w:rPr>
        <w:t>–</w:t>
      </w:r>
      <w:r w:rsidRPr="0052117D">
        <w:rPr>
          <w:rFonts w:eastAsiaTheme="minorEastAsia"/>
          <w:szCs w:val="24"/>
          <w:lang w:eastAsia="zh-CN"/>
        </w:rPr>
        <w:tab/>
        <w:t>la transformación digital ecológica: el cambio climático y la sostenibilidad medioambiental;</w:t>
      </w:r>
    </w:p>
    <w:p w14:paraId="3D048CA6" w14:textId="77777777" w:rsidR="00081E04" w:rsidRPr="0052117D" w:rsidRDefault="00081E04" w:rsidP="003F5F9B">
      <w:pPr>
        <w:pStyle w:val="enumlev2"/>
        <w:rPr>
          <w:rFonts w:eastAsiaTheme="minorEastAsia"/>
          <w:szCs w:val="24"/>
          <w:lang w:eastAsia="zh-CN"/>
        </w:rPr>
      </w:pPr>
      <w:r w:rsidRPr="0052117D">
        <w:rPr>
          <w:rFonts w:eastAsiaTheme="minorEastAsia"/>
          <w:szCs w:val="24"/>
          <w:lang w:eastAsia="zh-CN"/>
        </w:rPr>
        <w:t>–</w:t>
      </w:r>
      <w:r w:rsidRPr="0052117D">
        <w:rPr>
          <w:rFonts w:eastAsiaTheme="minorEastAsia"/>
          <w:szCs w:val="24"/>
          <w:lang w:eastAsia="zh-CN"/>
        </w:rPr>
        <w:tab/>
        <w:t>la resiliencia de las telecomunicaciones/TIC;</w:t>
      </w:r>
    </w:p>
    <w:p w14:paraId="72948C07" w14:textId="77777777" w:rsidR="00081E04" w:rsidRPr="0052117D" w:rsidRDefault="00081E04" w:rsidP="003F5F9B">
      <w:pPr>
        <w:pStyle w:val="enumlev2"/>
        <w:rPr>
          <w:rFonts w:eastAsiaTheme="minorEastAsia"/>
          <w:szCs w:val="24"/>
          <w:lang w:eastAsia="zh-CN"/>
        </w:rPr>
      </w:pPr>
      <w:r w:rsidRPr="0052117D">
        <w:rPr>
          <w:rFonts w:eastAsiaTheme="minorEastAsia"/>
          <w:szCs w:val="24"/>
          <w:lang w:eastAsia="zh-CN"/>
        </w:rPr>
        <w:t>–</w:t>
      </w:r>
      <w:r w:rsidRPr="0052117D">
        <w:rPr>
          <w:rFonts w:eastAsiaTheme="minorEastAsia"/>
          <w:szCs w:val="24"/>
          <w:lang w:eastAsia="zh-CN"/>
        </w:rPr>
        <w:tab/>
        <w:t>la conectividad espacial;</w:t>
      </w:r>
    </w:p>
    <w:p w14:paraId="47CCCC92" w14:textId="77777777" w:rsidR="00081E04" w:rsidRPr="0052117D" w:rsidRDefault="00081E04" w:rsidP="00BF2FBA">
      <w:pPr>
        <w:pStyle w:val="enumlev2"/>
        <w:jc w:val="both"/>
        <w:rPr>
          <w:rFonts w:eastAsiaTheme="minorEastAsia"/>
          <w:szCs w:val="24"/>
          <w:lang w:eastAsia="zh-CN"/>
        </w:rPr>
      </w:pPr>
      <w:r w:rsidRPr="0052117D">
        <w:rPr>
          <w:rFonts w:eastAsiaTheme="minorEastAsia"/>
          <w:szCs w:val="24"/>
          <w:lang w:eastAsia="zh-CN"/>
        </w:rPr>
        <w:lastRenderedPageBreak/>
        <w:t>–</w:t>
      </w:r>
      <w:r w:rsidRPr="0052117D">
        <w:rPr>
          <w:rFonts w:eastAsiaTheme="minorEastAsia"/>
          <w:szCs w:val="24"/>
          <w:lang w:eastAsia="zh-CN"/>
        </w:rPr>
        <w:tab/>
        <w:t>el fortalecimiento de los ecosistemas de innovación centrados en las TIC y del espíritu empresarial".</w:t>
      </w:r>
    </w:p>
    <w:p w14:paraId="16D0E9C3" w14:textId="77777777" w:rsidR="00081E04" w:rsidRPr="0052117D" w:rsidRDefault="00081E04" w:rsidP="00BF2FBA">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bCs/>
          <w:szCs w:val="24"/>
          <w:lang w:eastAsia="zh-CN"/>
        </w:rPr>
        <w:t>1.1.4</w:t>
      </w:r>
      <w:r w:rsidRPr="0052117D">
        <w:rPr>
          <w:rFonts w:asciiTheme="minorHAnsi" w:eastAsiaTheme="minorEastAsia" w:hAnsiTheme="minorHAnsi" w:cstheme="minorBidi"/>
          <w:bCs/>
          <w:szCs w:val="24"/>
          <w:lang w:eastAsia="zh-CN"/>
        </w:rPr>
        <w:tab/>
      </w:r>
      <w:r w:rsidRPr="0052117D">
        <w:rPr>
          <w:rFonts w:asciiTheme="minorHAnsi" w:eastAsiaTheme="minorEastAsia" w:hAnsiTheme="minorHAnsi" w:cstheme="minorBidi"/>
          <w:szCs w:val="24"/>
          <w:lang w:eastAsia="zh-CN"/>
        </w:rPr>
        <w:t xml:space="preserve">El FMPT-26 no elaborará resultados reglamentarios preceptivos; no obstante, deberá preparar informes y adoptar por consenso opiniones </w:t>
      </w:r>
      <w:r w:rsidRPr="0052117D">
        <w:rPr>
          <w:rFonts w:eastAsiaTheme="minorEastAsia"/>
          <w:szCs w:val="24"/>
          <w:lang w:eastAsia="zh-CN"/>
        </w:rPr>
        <w:t>no</w:t>
      </w:r>
      <w:r w:rsidRPr="0052117D">
        <w:rPr>
          <w:rFonts w:asciiTheme="minorHAnsi" w:eastAsiaTheme="minorEastAsia" w:hAnsiTheme="minorHAnsi" w:cstheme="minorHAnsi"/>
          <w:szCs w:val="24"/>
          <w:lang w:eastAsia="zh-CN"/>
        </w:rPr>
        <w:t xml:space="preserve"> vinculantes</w:t>
      </w:r>
      <w:r w:rsidRPr="0052117D">
        <w:rPr>
          <w:rFonts w:asciiTheme="minorHAnsi" w:eastAsiaTheme="minorEastAsia" w:hAnsiTheme="minorHAnsi" w:cstheme="minorBidi"/>
          <w:szCs w:val="24"/>
          <w:lang w:eastAsia="zh-CN"/>
        </w:rPr>
        <w:t xml:space="preserve"> para su examen por los Estados Miembros, los Miembros de Sector y las reuniones pertinentes de la UIT, de conformidad con la </w:t>
      </w:r>
      <w:hyperlink r:id="rId12">
        <w:r w:rsidRPr="0052117D">
          <w:rPr>
            <w:rStyle w:val="Hyperlink"/>
            <w:lang w:eastAsia="zh-CN"/>
          </w:rPr>
          <w:t>Resolución 2 (Rev. Bucarest, 2022)</w:t>
        </w:r>
      </w:hyperlink>
      <w:r w:rsidRPr="0052117D">
        <w:rPr>
          <w:rFonts w:asciiTheme="minorHAnsi" w:eastAsiaTheme="minorEastAsia" w:hAnsiTheme="minorHAnsi" w:cstheme="minorBidi"/>
          <w:szCs w:val="24"/>
          <w:lang w:eastAsia="zh-CN"/>
        </w:rPr>
        <w:t>.</w:t>
      </w:r>
    </w:p>
    <w:p w14:paraId="67A4A6D1" w14:textId="77777777" w:rsidR="00081E04" w:rsidRPr="0052117D" w:rsidRDefault="00081E04" w:rsidP="00BF2FBA">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bCs/>
          <w:szCs w:val="24"/>
          <w:lang w:eastAsia="zh-CN"/>
        </w:rPr>
        <w:t>1.1.5.</w:t>
      </w:r>
      <w:r w:rsidRPr="0052117D">
        <w:rPr>
          <w:rFonts w:asciiTheme="minorHAnsi" w:eastAsiaTheme="minorEastAsia" w:hAnsiTheme="minorHAnsi" w:cstheme="minorBidi"/>
          <w:bCs/>
          <w:szCs w:val="24"/>
          <w:lang w:eastAsia="zh-CN"/>
        </w:rPr>
        <w:tab/>
      </w:r>
      <w:r w:rsidRPr="0052117D">
        <w:rPr>
          <w:rFonts w:asciiTheme="minorHAnsi" w:eastAsiaTheme="minorEastAsia" w:hAnsiTheme="minorHAnsi" w:cstheme="minorBidi"/>
          <w:szCs w:val="24"/>
          <w:lang w:eastAsia="zh-CN"/>
        </w:rPr>
        <w:t xml:space="preserve">Puede consultarse más </w:t>
      </w:r>
      <w:r w:rsidRPr="0052117D">
        <w:rPr>
          <w:rFonts w:eastAsiaTheme="minorEastAsia"/>
          <w:szCs w:val="24"/>
          <w:lang w:eastAsia="zh-CN"/>
        </w:rPr>
        <w:t>información</w:t>
      </w:r>
      <w:r w:rsidRPr="0052117D">
        <w:rPr>
          <w:rFonts w:asciiTheme="minorHAnsi" w:eastAsiaTheme="minorEastAsia" w:hAnsiTheme="minorHAnsi" w:cstheme="minorBidi"/>
          <w:szCs w:val="24"/>
          <w:lang w:eastAsia="zh-CN"/>
        </w:rPr>
        <w:t xml:space="preserve"> sobre el proceso preparatorio del FMPT-26 en la dirección </w:t>
      </w:r>
      <w:hyperlink r:id="rId13" w:history="1">
        <w:proofErr w:type="spellStart"/>
        <w:r w:rsidRPr="0052117D">
          <w:rPr>
            <w:rStyle w:val="Hyperlink"/>
            <w:lang w:eastAsia="zh-CN"/>
          </w:rPr>
          <w:t>www.itu.int</w:t>
        </w:r>
        <w:proofErr w:type="spellEnd"/>
        <w:r w:rsidRPr="0052117D">
          <w:rPr>
            <w:rStyle w:val="Hyperlink"/>
            <w:lang w:eastAsia="zh-CN"/>
          </w:rPr>
          <w:t>/en/</w:t>
        </w:r>
        <w:proofErr w:type="spellStart"/>
        <w:r w:rsidRPr="0052117D">
          <w:rPr>
            <w:rStyle w:val="Hyperlink"/>
            <w:lang w:eastAsia="zh-CN"/>
          </w:rPr>
          <w:t>council</w:t>
        </w:r>
        <w:proofErr w:type="spellEnd"/>
        <w:r w:rsidRPr="0052117D">
          <w:rPr>
            <w:rStyle w:val="Hyperlink"/>
            <w:lang w:eastAsia="zh-CN"/>
          </w:rPr>
          <w:t>/Pages/</w:t>
        </w:r>
        <w:proofErr w:type="spellStart"/>
        <w:r w:rsidRPr="0052117D">
          <w:rPr>
            <w:rStyle w:val="Hyperlink"/>
            <w:lang w:eastAsia="zh-CN"/>
          </w:rPr>
          <w:t>ieg-wtpf-26.aspx</w:t>
        </w:r>
        <w:proofErr w:type="spellEnd"/>
      </w:hyperlink>
      <w:r w:rsidRPr="0052117D">
        <w:rPr>
          <w:rFonts w:asciiTheme="minorHAnsi" w:eastAsiaTheme="minorEastAsia" w:hAnsiTheme="minorHAnsi" w:cstheme="minorBidi"/>
          <w:szCs w:val="24"/>
          <w:lang w:eastAsia="zh-CN"/>
        </w:rPr>
        <w:t>.</w:t>
      </w:r>
    </w:p>
    <w:p w14:paraId="32A09CFB" w14:textId="77777777" w:rsidR="00081E04" w:rsidRPr="0052117D" w:rsidRDefault="00081E04" w:rsidP="003F5F9B">
      <w:pPr>
        <w:pStyle w:val="Heading1"/>
      </w:pPr>
      <w:r w:rsidRPr="0052117D">
        <w:t>2</w:t>
      </w:r>
      <w:r w:rsidRPr="0052117D">
        <w:tab/>
        <w:t>Proceso preparatorio del Informe de</w:t>
      </w:r>
      <w:r>
        <w:t xml:space="preserve"> </w:t>
      </w:r>
      <w:r w:rsidRPr="0052117D">
        <w:t>l</w:t>
      </w:r>
      <w:r>
        <w:t>a</w:t>
      </w:r>
      <w:r w:rsidRPr="0052117D">
        <w:t xml:space="preserve"> </w:t>
      </w:r>
      <w:r>
        <w:t>Secretaria General</w:t>
      </w:r>
      <w:r w:rsidRPr="0052117D">
        <w:t xml:space="preserve"> de la UIT</w:t>
      </w:r>
    </w:p>
    <w:p w14:paraId="56B32917" w14:textId="77777777" w:rsidR="00081E04" w:rsidRPr="0052117D" w:rsidRDefault="00081E04" w:rsidP="00BF2FBA">
      <w:pPr>
        <w:jc w:val="both"/>
        <w:rPr>
          <w:rFonts w:eastAsiaTheme="minorEastAsia"/>
          <w:lang w:eastAsia="zh-CN"/>
        </w:rPr>
      </w:pPr>
      <w:r w:rsidRPr="0052117D">
        <w:rPr>
          <w:rFonts w:eastAsiaTheme="minorEastAsia"/>
          <w:bCs/>
          <w:lang w:eastAsia="zh-CN"/>
        </w:rPr>
        <w:t>2.1.1</w:t>
      </w:r>
      <w:r w:rsidRPr="0052117D">
        <w:rPr>
          <w:rFonts w:eastAsiaTheme="minorEastAsia"/>
          <w:bCs/>
          <w:lang w:eastAsia="zh-CN"/>
        </w:rPr>
        <w:tab/>
      </w:r>
      <w:r w:rsidRPr="0052117D">
        <w:rPr>
          <w:rFonts w:eastAsiaTheme="minorEastAsia" w:cstheme="minorHAnsi"/>
          <w:lang w:eastAsia="zh-CN"/>
        </w:rPr>
        <w:t>Los debates</w:t>
      </w:r>
      <w:r w:rsidRPr="0052117D">
        <w:rPr>
          <w:rFonts w:eastAsiaTheme="minorEastAsia"/>
          <w:lang w:eastAsia="zh-CN"/>
        </w:rPr>
        <w:t xml:space="preserve"> del FMPT-26 deberán basarse exclusivamente en un único informe de</w:t>
      </w:r>
      <w:r>
        <w:rPr>
          <w:rFonts w:eastAsiaTheme="minorEastAsia"/>
          <w:lang w:eastAsia="zh-CN"/>
        </w:rPr>
        <w:t xml:space="preserve"> </w:t>
      </w:r>
      <w:r w:rsidRPr="0052117D">
        <w:rPr>
          <w:rFonts w:eastAsiaTheme="minorEastAsia"/>
          <w:lang w:eastAsia="zh-CN"/>
        </w:rPr>
        <w:t>l</w:t>
      </w:r>
      <w:r>
        <w:rPr>
          <w:rFonts w:eastAsiaTheme="minorEastAsia"/>
          <w:lang w:eastAsia="zh-CN"/>
        </w:rPr>
        <w:t>a</w:t>
      </w:r>
      <w:r w:rsidRPr="0052117D">
        <w:rPr>
          <w:rFonts w:eastAsiaTheme="minorEastAsia"/>
          <w:lang w:eastAsia="zh-CN"/>
        </w:rPr>
        <w:t xml:space="preserve"> </w:t>
      </w:r>
      <w:r>
        <w:rPr>
          <w:rFonts w:eastAsiaTheme="minorEastAsia"/>
          <w:lang w:eastAsia="zh-CN"/>
        </w:rPr>
        <w:t>Secretaria General</w:t>
      </w:r>
      <w:r w:rsidRPr="0052117D">
        <w:rPr>
          <w:rFonts w:eastAsiaTheme="minorEastAsia"/>
          <w:lang w:eastAsia="zh-CN"/>
        </w:rPr>
        <w:t xml:space="preserve"> de la UIT y en las contribuciones de los participantes fundadas en dicho informe, elaborado con arreglo a un procedimiento adoptado por el Consejo y basado en las propuestas de los Estados Miembros y los Miembros de Sector, así como en los puntos de vista de los Asociados, las Instituciones Académicas y las partes interesadas; asimismo, el FMPT no deberá examinar proyectos de nuevas opiniones que no se hayan presentado durante el periodo preparatorio previsto para la elaboración del informe de</w:t>
      </w:r>
      <w:r>
        <w:rPr>
          <w:rFonts w:eastAsiaTheme="minorEastAsia"/>
          <w:lang w:eastAsia="zh-CN"/>
        </w:rPr>
        <w:t xml:space="preserve"> </w:t>
      </w:r>
      <w:r w:rsidRPr="0052117D">
        <w:rPr>
          <w:rFonts w:eastAsiaTheme="minorEastAsia"/>
          <w:lang w:eastAsia="zh-CN"/>
        </w:rPr>
        <w:t>l</w:t>
      </w:r>
      <w:r>
        <w:rPr>
          <w:rFonts w:eastAsiaTheme="minorEastAsia"/>
          <w:lang w:eastAsia="zh-CN"/>
        </w:rPr>
        <w:t>a</w:t>
      </w:r>
      <w:r w:rsidRPr="0052117D">
        <w:rPr>
          <w:rFonts w:eastAsiaTheme="minorEastAsia"/>
          <w:lang w:eastAsia="zh-CN"/>
        </w:rPr>
        <w:t xml:space="preserve"> </w:t>
      </w:r>
      <w:r>
        <w:rPr>
          <w:rFonts w:eastAsiaTheme="minorEastAsia"/>
          <w:lang w:eastAsia="zh-CN"/>
        </w:rPr>
        <w:t>Secretaria General</w:t>
      </w:r>
      <w:r w:rsidRPr="0052117D">
        <w:rPr>
          <w:rFonts w:eastAsiaTheme="minorEastAsia"/>
          <w:lang w:eastAsia="zh-CN"/>
        </w:rPr>
        <w:t xml:space="preserve"> con anterioridad al Foro, según lo dispuesto en la </w:t>
      </w:r>
      <w:hyperlink r:id="rId14" w:history="1">
        <w:r w:rsidRPr="0052117D">
          <w:rPr>
            <w:rStyle w:val="Hyperlink"/>
            <w:lang w:eastAsia="zh-CN"/>
          </w:rPr>
          <w:t>Resolución 2 (Rev. Bucarest, 2022)</w:t>
        </w:r>
      </w:hyperlink>
      <w:r w:rsidRPr="0052117D">
        <w:rPr>
          <w:rFonts w:eastAsiaTheme="minorEastAsia"/>
          <w:lang w:eastAsia="zh-CN"/>
        </w:rPr>
        <w:t>.</w:t>
      </w:r>
    </w:p>
    <w:p w14:paraId="323C4461" w14:textId="77777777" w:rsidR="00081E04" w:rsidRPr="0052117D" w:rsidRDefault="00081E04" w:rsidP="00BF2FBA">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bCs/>
          <w:szCs w:val="24"/>
          <w:lang w:eastAsia="zh-CN"/>
        </w:rPr>
        <w:t>2.1.2</w:t>
      </w:r>
      <w:r w:rsidRPr="0052117D">
        <w:rPr>
          <w:rFonts w:asciiTheme="minorHAnsi" w:eastAsiaTheme="minorEastAsia" w:hAnsiTheme="minorHAnsi" w:cstheme="minorBidi"/>
          <w:bCs/>
          <w:szCs w:val="24"/>
          <w:lang w:eastAsia="zh-CN"/>
        </w:rPr>
        <w:tab/>
      </w:r>
      <w:r w:rsidRPr="0052117D">
        <w:rPr>
          <w:rFonts w:asciiTheme="minorHAnsi" w:eastAsiaTheme="minorEastAsia" w:hAnsiTheme="minorHAnsi" w:cstheme="minorBidi"/>
          <w:szCs w:val="24"/>
          <w:lang w:eastAsia="zh-CN"/>
        </w:rPr>
        <w:t xml:space="preserve">De conformidad con el </w:t>
      </w:r>
      <w:hyperlink r:id="rId15" w:history="1">
        <w:r w:rsidRPr="0052117D">
          <w:rPr>
            <w:rStyle w:val="Hyperlink"/>
            <w:lang w:eastAsia="zh-CN"/>
          </w:rPr>
          <w:t>Acuerdo 641 (</w:t>
        </w:r>
        <w:proofErr w:type="spellStart"/>
        <w:r w:rsidRPr="0052117D">
          <w:rPr>
            <w:rStyle w:val="Hyperlink"/>
            <w:lang w:eastAsia="zh-CN"/>
          </w:rPr>
          <w:t>C24</w:t>
        </w:r>
        <w:proofErr w:type="spellEnd"/>
        <w:r w:rsidRPr="0052117D">
          <w:rPr>
            <w:rStyle w:val="Hyperlink"/>
            <w:lang w:eastAsia="zh-CN"/>
          </w:rPr>
          <w:t>)</w:t>
        </w:r>
      </w:hyperlink>
      <w:r w:rsidRPr="0052117D">
        <w:rPr>
          <w:rFonts w:asciiTheme="minorHAnsi" w:eastAsiaTheme="minorEastAsia" w:hAnsiTheme="minorHAnsi" w:cstheme="minorBidi"/>
          <w:szCs w:val="24"/>
          <w:lang w:eastAsia="zh-CN"/>
        </w:rPr>
        <w:t xml:space="preserve">, </w:t>
      </w:r>
      <w:r>
        <w:rPr>
          <w:rFonts w:asciiTheme="minorHAnsi" w:eastAsiaTheme="minorEastAsia" w:hAnsiTheme="minorHAnsi" w:cstheme="minorBidi"/>
          <w:szCs w:val="24"/>
          <w:lang w:eastAsia="zh-CN"/>
        </w:rPr>
        <w:t>la</w:t>
      </w:r>
      <w:r w:rsidRPr="0052117D">
        <w:rPr>
          <w:rFonts w:asciiTheme="minorHAnsi" w:eastAsiaTheme="minorEastAsia" w:hAnsiTheme="minorHAnsi" w:cstheme="minorBidi"/>
          <w:szCs w:val="24"/>
          <w:lang w:eastAsia="zh-CN"/>
        </w:rPr>
        <w:t xml:space="preserve"> </w:t>
      </w:r>
      <w:r>
        <w:rPr>
          <w:rFonts w:asciiTheme="minorHAnsi" w:eastAsiaTheme="minorEastAsia" w:hAnsiTheme="minorHAnsi" w:cstheme="minorBidi"/>
          <w:szCs w:val="24"/>
          <w:lang w:eastAsia="zh-CN"/>
        </w:rPr>
        <w:t>Secretaria General</w:t>
      </w:r>
      <w:r w:rsidRPr="0052117D">
        <w:rPr>
          <w:rFonts w:asciiTheme="minorHAnsi" w:eastAsiaTheme="minorEastAsia" w:hAnsiTheme="minorHAnsi" w:cstheme="minorBidi"/>
          <w:szCs w:val="24"/>
          <w:lang w:eastAsia="zh-CN"/>
        </w:rPr>
        <w:t xml:space="preserve"> de la UIT deberá convocar un Grupo Informal de Expertos (GIE) equilibrado, cuyos miembros participen activamente en la preparación del FMPT-26 en sus respectivos países, con objeto de prestar asistencia en este proceso. A tal efecto, el 14 de junio de 2024 se envió una carta circular (</w:t>
      </w:r>
      <w:hyperlink r:id="rId16" w:history="1">
        <w:r w:rsidRPr="0052117D">
          <w:rPr>
            <w:rStyle w:val="Hyperlink"/>
            <w:lang w:eastAsia="zh-CN"/>
          </w:rPr>
          <w:t>CL-24/44</w:t>
        </w:r>
      </w:hyperlink>
      <w:r w:rsidRPr="0052117D">
        <w:rPr>
          <w:rFonts w:asciiTheme="minorHAnsi" w:eastAsiaTheme="minorEastAsia" w:hAnsiTheme="minorHAnsi" w:cstheme="minorBidi"/>
          <w:szCs w:val="24"/>
          <w:lang w:eastAsia="zh-CN"/>
        </w:rPr>
        <w:t>) a los Estados Miembros, el Estado de Palestina, los Miembros de Sector, los Asociados, las Instituciones Académicas y las Organizaciones que tienen derecho a asistir en calidad de observadores a las conferencias y reuniones de la UIT, en la que se solicitaba la designación de expertos para constituir el GIE.</w:t>
      </w:r>
    </w:p>
    <w:p w14:paraId="4D17FBBA" w14:textId="77777777" w:rsidR="00081E04" w:rsidRPr="0052117D" w:rsidRDefault="00081E04" w:rsidP="00BF2FBA">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bCs/>
          <w:szCs w:val="24"/>
          <w:lang w:eastAsia="zh-CN"/>
        </w:rPr>
        <w:t>2.1.3</w:t>
      </w:r>
      <w:r w:rsidRPr="0052117D">
        <w:rPr>
          <w:rFonts w:asciiTheme="minorHAnsi" w:eastAsiaTheme="minorEastAsia" w:hAnsiTheme="minorHAnsi" w:cstheme="minorBidi"/>
          <w:bCs/>
          <w:szCs w:val="24"/>
          <w:lang w:eastAsia="zh-CN"/>
        </w:rPr>
        <w:tab/>
      </w:r>
      <w:r w:rsidRPr="0052117D">
        <w:rPr>
          <w:rFonts w:asciiTheme="minorHAnsi" w:eastAsiaTheme="minorEastAsia" w:hAnsiTheme="minorHAnsi" w:cstheme="minorBidi"/>
          <w:szCs w:val="24"/>
          <w:lang w:eastAsia="zh-CN"/>
        </w:rPr>
        <w:t xml:space="preserve">En consonancia con la Resolución 2 (Rev. Bucarest, 2022) y el Acuerdo 641 (Mod. 2025) del Consejo, el presente Informe fue elaborado por </w:t>
      </w:r>
      <w:r>
        <w:rPr>
          <w:rFonts w:asciiTheme="minorHAnsi" w:eastAsiaTheme="minorEastAsia" w:hAnsiTheme="minorHAnsi" w:cstheme="minorBidi"/>
          <w:szCs w:val="24"/>
          <w:lang w:eastAsia="zh-CN"/>
        </w:rPr>
        <w:t>la</w:t>
      </w:r>
      <w:r w:rsidRPr="0052117D">
        <w:rPr>
          <w:rFonts w:asciiTheme="minorHAnsi" w:eastAsiaTheme="minorEastAsia" w:hAnsiTheme="minorHAnsi" w:cstheme="minorBidi"/>
          <w:szCs w:val="24"/>
          <w:lang w:eastAsia="zh-CN"/>
        </w:rPr>
        <w:t xml:space="preserve"> </w:t>
      </w:r>
      <w:r>
        <w:rPr>
          <w:rFonts w:asciiTheme="minorHAnsi" w:eastAsiaTheme="minorEastAsia" w:hAnsiTheme="minorHAnsi" w:cstheme="minorBidi"/>
          <w:szCs w:val="24"/>
          <w:lang w:eastAsia="zh-CN"/>
        </w:rPr>
        <w:t>Secretaria General</w:t>
      </w:r>
      <w:r w:rsidRPr="0052117D">
        <w:rPr>
          <w:rFonts w:asciiTheme="minorHAnsi" w:eastAsiaTheme="minorEastAsia" w:hAnsiTheme="minorHAnsi" w:cstheme="minorBidi"/>
          <w:szCs w:val="24"/>
          <w:lang w:eastAsia="zh-CN"/>
        </w:rPr>
        <w:t xml:space="preserve"> mediante un proceso iterativo de colaboración con el GIE, en el que se tuvieron plenamente en cuenta las contribuciones escritas y orales de los Estados Miembros y los Miembros de Sector. El Informe </w:t>
      </w:r>
      <w:r w:rsidRPr="0052117D">
        <w:rPr>
          <w:rFonts w:eastAsiaTheme="minorEastAsia"/>
          <w:szCs w:val="24"/>
          <w:lang w:eastAsia="zh-CN"/>
        </w:rPr>
        <w:t>no</w:t>
      </w:r>
      <w:r w:rsidRPr="0052117D">
        <w:rPr>
          <w:rFonts w:asciiTheme="minorHAnsi" w:eastAsiaTheme="minorEastAsia" w:hAnsiTheme="minorHAnsi" w:cstheme="minorBidi"/>
          <w:szCs w:val="24"/>
          <w:lang w:eastAsia="zh-CN"/>
        </w:rPr>
        <w:t xml:space="preserve"> constituye un resultado negociado, si bien procura tener en cuenta el conjunto de opiniones de los Estados Miembros y los Miembros de Sector que participaron en el GIE. La cita de fuentes concretas no implica la aprobación ni el respaldo de dicha fuente o de su organización o entidad.</w:t>
      </w:r>
    </w:p>
    <w:p w14:paraId="2C20FB25" w14:textId="77777777" w:rsidR="00081E04" w:rsidRPr="0052117D" w:rsidRDefault="00081E04" w:rsidP="00BF2FBA">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bCs/>
          <w:szCs w:val="24"/>
          <w:lang w:eastAsia="zh-CN"/>
        </w:rPr>
        <w:t>2.1.4</w:t>
      </w:r>
      <w:r w:rsidRPr="0052117D">
        <w:rPr>
          <w:rFonts w:asciiTheme="minorHAnsi" w:eastAsiaTheme="minorEastAsia" w:hAnsiTheme="minorHAnsi" w:cstheme="minorBidi"/>
          <w:bCs/>
          <w:szCs w:val="24"/>
          <w:lang w:eastAsia="zh-CN"/>
        </w:rPr>
        <w:tab/>
      </w:r>
      <w:r w:rsidRPr="0052117D">
        <w:rPr>
          <w:rFonts w:asciiTheme="minorHAnsi" w:eastAsiaTheme="minorEastAsia" w:hAnsiTheme="minorHAnsi" w:cstheme="minorBidi"/>
          <w:szCs w:val="24"/>
          <w:lang w:eastAsia="zh-CN"/>
        </w:rPr>
        <w:t xml:space="preserve">El proceso preparatorio se regirá por el calendario establecido en el Anexo 2 del Acuerdo 641 y en el Cuadro 1 que figura </w:t>
      </w:r>
      <w:r w:rsidRPr="0052117D">
        <w:rPr>
          <w:rFonts w:eastAsiaTheme="minorEastAsia"/>
          <w:szCs w:val="24"/>
          <w:lang w:eastAsia="zh-CN"/>
        </w:rPr>
        <w:t>a continuación</w:t>
      </w:r>
      <w:r w:rsidRPr="0052117D">
        <w:rPr>
          <w:rFonts w:asciiTheme="minorHAnsi" w:eastAsiaTheme="minorEastAsia" w:hAnsiTheme="minorHAnsi" w:cstheme="minorBidi"/>
          <w:szCs w:val="24"/>
          <w:lang w:eastAsia="zh-CN"/>
        </w:rPr>
        <w:t xml:space="preserve"> (revisado sobre la base del acuerdo alcanzado en la primera reunión del GIE).</w:t>
      </w:r>
    </w:p>
    <w:p w14:paraId="084F757D"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Cs w:val="24"/>
          <w:lang w:eastAsia="zh-CN"/>
        </w:rPr>
      </w:pPr>
      <w:r w:rsidRPr="0052117D">
        <w:rPr>
          <w:rFonts w:asciiTheme="minorHAnsi" w:eastAsiaTheme="minorEastAsia" w:hAnsiTheme="minorHAnsi" w:cstheme="minorBidi"/>
          <w:szCs w:val="24"/>
          <w:lang w:eastAsia="zh-CN"/>
        </w:rPr>
        <w:br w:type="page"/>
      </w:r>
    </w:p>
    <w:p w14:paraId="6B5AF4FB" w14:textId="77777777" w:rsidR="00081E04" w:rsidRPr="0052117D" w:rsidRDefault="00081E04" w:rsidP="00081E04">
      <w:pPr>
        <w:pStyle w:val="TableNo"/>
      </w:pPr>
      <w:r w:rsidRPr="0052117D">
        <w:lastRenderedPageBreak/>
        <w:t>Cuadro 1</w:t>
      </w:r>
    </w:p>
    <w:p w14:paraId="1B752058" w14:textId="77777777" w:rsidR="00081E04" w:rsidRPr="0052117D" w:rsidRDefault="00081E04" w:rsidP="00081E04">
      <w:pPr>
        <w:pStyle w:val="Tabletitle"/>
      </w:pPr>
      <w:r w:rsidRPr="0052117D">
        <w:t>Calendario de elaboración del Informe de</w:t>
      </w:r>
      <w:r>
        <w:t xml:space="preserve"> </w:t>
      </w:r>
      <w:r w:rsidRPr="0052117D">
        <w:t>l</w:t>
      </w:r>
      <w:r>
        <w:t>a</w:t>
      </w:r>
      <w:r w:rsidRPr="0052117D">
        <w:t xml:space="preserve"> </w:t>
      </w:r>
      <w:r>
        <w:t>Secretaria General</w:t>
      </w:r>
      <w:r w:rsidRPr="0052117D">
        <w:t xml:space="preserve"> de la UIT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3"/>
        <w:gridCol w:w="7396"/>
      </w:tblGrid>
      <w:tr w:rsidR="00081E04" w:rsidRPr="0052117D" w14:paraId="313C850C" w14:textId="77777777" w:rsidTr="00387BBE">
        <w:trPr>
          <w:cantSplit/>
          <w:jc w:val="center"/>
        </w:trPr>
        <w:tc>
          <w:tcPr>
            <w:tcW w:w="2243" w:type="dxa"/>
          </w:tcPr>
          <w:p w14:paraId="77669DD1" w14:textId="77777777" w:rsidR="00081E04" w:rsidRPr="0052117D" w:rsidRDefault="00081E04" w:rsidP="00387BBE">
            <w:pPr>
              <w:pStyle w:val="Tabletext"/>
              <w:jc w:val="center"/>
              <w:rPr>
                <w:b/>
                <w:bCs/>
              </w:rPr>
            </w:pPr>
            <w:r w:rsidRPr="0052117D">
              <w:rPr>
                <w:b/>
                <w:bCs/>
              </w:rPr>
              <w:t>5 de agosto de 2024</w:t>
            </w:r>
          </w:p>
        </w:tc>
        <w:tc>
          <w:tcPr>
            <w:tcW w:w="7396" w:type="dxa"/>
          </w:tcPr>
          <w:p w14:paraId="36C15090" w14:textId="77777777" w:rsidR="00081E04" w:rsidRPr="0052117D" w:rsidRDefault="00081E04" w:rsidP="00387BBE">
            <w:pPr>
              <w:pStyle w:val="Tabletext"/>
            </w:pPr>
            <w:r w:rsidRPr="0052117D">
              <w:t>Deberá publicarse en línea, para poder realizar comentarios, un primer proyecto de esquema del Informe de</w:t>
            </w:r>
            <w:r>
              <w:t xml:space="preserve"> </w:t>
            </w:r>
            <w:r w:rsidRPr="0052117D">
              <w:t>l</w:t>
            </w:r>
            <w:r>
              <w:t>a</w:t>
            </w:r>
            <w:r w:rsidRPr="0052117D">
              <w:t xml:space="preserve"> </w:t>
            </w:r>
            <w:r>
              <w:t>Secretaria General.</w:t>
            </w:r>
          </w:p>
        </w:tc>
      </w:tr>
      <w:tr w:rsidR="00081E04" w:rsidRPr="0052117D" w14:paraId="0BA9435C" w14:textId="77777777" w:rsidTr="00387BBE">
        <w:trPr>
          <w:cantSplit/>
          <w:jc w:val="center"/>
        </w:trPr>
        <w:tc>
          <w:tcPr>
            <w:tcW w:w="2243" w:type="dxa"/>
          </w:tcPr>
          <w:p w14:paraId="79C8E3F0" w14:textId="77777777" w:rsidR="00081E04" w:rsidRPr="0052117D" w:rsidRDefault="00081E04" w:rsidP="00387BBE">
            <w:pPr>
              <w:pStyle w:val="Tabletext"/>
              <w:jc w:val="center"/>
              <w:rPr>
                <w:b/>
                <w:bCs/>
              </w:rPr>
            </w:pPr>
            <w:r w:rsidRPr="0052117D">
              <w:rPr>
                <w:b/>
                <w:bCs/>
              </w:rPr>
              <w:t>26 de agosto de 2024</w:t>
            </w:r>
          </w:p>
        </w:tc>
        <w:tc>
          <w:tcPr>
            <w:tcW w:w="7396" w:type="dxa"/>
          </w:tcPr>
          <w:p w14:paraId="2ADD7270" w14:textId="77777777" w:rsidR="00081E04" w:rsidRPr="0052117D" w:rsidRDefault="00081E04" w:rsidP="00387BBE">
            <w:pPr>
              <w:pStyle w:val="Tabletext"/>
            </w:pPr>
            <w:r w:rsidRPr="0052117D">
              <w:t>Plazo límite para la recepción de comentarios sobre el primer proyecto y para la presentación de contribuciones relativas a los esquemas de posibles proyectos de</w:t>
            </w:r>
            <w:r>
              <w:t> </w:t>
            </w:r>
            <w:r w:rsidRPr="0052117D">
              <w:t>Opinión</w:t>
            </w:r>
            <w:r>
              <w:t>.</w:t>
            </w:r>
          </w:p>
          <w:p w14:paraId="0C7BFD18" w14:textId="77777777" w:rsidR="00081E04" w:rsidRPr="0052117D" w:rsidRDefault="00081E04" w:rsidP="00387BBE">
            <w:pPr>
              <w:pStyle w:val="Tabletext"/>
            </w:pPr>
            <w:r w:rsidRPr="0052117D">
              <w:t>Plazo límite para la designación de los miembros de un grupo de expertos equilibrado encargado de asesorar a</w:t>
            </w:r>
            <w:r>
              <w:t xml:space="preserve"> </w:t>
            </w:r>
            <w:r w:rsidRPr="0052117D">
              <w:t>l</w:t>
            </w:r>
            <w:r>
              <w:t>a</w:t>
            </w:r>
            <w:r w:rsidRPr="0052117D">
              <w:t xml:space="preserve"> </w:t>
            </w:r>
            <w:r>
              <w:t>Secretaria General</w:t>
            </w:r>
            <w:r w:rsidRPr="0052117D">
              <w:t xml:space="preserve"> sobre la ulterior elaboración del informe y de los proyectos de Opinión conexos</w:t>
            </w:r>
            <w:r>
              <w:t>.</w:t>
            </w:r>
          </w:p>
        </w:tc>
      </w:tr>
      <w:tr w:rsidR="00081E04" w:rsidRPr="0052117D" w14:paraId="61978C0C" w14:textId="77777777" w:rsidTr="00387BBE">
        <w:trPr>
          <w:cantSplit/>
          <w:jc w:val="center"/>
        </w:trPr>
        <w:tc>
          <w:tcPr>
            <w:tcW w:w="2243" w:type="dxa"/>
          </w:tcPr>
          <w:p w14:paraId="7789D864" w14:textId="77777777" w:rsidR="00081E04" w:rsidRPr="0052117D" w:rsidRDefault="00081E04" w:rsidP="00387BBE">
            <w:pPr>
              <w:pStyle w:val="Tabletext"/>
              <w:jc w:val="center"/>
              <w:rPr>
                <w:b/>
                <w:bCs/>
              </w:rPr>
            </w:pPr>
            <w:r w:rsidRPr="0052117D">
              <w:rPr>
                <w:b/>
                <w:bCs/>
              </w:rPr>
              <w:t>1.</w:t>
            </w:r>
            <w:r w:rsidRPr="00547731">
              <w:rPr>
                <w:b/>
                <w:bCs/>
              </w:rPr>
              <w:t>ª</w:t>
            </w:r>
            <w:r w:rsidRPr="0052117D">
              <w:rPr>
                <w:b/>
                <w:bCs/>
              </w:rPr>
              <w:t xml:space="preserve"> reunión del GIE </w:t>
            </w:r>
            <w:r w:rsidRPr="0052117D">
              <w:rPr>
                <w:b/>
                <w:bCs/>
              </w:rPr>
              <w:br/>
              <w:t xml:space="preserve">(7 y 8 de octubre de 2024, durante el bloque de reuniones de los </w:t>
            </w:r>
            <w:proofErr w:type="spellStart"/>
            <w:r w:rsidRPr="0052117D">
              <w:rPr>
                <w:b/>
                <w:bCs/>
              </w:rPr>
              <w:t>GTC</w:t>
            </w:r>
            <w:proofErr w:type="spellEnd"/>
            <w:r w:rsidRPr="0052117D">
              <w:rPr>
                <w:b/>
                <w:bCs/>
              </w:rPr>
              <w:t>)</w:t>
            </w:r>
          </w:p>
        </w:tc>
        <w:tc>
          <w:tcPr>
            <w:tcW w:w="7396" w:type="dxa"/>
          </w:tcPr>
          <w:p w14:paraId="7E3F6877" w14:textId="77777777" w:rsidR="00081E04" w:rsidRPr="0052117D" w:rsidRDefault="00081E04" w:rsidP="00387BBE">
            <w:pPr>
              <w:pStyle w:val="Tabletext"/>
            </w:pPr>
            <w:r w:rsidRPr="0052117D">
              <w:t>Primera reunión del grupo de expertos para examinar el primer proyecto del informe de</w:t>
            </w:r>
            <w:r>
              <w:t xml:space="preserve"> </w:t>
            </w:r>
            <w:r w:rsidRPr="0052117D">
              <w:t>l</w:t>
            </w:r>
            <w:r>
              <w:t>a</w:t>
            </w:r>
            <w:r w:rsidRPr="0052117D">
              <w:t xml:space="preserve"> </w:t>
            </w:r>
            <w:r>
              <w:t>Secretaria General</w:t>
            </w:r>
            <w:r w:rsidRPr="0052117D">
              <w:t xml:space="preserve"> y los comentarios recibidos</w:t>
            </w:r>
            <w:r>
              <w:t>.</w:t>
            </w:r>
          </w:p>
        </w:tc>
      </w:tr>
      <w:tr w:rsidR="00081E04" w:rsidRPr="0052117D" w14:paraId="1C5CA1EB" w14:textId="77777777" w:rsidTr="00387BBE">
        <w:trPr>
          <w:cantSplit/>
          <w:jc w:val="center"/>
        </w:trPr>
        <w:tc>
          <w:tcPr>
            <w:tcW w:w="2243" w:type="dxa"/>
          </w:tcPr>
          <w:p w14:paraId="0DE49B14" w14:textId="77777777" w:rsidR="00081E04" w:rsidRPr="0052117D" w:rsidRDefault="00081E04" w:rsidP="00387BBE">
            <w:pPr>
              <w:pStyle w:val="Tabletext"/>
              <w:jc w:val="center"/>
              <w:rPr>
                <w:b/>
                <w:bCs/>
              </w:rPr>
            </w:pPr>
            <w:r w:rsidRPr="0052117D">
              <w:rPr>
                <w:b/>
                <w:bCs/>
              </w:rPr>
              <w:t>18 de noviembre de 2024</w:t>
            </w:r>
          </w:p>
        </w:tc>
        <w:tc>
          <w:tcPr>
            <w:tcW w:w="7396" w:type="dxa"/>
          </w:tcPr>
          <w:p w14:paraId="161E0544" w14:textId="77777777" w:rsidR="00081E04" w:rsidRPr="0052117D" w:rsidRDefault="00081E04" w:rsidP="00387BBE">
            <w:pPr>
              <w:pStyle w:val="Tabletext"/>
            </w:pPr>
            <w:r w:rsidRPr="0052117D">
              <w:t>Se publicará en línea el segundo proyecto del informe de</w:t>
            </w:r>
            <w:r>
              <w:t xml:space="preserve"> </w:t>
            </w:r>
            <w:r w:rsidRPr="0052117D">
              <w:t>l</w:t>
            </w:r>
            <w:r>
              <w:t>a</w:t>
            </w:r>
            <w:r w:rsidRPr="0052117D">
              <w:t xml:space="preserve"> </w:t>
            </w:r>
            <w:r>
              <w:t>Secretaria General</w:t>
            </w:r>
            <w:r w:rsidRPr="0052117D">
              <w:t>, en el que se incorporarán los debates de la 1.</w:t>
            </w:r>
            <w:r>
              <w:t>ª</w:t>
            </w:r>
            <w:r w:rsidRPr="0052117D">
              <w:t xml:space="preserve"> reunión del GIE y que incluirá los esquemas de los proyectos de Opinión</w:t>
            </w:r>
            <w:r>
              <w:t>.</w:t>
            </w:r>
          </w:p>
          <w:p w14:paraId="18BCC19F" w14:textId="77777777" w:rsidR="00081E04" w:rsidRPr="0052117D" w:rsidRDefault="00081E04" w:rsidP="00387BBE">
            <w:pPr>
              <w:pStyle w:val="Tabletext"/>
            </w:pPr>
            <w:r w:rsidRPr="0052117D">
              <w:t>Este proyecto también se publicará en línea para la celebración de consultas públicas abiertas</w:t>
            </w:r>
            <w:r>
              <w:t>.</w:t>
            </w:r>
          </w:p>
        </w:tc>
      </w:tr>
      <w:tr w:rsidR="00081E04" w:rsidRPr="0052117D" w14:paraId="1EB0DB10" w14:textId="77777777" w:rsidTr="00387BBE">
        <w:trPr>
          <w:cantSplit/>
          <w:jc w:val="center"/>
        </w:trPr>
        <w:tc>
          <w:tcPr>
            <w:tcW w:w="2243" w:type="dxa"/>
          </w:tcPr>
          <w:p w14:paraId="28BC6DD8" w14:textId="77777777" w:rsidR="00081E04" w:rsidRPr="0052117D" w:rsidRDefault="00081E04" w:rsidP="00387BBE">
            <w:pPr>
              <w:pStyle w:val="Tabletext"/>
              <w:jc w:val="center"/>
              <w:rPr>
                <w:b/>
                <w:bCs/>
              </w:rPr>
            </w:pPr>
            <w:r w:rsidRPr="0052117D">
              <w:rPr>
                <w:b/>
                <w:bCs/>
              </w:rPr>
              <w:t>13 de enero de 2025</w:t>
            </w:r>
          </w:p>
        </w:tc>
        <w:tc>
          <w:tcPr>
            <w:tcW w:w="7396" w:type="dxa"/>
          </w:tcPr>
          <w:p w14:paraId="5FCEB728" w14:textId="77777777" w:rsidR="00081E04" w:rsidRPr="0052117D" w:rsidRDefault="00081E04" w:rsidP="00387BBE">
            <w:pPr>
              <w:pStyle w:val="Tabletext"/>
            </w:pPr>
            <w:r w:rsidRPr="0052117D">
              <w:t>Plazo límite para la recepción de comentarios sobre el segundo proyecto y para la presentación de contribuciones relativas a los posibles proyectos de Opinión</w:t>
            </w:r>
          </w:p>
          <w:p w14:paraId="18556282" w14:textId="77777777" w:rsidR="00081E04" w:rsidRPr="0052117D" w:rsidRDefault="00081E04" w:rsidP="00387BBE">
            <w:pPr>
              <w:pStyle w:val="Tabletext"/>
            </w:pPr>
            <w:r w:rsidRPr="0052117D">
              <w:t>Plazo límite para la recepción de aportaciones procedentes de las consultas públicas abiertas</w:t>
            </w:r>
            <w:r>
              <w:t>.</w:t>
            </w:r>
          </w:p>
        </w:tc>
      </w:tr>
      <w:tr w:rsidR="00081E04" w:rsidRPr="0052117D" w14:paraId="10D288CD" w14:textId="77777777" w:rsidTr="00387BBE">
        <w:trPr>
          <w:cantSplit/>
          <w:jc w:val="center"/>
        </w:trPr>
        <w:tc>
          <w:tcPr>
            <w:tcW w:w="2243" w:type="dxa"/>
          </w:tcPr>
          <w:p w14:paraId="01D0B362" w14:textId="77777777" w:rsidR="00081E04" w:rsidRPr="0052117D" w:rsidRDefault="00081E04" w:rsidP="00387BBE">
            <w:pPr>
              <w:pStyle w:val="Tabletext"/>
              <w:jc w:val="center"/>
              <w:rPr>
                <w:b/>
                <w:bCs/>
              </w:rPr>
            </w:pPr>
            <w:r w:rsidRPr="0052117D">
              <w:rPr>
                <w:b/>
                <w:bCs/>
              </w:rPr>
              <w:t>2.</w:t>
            </w:r>
            <w:r>
              <w:rPr>
                <w:b/>
                <w:bCs/>
              </w:rPr>
              <w:t>ª</w:t>
            </w:r>
            <w:r w:rsidRPr="0052117D">
              <w:rPr>
                <w:b/>
                <w:bCs/>
              </w:rPr>
              <w:t xml:space="preserve"> reunión del GIE </w:t>
            </w:r>
            <w:r w:rsidRPr="0052117D">
              <w:rPr>
                <w:b/>
                <w:bCs/>
              </w:rPr>
              <w:br/>
              <w:t xml:space="preserve">(13 y 14 de febrero de 2025, durante el bloque de reuniones de los </w:t>
            </w:r>
            <w:proofErr w:type="spellStart"/>
            <w:r w:rsidRPr="0052117D">
              <w:rPr>
                <w:b/>
                <w:bCs/>
              </w:rPr>
              <w:t>GTC</w:t>
            </w:r>
            <w:proofErr w:type="spellEnd"/>
            <w:r w:rsidRPr="0052117D">
              <w:rPr>
                <w:b/>
                <w:bCs/>
              </w:rPr>
              <w:t>)</w:t>
            </w:r>
          </w:p>
        </w:tc>
        <w:tc>
          <w:tcPr>
            <w:tcW w:w="7396" w:type="dxa"/>
          </w:tcPr>
          <w:p w14:paraId="3E7E5D6A" w14:textId="77777777" w:rsidR="00081E04" w:rsidRPr="0052117D" w:rsidRDefault="00081E04" w:rsidP="00387BBE">
            <w:pPr>
              <w:pStyle w:val="Tabletext"/>
            </w:pPr>
            <w:r w:rsidRPr="0052117D">
              <w:t>Segunda reunión del grupo de expertos para examinar el segundo proyecto del informe de</w:t>
            </w:r>
            <w:r>
              <w:t xml:space="preserve"> </w:t>
            </w:r>
            <w:r w:rsidRPr="0052117D">
              <w:t>l</w:t>
            </w:r>
            <w:r>
              <w:t>a</w:t>
            </w:r>
            <w:r w:rsidRPr="0052117D">
              <w:t xml:space="preserve"> </w:t>
            </w:r>
            <w:r>
              <w:t>Secretaria General</w:t>
            </w:r>
            <w:r w:rsidRPr="0052117D">
              <w:t>, así como los posibles proyectos de Opinión y los comentarios recibidos, incluidos los procedentes de la consulta pública abierta</w:t>
            </w:r>
            <w:r>
              <w:t>.</w:t>
            </w:r>
          </w:p>
        </w:tc>
      </w:tr>
      <w:tr w:rsidR="00081E04" w:rsidRPr="0052117D" w14:paraId="64EA9C52" w14:textId="77777777" w:rsidTr="00387BBE">
        <w:trPr>
          <w:cantSplit/>
          <w:jc w:val="center"/>
        </w:trPr>
        <w:tc>
          <w:tcPr>
            <w:tcW w:w="2243" w:type="dxa"/>
          </w:tcPr>
          <w:p w14:paraId="77D6CA0E" w14:textId="77777777" w:rsidR="00081E04" w:rsidRPr="0052117D" w:rsidRDefault="00081E04" w:rsidP="00387BBE">
            <w:pPr>
              <w:pStyle w:val="Tabletext"/>
              <w:jc w:val="center"/>
              <w:rPr>
                <w:b/>
                <w:bCs/>
              </w:rPr>
            </w:pPr>
            <w:r w:rsidRPr="0052117D">
              <w:rPr>
                <w:b/>
                <w:bCs/>
              </w:rPr>
              <w:t>31 de marzo de 2025</w:t>
            </w:r>
          </w:p>
        </w:tc>
        <w:tc>
          <w:tcPr>
            <w:tcW w:w="7396" w:type="dxa"/>
          </w:tcPr>
          <w:p w14:paraId="06127406" w14:textId="77777777" w:rsidR="00081E04" w:rsidRPr="0052117D" w:rsidRDefault="00081E04" w:rsidP="00387BBE">
            <w:pPr>
              <w:pStyle w:val="Tabletext"/>
            </w:pPr>
            <w:r w:rsidRPr="0052117D">
              <w:t>Se publicará en línea el tercer proyecto del informe de</w:t>
            </w:r>
            <w:r>
              <w:t xml:space="preserve"> </w:t>
            </w:r>
            <w:r w:rsidRPr="0052117D">
              <w:t>l</w:t>
            </w:r>
            <w:r>
              <w:t>a</w:t>
            </w:r>
            <w:r w:rsidRPr="0052117D">
              <w:t xml:space="preserve"> </w:t>
            </w:r>
            <w:r>
              <w:t>Secretaria General</w:t>
            </w:r>
            <w:r w:rsidRPr="0052117D">
              <w:t>, en el que se incorporarán los debates de la 2.</w:t>
            </w:r>
            <w:r>
              <w:t>ª</w:t>
            </w:r>
            <w:r w:rsidRPr="0052117D">
              <w:t xml:space="preserve"> reunión del GIE y que incluirá el texto de los posibles proyectos de Opinión en forma de Anexo</w:t>
            </w:r>
            <w:r>
              <w:t>.</w:t>
            </w:r>
          </w:p>
          <w:p w14:paraId="0CF9C441" w14:textId="77777777" w:rsidR="00081E04" w:rsidRPr="0052117D" w:rsidRDefault="00081E04" w:rsidP="00387BBE">
            <w:pPr>
              <w:pStyle w:val="Tabletext"/>
            </w:pPr>
            <w:r w:rsidRPr="0052117D">
              <w:t>Este proyecto también se publicará en línea para la celebración de consultas públicas abiertas.</w:t>
            </w:r>
          </w:p>
        </w:tc>
      </w:tr>
      <w:tr w:rsidR="00081E04" w:rsidRPr="0052117D" w14:paraId="3B2EE94E" w14:textId="77777777" w:rsidTr="00387BBE">
        <w:trPr>
          <w:cantSplit/>
          <w:jc w:val="center"/>
        </w:trPr>
        <w:tc>
          <w:tcPr>
            <w:tcW w:w="2243" w:type="dxa"/>
          </w:tcPr>
          <w:p w14:paraId="177BE429" w14:textId="77777777" w:rsidR="00081E04" w:rsidRPr="0052117D" w:rsidRDefault="00081E04" w:rsidP="00387BBE">
            <w:pPr>
              <w:pStyle w:val="Tabletext"/>
              <w:jc w:val="center"/>
              <w:rPr>
                <w:b/>
                <w:bCs/>
              </w:rPr>
            </w:pPr>
            <w:r w:rsidRPr="0052117D">
              <w:rPr>
                <w:b/>
                <w:bCs/>
              </w:rPr>
              <w:t>16 de junio de 2025</w:t>
            </w:r>
          </w:p>
        </w:tc>
        <w:tc>
          <w:tcPr>
            <w:tcW w:w="7396" w:type="dxa"/>
          </w:tcPr>
          <w:p w14:paraId="06ECC1BB" w14:textId="77777777" w:rsidR="00081E04" w:rsidRPr="0052117D" w:rsidRDefault="00081E04" w:rsidP="00387BBE">
            <w:pPr>
              <w:pStyle w:val="Tabletext"/>
            </w:pPr>
            <w:r w:rsidRPr="0052117D">
              <w:t>Plazo límite para la recepción de comentarios sobre el tercer proyecto, incluidos los posibles proyectos de Opinión</w:t>
            </w:r>
            <w:r>
              <w:t>.</w:t>
            </w:r>
          </w:p>
          <w:p w14:paraId="43D0C553" w14:textId="77777777" w:rsidR="00081E04" w:rsidRPr="0052117D" w:rsidRDefault="00081E04" w:rsidP="00387BBE">
            <w:pPr>
              <w:pStyle w:val="Tabletext"/>
            </w:pPr>
            <w:r w:rsidRPr="0052117D">
              <w:t>Plazo límite para la recepción de comentarios procedentes de la consulta pública abierta</w:t>
            </w:r>
            <w:r>
              <w:t>.</w:t>
            </w:r>
          </w:p>
        </w:tc>
      </w:tr>
      <w:tr w:rsidR="00081E04" w:rsidRPr="0052117D" w14:paraId="6C71F98A" w14:textId="77777777" w:rsidTr="00387BBE">
        <w:trPr>
          <w:cantSplit/>
          <w:jc w:val="center"/>
        </w:trPr>
        <w:tc>
          <w:tcPr>
            <w:tcW w:w="2243" w:type="dxa"/>
          </w:tcPr>
          <w:p w14:paraId="11B91B3F" w14:textId="77777777" w:rsidR="00081E04" w:rsidRPr="0052117D" w:rsidRDefault="00081E04" w:rsidP="00387BBE">
            <w:pPr>
              <w:pStyle w:val="Tabletext"/>
              <w:jc w:val="center"/>
              <w:rPr>
                <w:b/>
                <w:bCs/>
              </w:rPr>
            </w:pPr>
            <w:r w:rsidRPr="0052117D">
              <w:rPr>
                <w:b/>
                <w:bCs/>
              </w:rPr>
              <w:t>7 de agosto de 2025</w:t>
            </w:r>
          </w:p>
        </w:tc>
        <w:tc>
          <w:tcPr>
            <w:tcW w:w="7396" w:type="dxa"/>
          </w:tcPr>
          <w:p w14:paraId="0557056D" w14:textId="77777777" w:rsidR="00081E04" w:rsidRPr="0052117D" w:rsidRDefault="00081E04" w:rsidP="00387BBE">
            <w:pPr>
              <w:pStyle w:val="Tabletext"/>
            </w:pPr>
            <w:r w:rsidRPr="0052117D">
              <w:t>Plazo límite intermedio para la presentación de aportaciones escritas tras la publicación, el 16 de junio de 2025, del Informe del Presidente, que contiene los proyectos de Opinión de referencia</w:t>
            </w:r>
            <w:r>
              <w:t>.</w:t>
            </w:r>
          </w:p>
          <w:p w14:paraId="7677C949" w14:textId="77777777" w:rsidR="00081E04" w:rsidRPr="0052117D" w:rsidRDefault="00081E04" w:rsidP="00387BBE">
            <w:pPr>
              <w:pStyle w:val="Tabletext"/>
            </w:pPr>
            <w:r w:rsidRPr="0052117D">
              <w:t>Este plazo tiene por objeto respaldar la continuación del examen de los proyectos de Opinión antes de la siguiente reunión del Grupo Informal de Expertos</w:t>
            </w:r>
            <w:r>
              <w:t>.</w:t>
            </w:r>
          </w:p>
        </w:tc>
      </w:tr>
      <w:tr w:rsidR="00081E04" w:rsidRPr="0052117D" w14:paraId="349E3E48" w14:textId="77777777" w:rsidTr="00387BBE">
        <w:trPr>
          <w:cantSplit/>
          <w:jc w:val="center"/>
        </w:trPr>
        <w:tc>
          <w:tcPr>
            <w:tcW w:w="2243" w:type="dxa"/>
          </w:tcPr>
          <w:p w14:paraId="6B7F256E" w14:textId="77777777" w:rsidR="00081E04" w:rsidRPr="0052117D" w:rsidRDefault="00081E04" w:rsidP="00387BBE">
            <w:pPr>
              <w:pStyle w:val="Tabletext"/>
              <w:jc w:val="center"/>
              <w:rPr>
                <w:b/>
                <w:bCs/>
              </w:rPr>
            </w:pPr>
            <w:r w:rsidRPr="0052117D">
              <w:rPr>
                <w:b/>
                <w:bCs/>
              </w:rPr>
              <w:lastRenderedPageBreak/>
              <w:t>3.</w:t>
            </w:r>
            <w:r>
              <w:rPr>
                <w:b/>
                <w:bCs/>
              </w:rPr>
              <w:t>ª</w:t>
            </w:r>
            <w:r w:rsidRPr="0052117D">
              <w:rPr>
                <w:b/>
                <w:bCs/>
              </w:rPr>
              <w:t xml:space="preserve"> reunión del GIE </w:t>
            </w:r>
            <w:r w:rsidRPr="0052117D">
              <w:rPr>
                <w:b/>
                <w:bCs/>
              </w:rPr>
              <w:br/>
              <w:t xml:space="preserve">(17 a 19 de septiembre de 2025, durante el bloque de reuniones de los </w:t>
            </w:r>
            <w:proofErr w:type="spellStart"/>
            <w:r w:rsidRPr="0052117D">
              <w:rPr>
                <w:b/>
                <w:bCs/>
              </w:rPr>
              <w:t>GTC</w:t>
            </w:r>
            <w:proofErr w:type="spellEnd"/>
            <w:r w:rsidRPr="0052117D">
              <w:rPr>
                <w:b/>
                <w:bCs/>
              </w:rPr>
              <w:t>)</w:t>
            </w:r>
          </w:p>
        </w:tc>
        <w:tc>
          <w:tcPr>
            <w:tcW w:w="7396" w:type="dxa"/>
          </w:tcPr>
          <w:p w14:paraId="07CBE85F" w14:textId="77777777" w:rsidR="00081E04" w:rsidRPr="0052117D" w:rsidRDefault="00081E04" w:rsidP="00387BBE">
            <w:pPr>
              <w:pStyle w:val="Tabletext"/>
            </w:pPr>
            <w:r w:rsidRPr="0052117D">
              <w:t>Tercera reunión del grupo de expertos para examinar el tercer proyecto del informe de</w:t>
            </w:r>
            <w:r>
              <w:t xml:space="preserve"> </w:t>
            </w:r>
            <w:r w:rsidRPr="0052117D">
              <w:t>l</w:t>
            </w:r>
            <w:r>
              <w:t>a</w:t>
            </w:r>
            <w:r w:rsidRPr="0052117D">
              <w:t xml:space="preserve"> </w:t>
            </w:r>
            <w:r>
              <w:t>Secretaria General</w:t>
            </w:r>
            <w:r w:rsidRPr="0052117D">
              <w:t>, así como los proyectos de Opinión y los comentarios recibidos, incluidos los procedentes de la consulta pública abierta</w:t>
            </w:r>
            <w:r>
              <w:t>.</w:t>
            </w:r>
          </w:p>
        </w:tc>
      </w:tr>
      <w:tr w:rsidR="00081E04" w:rsidRPr="0052117D" w14:paraId="0F934C94" w14:textId="77777777" w:rsidTr="00387BBE">
        <w:trPr>
          <w:cantSplit/>
          <w:jc w:val="center"/>
        </w:trPr>
        <w:tc>
          <w:tcPr>
            <w:tcW w:w="2243" w:type="dxa"/>
          </w:tcPr>
          <w:p w14:paraId="35C82BB8" w14:textId="77777777" w:rsidR="00081E04" w:rsidRPr="0052117D" w:rsidRDefault="00081E04" w:rsidP="00387BBE">
            <w:pPr>
              <w:pStyle w:val="Tabletext"/>
              <w:jc w:val="center"/>
              <w:rPr>
                <w:b/>
                <w:bCs/>
              </w:rPr>
            </w:pPr>
            <w:r w:rsidRPr="0052117D">
              <w:rPr>
                <w:b/>
                <w:bCs/>
              </w:rPr>
              <w:t>3 de noviembre de 2025</w:t>
            </w:r>
          </w:p>
        </w:tc>
        <w:tc>
          <w:tcPr>
            <w:tcW w:w="7396" w:type="dxa"/>
          </w:tcPr>
          <w:p w14:paraId="5B420A55" w14:textId="77777777" w:rsidR="00081E04" w:rsidRPr="0052117D" w:rsidRDefault="00081E04" w:rsidP="00387BBE">
            <w:pPr>
              <w:pStyle w:val="Tabletext"/>
            </w:pPr>
            <w:r w:rsidRPr="0052117D">
              <w:t>Se publicará en línea el cuarto proyecto del informe de</w:t>
            </w:r>
            <w:r>
              <w:t xml:space="preserve"> </w:t>
            </w:r>
            <w:r w:rsidRPr="0052117D">
              <w:t>l</w:t>
            </w:r>
            <w:r>
              <w:t>a</w:t>
            </w:r>
            <w:r w:rsidRPr="0052117D">
              <w:t xml:space="preserve"> </w:t>
            </w:r>
            <w:r>
              <w:t>Secretaria General</w:t>
            </w:r>
            <w:r w:rsidRPr="0052117D">
              <w:t>, en el que se incorporarán los debates de la 3.</w:t>
            </w:r>
            <w:r>
              <w:t>ª</w:t>
            </w:r>
            <w:r w:rsidRPr="0052117D">
              <w:t xml:space="preserve"> reunión del GIE y que incluirá los proyectos de Opinión en forma de Anexo</w:t>
            </w:r>
            <w:r>
              <w:t>.</w:t>
            </w:r>
          </w:p>
        </w:tc>
      </w:tr>
      <w:tr w:rsidR="00081E04" w:rsidRPr="0052117D" w14:paraId="72041CED" w14:textId="77777777" w:rsidTr="00387BBE">
        <w:trPr>
          <w:cantSplit/>
          <w:jc w:val="center"/>
        </w:trPr>
        <w:tc>
          <w:tcPr>
            <w:tcW w:w="2243" w:type="dxa"/>
          </w:tcPr>
          <w:p w14:paraId="20ED7A3F" w14:textId="77777777" w:rsidR="00081E04" w:rsidRPr="0052117D" w:rsidRDefault="00081E04" w:rsidP="00387BBE">
            <w:pPr>
              <w:pStyle w:val="Tabletext"/>
              <w:jc w:val="center"/>
              <w:rPr>
                <w:b/>
                <w:bCs/>
              </w:rPr>
            </w:pPr>
            <w:r w:rsidRPr="0052117D">
              <w:rPr>
                <w:b/>
                <w:bCs/>
              </w:rPr>
              <w:t>19 de diciembre de 2025</w:t>
            </w:r>
          </w:p>
        </w:tc>
        <w:tc>
          <w:tcPr>
            <w:tcW w:w="7396" w:type="dxa"/>
          </w:tcPr>
          <w:p w14:paraId="51778A5E" w14:textId="77777777" w:rsidR="00081E04" w:rsidRPr="0052117D" w:rsidRDefault="00081E04" w:rsidP="00387BBE">
            <w:pPr>
              <w:pStyle w:val="Tabletext"/>
            </w:pPr>
            <w:r w:rsidRPr="0052117D">
              <w:t>Plazo límite para la recepción de comentarios sobre el cuarto proyecto, incluido el texto de los proyectos de Opinión</w:t>
            </w:r>
            <w:r>
              <w:t>.</w:t>
            </w:r>
          </w:p>
        </w:tc>
      </w:tr>
      <w:tr w:rsidR="00081E04" w:rsidRPr="0052117D" w14:paraId="4F5BFB25" w14:textId="77777777" w:rsidTr="00387BBE">
        <w:trPr>
          <w:cantSplit/>
          <w:jc w:val="center"/>
        </w:trPr>
        <w:tc>
          <w:tcPr>
            <w:tcW w:w="2243" w:type="dxa"/>
          </w:tcPr>
          <w:p w14:paraId="22D695B4" w14:textId="77777777" w:rsidR="00081E04" w:rsidRPr="0052117D" w:rsidRDefault="00081E04" w:rsidP="00387BBE">
            <w:pPr>
              <w:pStyle w:val="Tabletext"/>
              <w:jc w:val="center"/>
              <w:rPr>
                <w:b/>
                <w:bCs/>
              </w:rPr>
            </w:pPr>
            <w:r w:rsidRPr="0052117D">
              <w:rPr>
                <w:b/>
                <w:bCs/>
              </w:rPr>
              <w:t>4.</w:t>
            </w:r>
            <w:r>
              <w:rPr>
                <w:b/>
                <w:bCs/>
              </w:rPr>
              <w:t>ª</w:t>
            </w:r>
            <w:r w:rsidRPr="0052117D">
              <w:rPr>
                <w:b/>
                <w:bCs/>
              </w:rPr>
              <w:t xml:space="preserve"> reunión del GIE </w:t>
            </w:r>
            <w:r w:rsidRPr="0052117D">
              <w:rPr>
                <w:b/>
                <w:bCs/>
              </w:rPr>
              <w:br/>
              <w:t xml:space="preserve">(21 a 23 de enero de 2026, durante el bloque de reuniones de los </w:t>
            </w:r>
            <w:proofErr w:type="spellStart"/>
            <w:r w:rsidRPr="0052117D">
              <w:rPr>
                <w:b/>
                <w:bCs/>
              </w:rPr>
              <w:t>GTC</w:t>
            </w:r>
            <w:proofErr w:type="spellEnd"/>
            <w:r w:rsidRPr="0052117D">
              <w:rPr>
                <w:b/>
                <w:bCs/>
              </w:rPr>
              <w:t>)</w:t>
            </w:r>
          </w:p>
        </w:tc>
        <w:tc>
          <w:tcPr>
            <w:tcW w:w="7396" w:type="dxa"/>
          </w:tcPr>
          <w:p w14:paraId="1D39D98F" w14:textId="77777777" w:rsidR="00081E04" w:rsidRPr="0052117D" w:rsidRDefault="00081E04" w:rsidP="00387BBE">
            <w:pPr>
              <w:pStyle w:val="Tabletext"/>
            </w:pPr>
            <w:r w:rsidRPr="0052117D">
              <w:t>Cuarta reunión del grupo de expertos para ultimar el proyecto de Informe de</w:t>
            </w:r>
            <w:r>
              <w:t xml:space="preserve"> </w:t>
            </w:r>
            <w:r w:rsidRPr="0052117D">
              <w:t>l</w:t>
            </w:r>
            <w:r>
              <w:t>a</w:t>
            </w:r>
            <w:r w:rsidRPr="0052117D">
              <w:t xml:space="preserve"> </w:t>
            </w:r>
            <w:r>
              <w:t>Secretaria General</w:t>
            </w:r>
            <w:r w:rsidRPr="0052117D">
              <w:t>, incluido el texto definitivo de los proyectos de Opinión que se someterán al séptimo FMPT</w:t>
            </w:r>
            <w:r>
              <w:t>.</w:t>
            </w:r>
          </w:p>
        </w:tc>
      </w:tr>
      <w:tr w:rsidR="00081E04" w:rsidRPr="0052117D" w14:paraId="431CF081" w14:textId="77777777" w:rsidTr="00387BBE">
        <w:trPr>
          <w:cantSplit/>
          <w:jc w:val="center"/>
        </w:trPr>
        <w:tc>
          <w:tcPr>
            <w:tcW w:w="2243" w:type="dxa"/>
          </w:tcPr>
          <w:p w14:paraId="16BE9D20" w14:textId="77777777" w:rsidR="00081E04" w:rsidRPr="0052117D" w:rsidRDefault="00081E04" w:rsidP="00387BBE">
            <w:pPr>
              <w:pStyle w:val="Tabletext"/>
              <w:jc w:val="center"/>
              <w:rPr>
                <w:b/>
                <w:bCs/>
              </w:rPr>
            </w:pPr>
            <w:r w:rsidRPr="0052117D">
              <w:rPr>
                <w:b/>
                <w:bCs/>
              </w:rPr>
              <w:t>13 de abril de 2026</w:t>
            </w:r>
          </w:p>
        </w:tc>
        <w:tc>
          <w:tcPr>
            <w:tcW w:w="7396" w:type="dxa"/>
          </w:tcPr>
          <w:p w14:paraId="299E9092" w14:textId="77777777" w:rsidR="00081E04" w:rsidRPr="0052117D" w:rsidRDefault="00081E04" w:rsidP="00387BBE">
            <w:pPr>
              <w:pStyle w:val="Tabletext"/>
            </w:pPr>
            <w:r w:rsidRPr="0052117D">
              <w:t>Se publicará en línea el informe definitivo de</w:t>
            </w:r>
            <w:r>
              <w:t xml:space="preserve"> </w:t>
            </w:r>
            <w:r w:rsidRPr="0052117D">
              <w:t>l</w:t>
            </w:r>
            <w:r>
              <w:t>a</w:t>
            </w:r>
            <w:r w:rsidRPr="0052117D">
              <w:t xml:space="preserve"> </w:t>
            </w:r>
            <w:r>
              <w:t>Secretaria General</w:t>
            </w:r>
            <w:r w:rsidRPr="0052117D">
              <w:t xml:space="preserve"> al FMPT, con inclusión de los proyectos de Opinión</w:t>
            </w:r>
            <w:r>
              <w:t>.</w:t>
            </w:r>
          </w:p>
        </w:tc>
      </w:tr>
      <w:tr w:rsidR="00081E04" w:rsidRPr="0052117D" w14:paraId="50C2F29F" w14:textId="77777777" w:rsidTr="00387BBE">
        <w:trPr>
          <w:cantSplit/>
          <w:jc w:val="center"/>
        </w:trPr>
        <w:tc>
          <w:tcPr>
            <w:tcW w:w="2243" w:type="dxa"/>
          </w:tcPr>
          <w:p w14:paraId="484358EF" w14:textId="77777777" w:rsidR="00081E04" w:rsidRPr="0052117D" w:rsidRDefault="00081E04" w:rsidP="00387BBE">
            <w:pPr>
              <w:pStyle w:val="Tabletext"/>
              <w:jc w:val="center"/>
              <w:rPr>
                <w:b/>
                <w:bCs/>
              </w:rPr>
            </w:pPr>
            <w:r w:rsidRPr="0052117D">
              <w:rPr>
                <w:b/>
                <w:bCs/>
              </w:rPr>
              <w:t xml:space="preserve">Consultas informales (24 de febrero de 2026, </w:t>
            </w:r>
            <w:r w:rsidRPr="0052117D">
              <w:rPr>
                <w:b/>
                <w:bCs/>
              </w:rPr>
              <w:br/>
              <w:t xml:space="preserve">24 de marzo de 2026 y </w:t>
            </w:r>
            <w:r w:rsidRPr="0052117D">
              <w:rPr>
                <w:b/>
                <w:bCs/>
              </w:rPr>
              <w:br/>
              <w:t>26 de abril de 2026)</w:t>
            </w:r>
          </w:p>
        </w:tc>
        <w:tc>
          <w:tcPr>
            <w:tcW w:w="7396" w:type="dxa"/>
          </w:tcPr>
          <w:p w14:paraId="5AB79B05" w14:textId="77777777" w:rsidR="00081E04" w:rsidRPr="0052117D" w:rsidRDefault="00081E04" w:rsidP="00387BBE">
            <w:pPr>
              <w:pStyle w:val="Tabletext"/>
            </w:pPr>
            <w:r w:rsidRPr="0052117D">
              <w:t>Dos proyectos de Opinión requirieron más tiempo debido al volumen y al contenido de las cuestiones planteadas por los miembros del GIE en cada ámbito temático. En consecuencia, los miembros del GIE convinieron en celebrar tres reuniones informales de seguimiento para ultimar los dos proyectos de Opinión restantes y el Informe de</w:t>
            </w:r>
            <w:r>
              <w:t xml:space="preserve"> </w:t>
            </w:r>
            <w:r w:rsidRPr="0052117D">
              <w:t>l</w:t>
            </w:r>
            <w:r>
              <w:t>a</w:t>
            </w:r>
            <w:r w:rsidRPr="0052117D">
              <w:t xml:space="preserve"> </w:t>
            </w:r>
            <w:r>
              <w:t>Secretaria General</w:t>
            </w:r>
            <w:r w:rsidRPr="0052117D">
              <w:t>. Estas fueron dos reuniones virtuales informales celebradas el 24 de febrero y el 24 de marzo de 2026, así como una reunión presencial informal con participación a distancia celebrada el 26 de abril de 2026.</w:t>
            </w:r>
          </w:p>
        </w:tc>
      </w:tr>
      <w:tr w:rsidR="00081E04" w:rsidRPr="0052117D" w14:paraId="08DCB1DA" w14:textId="77777777" w:rsidTr="00387BBE">
        <w:trPr>
          <w:cantSplit/>
          <w:jc w:val="center"/>
        </w:trPr>
        <w:tc>
          <w:tcPr>
            <w:tcW w:w="2243" w:type="dxa"/>
          </w:tcPr>
          <w:p w14:paraId="61E29580" w14:textId="77777777" w:rsidR="00081E04" w:rsidRPr="0052117D" w:rsidRDefault="00081E04" w:rsidP="00387BBE">
            <w:pPr>
              <w:pStyle w:val="Tabletext"/>
              <w:jc w:val="center"/>
              <w:rPr>
                <w:b/>
                <w:bCs/>
              </w:rPr>
            </w:pPr>
            <w:r w:rsidRPr="0052117D">
              <w:rPr>
                <w:b/>
                <w:bCs/>
              </w:rPr>
              <w:t>2 a 4 de septiembre de 2026</w:t>
            </w:r>
          </w:p>
        </w:tc>
        <w:tc>
          <w:tcPr>
            <w:tcW w:w="7396" w:type="dxa"/>
          </w:tcPr>
          <w:p w14:paraId="4C8E443D" w14:textId="77777777" w:rsidR="00081E04" w:rsidRPr="0052117D" w:rsidRDefault="00081E04" w:rsidP="00387BBE">
            <w:pPr>
              <w:pStyle w:val="Tabletext"/>
            </w:pPr>
            <w:r w:rsidRPr="0052117D">
              <w:t>Séptimo Foro Mundial de Política de Telecomunicaciones/Tecnologías de la Información y la Comunicación (FMPT-26), en las Bahamas, del 2 al 4 de septiembre de 2026, con un Diálogo Estratégico que se celebrará el 1 de septiembre de 2026</w:t>
            </w:r>
          </w:p>
        </w:tc>
      </w:tr>
    </w:tbl>
    <w:p w14:paraId="159FBBEF"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 w:val="22"/>
          <w:szCs w:val="22"/>
          <w:lang w:eastAsia="zh-CN"/>
        </w:rPr>
      </w:pPr>
    </w:p>
    <w:p w14:paraId="2BF97B18"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eastAsiaTheme="minorEastAsia"/>
          <w:b/>
          <w:sz w:val="10"/>
          <w:szCs w:val="10"/>
          <w:lang w:eastAsia="zh-CN"/>
        </w:rPr>
      </w:pPr>
      <w:bookmarkStart w:id="4" w:name="_Hlk181690953"/>
      <w:r w:rsidRPr="0052117D">
        <w:rPr>
          <w:sz w:val="10"/>
          <w:szCs w:val="10"/>
        </w:rPr>
        <w:br w:type="page"/>
      </w:r>
    </w:p>
    <w:p w14:paraId="1CF41532" w14:textId="77777777" w:rsidR="00081E04" w:rsidRPr="0052117D" w:rsidRDefault="00081E04" w:rsidP="003F5F9B">
      <w:pPr>
        <w:pStyle w:val="Heading1"/>
      </w:pPr>
      <w:r w:rsidRPr="0052117D">
        <w:lastRenderedPageBreak/>
        <w:t>3</w:t>
      </w:r>
      <w:r w:rsidRPr="0052117D">
        <w:tab/>
        <w:t>Tema del FMPT-26</w:t>
      </w:r>
    </w:p>
    <w:bookmarkEnd w:id="4"/>
    <w:p w14:paraId="5ADDF1F5" w14:textId="115C55D1"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3.1</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Mediante el </w:t>
      </w:r>
      <w:r w:rsidRPr="0052117D">
        <w:rPr>
          <w:rFonts w:eastAsiaTheme="minorEastAsia"/>
          <w:szCs w:val="24"/>
          <w:lang w:eastAsia="zh-CN"/>
        </w:rPr>
        <w:t>Acuerdo</w:t>
      </w:r>
      <w:r w:rsidRPr="0052117D">
        <w:rPr>
          <w:rFonts w:asciiTheme="minorHAnsi" w:eastAsiaTheme="minorEastAsia" w:hAnsiTheme="minorHAnsi" w:cstheme="minorBidi"/>
          <w:szCs w:val="24"/>
          <w:lang w:eastAsia="zh-CN"/>
        </w:rPr>
        <w:t xml:space="preserve"> 641 (</w:t>
      </w:r>
      <w:proofErr w:type="spellStart"/>
      <w:r w:rsidRPr="0052117D">
        <w:rPr>
          <w:rFonts w:asciiTheme="minorHAnsi" w:eastAsiaTheme="minorEastAsia" w:hAnsiTheme="minorHAnsi" w:cstheme="minorBidi"/>
          <w:szCs w:val="24"/>
          <w:lang w:eastAsia="zh-CN"/>
        </w:rPr>
        <w:t>C24</w:t>
      </w:r>
      <w:proofErr w:type="spellEnd"/>
      <w:r w:rsidRPr="0052117D">
        <w:rPr>
          <w:rFonts w:asciiTheme="minorHAnsi" w:eastAsiaTheme="minorEastAsia" w:hAnsiTheme="minorHAnsi" w:cstheme="minorBidi"/>
          <w:szCs w:val="24"/>
          <w:lang w:eastAsia="zh-CN"/>
        </w:rPr>
        <w:t>), la reunión de 2024 del Consejo decidió que el tema del FMPT</w:t>
      </w:r>
      <w:r w:rsidR="005B6ED5">
        <w:rPr>
          <w:rFonts w:asciiTheme="minorHAnsi" w:eastAsiaTheme="minorEastAsia" w:hAnsiTheme="minorHAnsi" w:cstheme="minorBidi"/>
          <w:szCs w:val="24"/>
          <w:lang w:eastAsia="zh-CN"/>
        </w:rPr>
        <w:noBreakHyphen/>
      </w:r>
      <w:r w:rsidRPr="0052117D">
        <w:rPr>
          <w:rFonts w:asciiTheme="minorHAnsi" w:eastAsiaTheme="minorEastAsia" w:hAnsiTheme="minorHAnsi" w:cstheme="minorBidi"/>
          <w:szCs w:val="24"/>
          <w:lang w:eastAsia="zh-CN"/>
        </w:rPr>
        <w:t xml:space="preserve">26 sería el que se expone en el </w:t>
      </w:r>
      <w:r w:rsidRPr="0052117D">
        <w:rPr>
          <w:rFonts w:asciiTheme="minorHAnsi" w:eastAsiaTheme="minorEastAsia" w:hAnsiTheme="minorHAnsi" w:cstheme="minorHAnsi"/>
          <w:szCs w:val="24"/>
          <w:lang w:eastAsia="zh-CN"/>
        </w:rPr>
        <w:t>§</w:t>
      </w:r>
      <w:r w:rsidRPr="0052117D">
        <w:rPr>
          <w:rFonts w:asciiTheme="minorHAnsi" w:eastAsiaTheme="minorEastAsia" w:hAnsiTheme="minorHAnsi" w:cstheme="minorBidi"/>
          <w:szCs w:val="24"/>
          <w:lang w:eastAsia="zh-CN"/>
        </w:rPr>
        <w:t> 1.3.</w:t>
      </w:r>
    </w:p>
    <w:p w14:paraId="0F983932"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3.2</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Con el objetivo de acelerar un futuro digital inclusivo, sostenible, resiliente e innovador, el tema presenta cinco cuestiones fundamentales que se someterán a la consideración y el debate del FMPT-26. A medida que los avances tecnológicos en ámbitos como la inteligencia artificial (IA), la computación cuántica y las tecnologías espaciales, entre otros, reconfiguran la economía digital mundial, resulta esencial abordar una amplia gama de cuestiones interrelacionadas y, al mismo tiempo, concebir intervenciones de política pública que permitan maximizar las oportunidades y hacer frente a los retos que plantean la adopción y la utilización de servicios y tecnologías de telecomunicaciones/TIC nuevos e incipientes. Con la mirada puesta en 2026 y años posteriores, y habida cuenta del escaso tiempo de que dispone la comunidad internacional para avanzar en la consecución de los 17 Objetivos de Desarrollo Sostenible (ODS) de las Naciones Unidas, es imperativo que los responsables políticos y demás partes interesadas adopten un enfoque holístico y </w:t>
      </w:r>
      <w:r w:rsidRPr="0052117D">
        <w:rPr>
          <w:rFonts w:eastAsiaTheme="minorEastAsia"/>
          <w:szCs w:val="24"/>
          <w:lang w:eastAsia="zh-CN"/>
        </w:rPr>
        <w:t>complementario</w:t>
      </w:r>
      <w:r w:rsidRPr="0052117D">
        <w:rPr>
          <w:rFonts w:asciiTheme="minorHAnsi" w:eastAsiaTheme="minorEastAsia" w:hAnsiTheme="minorHAnsi" w:cstheme="minorBidi"/>
          <w:szCs w:val="24"/>
          <w:lang w:eastAsia="zh-CN"/>
        </w:rPr>
        <w:t xml:space="preserve"> para elaborar los marcos normativos integrados necesarios para abordar las cuestiones que plantea el tema.</w:t>
      </w:r>
    </w:p>
    <w:p w14:paraId="5DD6E9EF"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3.3</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Un entorno propicio y sólido, fundado en una elaboración eficaz de políticas, resulta esencial para facilitar los esfuerzos, en particular en los países en desarrollo, encaminados a garantizar infraestructuras y servicios universalmente accesibles, asequibles, de alta calidad, </w:t>
      </w:r>
      <w:r w:rsidRPr="0052117D">
        <w:rPr>
          <w:rFonts w:eastAsiaTheme="minorEastAsia"/>
          <w:szCs w:val="24"/>
          <w:lang w:eastAsia="zh-CN"/>
        </w:rPr>
        <w:t>interfuncionales</w:t>
      </w:r>
      <w:r w:rsidRPr="0052117D">
        <w:rPr>
          <w:rFonts w:asciiTheme="minorHAnsi" w:eastAsiaTheme="minorEastAsia" w:hAnsiTheme="minorHAnsi" w:cstheme="minorBidi"/>
          <w:szCs w:val="24"/>
          <w:lang w:eastAsia="zh-CN"/>
        </w:rPr>
        <w:t xml:space="preserve"> y seguros, a intensificar la coordinación internacional y la normalización internacional de los servicios y tecnologías de telecomunicaciones/TIC, y a fomentar las tecnologías existentes e incipientes, las soluciones de conectividad y los modelos de negocio con miras a colmar la brecha digital, garantizando el acceso en todos los países y regiones.</w:t>
      </w:r>
    </w:p>
    <w:p w14:paraId="18D96D90"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3.4</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El presente informe se elaboró mediante un proceso preparatorio abierto e inclusivo, de conformidad </w:t>
      </w:r>
      <w:r w:rsidRPr="0052117D">
        <w:rPr>
          <w:rFonts w:asciiTheme="minorHAnsi" w:eastAsiaTheme="minorEastAsia" w:hAnsiTheme="minorHAnsi" w:cstheme="minorBidi"/>
          <w:spacing w:val="-2"/>
          <w:szCs w:val="24"/>
          <w:lang w:eastAsia="zh-CN"/>
        </w:rPr>
        <w:t>con el calendario establecido en el Acuerdo 641 (Consejo, 2024), y servirá de base para los debates del FMPT-26, teniendo en cuenta las aportaciones y contribuciones de los expertos y las partes interesadas.</w:t>
      </w:r>
    </w:p>
    <w:p w14:paraId="684CEAD4"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3.5</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En el informe se exponen las cuestiones de política general y los interrogantes fundamentales que han de examinarse en relación con cada uno de los temas, con el objetivo de ayudar a los responsables políticos a estudiar la manera de movilizar los servicios y tecnologías de </w:t>
      </w:r>
      <w:r w:rsidRPr="0052117D">
        <w:rPr>
          <w:rFonts w:eastAsiaTheme="minorEastAsia"/>
          <w:szCs w:val="24"/>
          <w:lang w:eastAsia="zh-CN"/>
        </w:rPr>
        <w:t>telecomunicaciones</w:t>
      </w:r>
      <w:r w:rsidRPr="0052117D">
        <w:rPr>
          <w:rFonts w:asciiTheme="minorHAnsi" w:eastAsiaTheme="minorEastAsia" w:hAnsiTheme="minorHAnsi" w:cstheme="minorBidi"/>
          <w:szCs w:val="24"/>
          <w:lang w:eastAsia="zh-CN"/>
        </w:rPr>
        <w:t>/TIC nuevos e incipientes en favor del desarrollo sostenible, construir una sociedad y una economía inclusivas, contribuir a colmar la brecha digital para todos, incluidas las mujeres y las niñas, los jóvenes, los pueblos indígenas, las personas de edad, las personas con discapacidad y las personas con necesidades específicas, así como promover y propiciar la transformación digital en todas las esferas de la vida y la actividad humanas, en particular con miras a hacer frente a la doble crisis climática y medioambiental, fomentar el avance continuo de la ciencia, promover la exploración sostenible de la Tierra y del espacio y alentar la utilización de los recursos en beneficio de todos.</w:t>
      </w:r>
    </w:p>
    <w:p w14:paraId="69D9A5B9"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3.6</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Cada uno de los temas se analiza en las secciones siguientes, y los proyectos de Opinión acordados por el Grupo Informal de Expertos durante el proceso preparatorio se presentan en el Anexo:</w:t>
      </w:r>
    </w:p>
    <w:p w14:paraId="5DB79AD3"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t>–</w:t>
      </w:r>
      <w:r w:rsidRPr="0052117D">
        <w:rPr>
          <w:rFonts w:eastAsiaTheme="minorEastAsia"/>
          <w:lang w:eastAsia="zh-CN"/>
        </w:rPr>
        <w:tab/>
        <w:t>Sección 4: La reducción de las brechas digitales, en particular las relativas al género y la edad, así como a las competencias y la conectividad</w:t>
      </w:r>
      <w:r>
        <w:rPr>
          <w:rFonts w:eastAsiaTheme="minorEastAsia"/>
          <w:lang w:eastAsia="zh-CN"/>
        </w:rPr>
        <w:t>;</w:t>
      </w:r>
    </w:p>
    <w:p w14:paraId="67BB6AB7"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lastRenderedPageBreak/>
        <w:t>–</w:t>
      </w:r>
      <w:r w:rsidRPr="0052117D">
        <w:rPr>
          <w:rFonts w:eastAsiaTheme="minorEastAsia"/>
          <w:lang w:eastAsia="zh-CN"/>
        </w:rPr>
        <w:tab/>
      </w:r>
      <w:r w:rsidRPr="0052117D">
        <w:rPr>
          <w:rFonts w:eastAsiaTheme="minorEastAsia"/>
          <w:spacing w:val="-2"/>
          <w:lang w:eastAsia="zh-CN"/>
        </w:rPr>
        <w:t>Sección 5: La transformación digital ecológica: el cambio climático y la sostenibilidad medioambiental</w:t>
      </w:r>
      <w:r>
        <w:rPr>
          <w:rFonts w:eastAsiaTheme="minorEastAsia"/>
          <w:spacing w:val="-2"/>
          <w:lang w:eastAsia="zh-CN"/>
        </w:rPr>
        <w:t>;</w:t>
      </w:r>
    </w:p>
    <w:p w14:paraId="1BF9D50F"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t>–</w:t>
      </w:r>
      <w:r w:rsidRPr="0052117D">
        <w:rPr>
          <w:rFonts w:eastAsiaTheme="minorEastAsia"/>
          <w:lang w:eastAsia="zh-CN"/>
        </w:rPr>
        <w:tab/>
        <w:t>Sección 6: La resiliencia de las telecomunicaciones/TIC</w:t>
      </w:r>
      <w:r>
        <w:rPr>
          <w:rFonts w:eastAsiaTheme="minorEastAsia"/>
          <w:lang w:eastAsia="zh-CN"/>
        </w:rPr>
        <w:t>;</w:t>
      </w:r>
    </w:p>
    <w:p w14:paraId="5A6F6D79"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t>–</w:t>
      </w:r>
      <w:r w:rsidRPr="0052117D">
        <w:rPr>
          <w:rFonts w:eastAsiaTheme="minorEastAsia"/>
          <w:lang w:eastAsia="zh-CN"/>
        </w:rPr>
        <w:tab/>
        <w:t>Sección 7: La conectividad espacial</w:t>
      </w:r>
      <w:r>
        <w:rPr>
          <w:rFonts w:eastAsiaTheme="minorEastAsia"/>
          <w:lang w:eastAsia="zh-CN"/>
        </w:rPr>
        <w:t>;</w:t>
      </w:r>
    </w:p>
    <w:p w14:paraId="7FC7B0AA"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t>–</w:t>
      </w:r>
      <w:r w:rsidRPr="0052117D">
        <w:rPr>
          <w:rFonts w:eastAsiaTheme="minorEastAsia"/>
          <w:lang w:eastAsia="zh-CN"/>
        </w:rPr>
        <w:tab/>
        <w:t>Sección 8: El fortalecimiento de los ecosistemas de innovación centrados en las TIC y del espíritu empresarial</w:t>
      </w:r>
      <w:r>
        <w:rPr>
          <w:rFonts w:eastAsiaTheme="minorEastAsia"/>
          <w:lang w:eastAsia="zh-CN"/>
        </w:rPr>
        <w:t>;</w:t>
      </w:r>
    </w:p>
    <w:p w14:paraId="2AD177AC"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t>–</w:t>
      </w:r>
      <w:r w:rsidRPr="0052117D">
        <w:rPr>
          <w:rFonts w:eastAsiaTheme="minorEastAsia"/>
          <w:lang w:eastAsia="zh-CN"/>
        </w:rPr>
        <w:tab/>
        <w:t>Anexo: Proyectos de Opinión.</w:t>
      </w:r>
    </w:p>
    <w:p w14:paraId="40E8DC86" w14:textId="77777777" w:rsidR="00081E04" w:rsidRPr="0052117D" w:rsidRDefault="00081E04" w:rsidP="003F5F9B">
      <w:pPr>
        <w:pStyle w:val="Heading1"/>
      </w:pPr>
      <w:r w:rsidRPr="0052117D">
        <w:t>4</w:t>
      </w:r>
      <w:r w:rsidRPr="0052117D">
        <w:tab/>
        <w:t>La reducción de las brechas digitales, en particular las relativas al género y la edad, así como a las competencias y la conectividad</w:t>
      </w:r>
    </w:p>
    <w:p w14:paraId="4060CEC1" w14:textId="77777777" w:rsidR="00081E04" w:rsidRPr="0052117D" w:rsidRDefault="00081E04" w:rsidP="00081E04">
      <w:pPr>
        <w:jc w:val="both"/>
        <w:rPr>
          <w:rFonts w:asciiTheme="minorHAnsi" w:eastAsiaTheme="minorEastAsia" w:hAnsiTheme="minorHAnsi" w:cstheme="minorBidi"/>
          <w:sz w:val="22"/>
          <w:szCs w:val="22"/>
          <w:lang w:eastAsia="zh-CN"/>
        </w:rPr>
      </w:pPr>
      <w:r w:rsidRPr="0052117D">
        <w:rPr>
          <w:rFonts w:asciiTheme="minorHAnsi" w:eastAsiaTheme="minorEastAsia" w:hAnsiTheme="minorHAnsi" w:cstheme="minorBidi"/>
          <w:spacing w:val="-4"/>
          <w:szCs w:val="24"/>
          <w:lang w:eastAsia="zh-CN"/>
        </w:rPr>
        <w:t>4.1</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noProof/>
          <w:szCs w:val="24"/>
          <w:lang w:val="en-US"/>
        </w:rPr>
        <mc:AlternateContent>
          <mc:Choice Requires="wps">
            <w:drawing>
              <wp:anchor distT="0" distB="0" distL="114300" distR="114300" simplePos="0" relativeHeight="251661312" behindDoc="0" locked="1" layoutInCell="1" allowOverlap="1" wp14:anchorId="2D9A239D" wp14:editId="0D5518DA">
                <wp:simplePos x="0" y="0"/>
                <wp:positionH relativeFrom="column">
                  <wp:posOffset>3636645</wp:posOffset>
                </wp:positionH>
                <wp:positionV relativeFrom="page">
                  <wp:posOffset>4790440</wp:posOffset>
                </wp:positionV>
                <wp:extent cx="2496185" cy="4468495"/>
                <wp:effectExtent l="0" t="0" r="18415" b="27305"/>
                <wp:wrapSquare wrapText="bothSides"/>
                <wp:docPr id="1228272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4468495"/>
                        </a:xfrm>
                        <a:prstGeom prst="rect">
                          <a:avLst/>
                        </a:prstGeom>
                        <a:solidFill>
                          <a:srgbClr val="FFFFFF"/>
                        </a:solidFill>
                        <a:ln w="12700">
                          <a:solidFill>
                            <a:srgbClr val="4F81BD">
                              <a:lumMod val="75000"/>
                            </a:srgbClr>
                          </a:solidFill>
                          <a:miter lim="800000"/>
                          <a:headEnd/>
                          <a:tailEnd/>
                        </a:ln>
                      </wps:spPr>
                      <wps:txbx>
                        <w:txbxContent>
                          <w:p w14:paraId="28A8B972" w14:textId="77777777" w:rsidR="00387BBE" w:rsidRPr="00494741" w:rsidRDefault="00387BBE" w:rsidP="00081E04">
                            <w:pPr>
                              <w:rPr>
                                <w:color w:val="4F81BD" w:themeColor="accent1"/>
                                <w:sz w:val="22"/>
                              </w:rPr>
                            </w:pPr>
                            <w:r w:rsidRPr="00494741">
                              <w:rPr>
                                <w:color w:val="4F81BD" w:themeColor="accent1"/>
                                <w:sz w:val="22"/>
                              </w:rPr>
                              <w:t>Panorama general de la brecha digital:</w:t>
                            </w:r>
                          </w:p>
                          <w:p w14:paraId="6BDF25FA" w14:textId="77777777" w:rsidR="00387BBE" w:rsidRPr="002A5519" w:rsidRDefault="00387BBE" w:rsidP="00081E04">
                            <w:pPr>
                              <w:pStyle w:val="enumlev1"/>
                              <w:ind w:left="284" w:hanging="284"/>
                              <w:rPr>
                                <w:sz w:val="22"/>
                                <w:szCs w:val="18"/>
                              </w:rPr>
                            </w:pPr>
                            <w:r w:rsidRPr="002A5519">
                              <w:rPr>
                                <w:sz w:val="22"/>
                                <w:szCs w:val="18"/>
                              </w:rPr>
                              <w:t>•</w:t>
                            </w:r>
                            <w:r>
                              <w:rPr>
                                <w:sz w:val="22"/>
                                <w:szCs w:val="18"/>
                              </w:rPr>
                              <w:tab/>
                            </w:r>
                            <w:r w:rsidRPr="002A5519">
                              <w:rPr>
                                <w:sz w:val="22"/>
                                <w:szCs w:val="18"/>
                              </w:rPr>
                              <w:t>Aproximadamente el 74 % de la población mundial (6 000 millones de personas) está actualmente conectada, mientras que 2 200 millones de personas (el 26 % de la población mundial) siguen sin conexión.</w:t>
                            </w:r>
                          </w:p>
                          <w:p w14:paraId="6AC0CDF2" w14:textId="77777777" w:rsidR="00387BBE" w:rsidRPr="002A5519" w:rsidRDefault="00387BBE" w:rsidP="00081E04">
                            <w:pPr>
                              <w:pStyle w:val="enumlev1"/>
                              <w:ind w:left="284" w:hanging="284"/>
                              <w:rPr>
                                <w:sz w:val="22"/>
                                <w:szCs w:val="18"/>
                              </w:rPr>
                            </w:pPr>
                            <w:r w:rsidRPr="002A5519">
                              <w:rPr>
                                <w:sz w:val="22"/>
                                <w:szCs w:val="18"/>
                              </w:rPr>
                              <w:t>•</w:t>
                            </w:r>
                            <w:r>
                              <w:rPr>
                                <w:sz w:val="22"/>
                                <w:szCs w:val="18"/>
                              </w:rPr>
                              <w:tab/>
                            </w:r>
                            <w:r w:rsidRPr="002A5519">
                              <w:rPr>
                                <w:sz w:val="22"/>
                                <w:szCs w:val="18"/>
                              </w:rPr>
                              <w:t>En los países de ingresos altos, el 94 % de la población utiliza Internet, mientras que en los países de ingresos bajos solo lo hace el 23 %.</w:t>
                            </w:r>
                          </w:p>
                          <w:p w14:paraId="01A9ACF0" w14:textId="77777777" w:rsidR="00387BBE" w:rsidRPr="002A5519" w:rsidRDefault="00387BBE" w:rsidP="00081E04">
                            <w:pPr>
                              <w:pStyle w:val="enumlev1"/>
                              <w:ind w:left="284" w:hanging="284"/>
                            </w:pPr>
                            <w:r w:rsidRPr="002A5519">
                              <w:rPr>
                                <w:sz w:val="22"/>
                                <w:szCs w:val="18"/>
                              </w:rPr>
                              <w:t>•</w:t>
                            </w:r>
                            <w:r>
                              <w:rPr>
                                <w:sz w:val="22"/>
                                <w:szCs w:val="18"/>
                              </w:rPr>
                              <w:tab/>
                            </w:r>
                            <w:r w:rsidRPr="002A5519">
                              <w:rPr>
                                <w:sz w:val="22"/>
                                <w:szCs w:val="18"/>
                              </w:rPr>
                              <w:t>En los países en desarrollo, la probabilidad de que las mujeres utilicen Internet es un 15 % menor que en el caso de los hombres, lo que pone de manifiesto la persistencia de disparidades de género en el acceso a las tecnologías digitales y su utilización.</w:t>
                            </w:r>
                          </w:p>
                          <w:p w14:paraId="655C1581" w14:textId="77777777" w:rsidR="00387BBE" w:rsidRPr="00494741" w:rsidRDefault="00387BBE" w:rsidP="00081E04">
                            <w:pPr>
                              <w:spacing w:before="240"/>
                              <w:jc w:val="both"/>
                              <w:rPr>
                                <w:sz w:val="22"/>
                              </w:rPr>
                            </w:pPr>
                            <w:r w:rsidRPr="00494741">
                              <w:rPr>
                                <w:i/>
                                <w:iCs/>
                                <w:sz w:val="18"/>
                                <w:szCs w:val="18"/>
                              </w:rPr>
                              <w:t xml:space="preserve">Fuente: Unión Internacional de Telecomunicaciones, </w:t>
                            </w:r>
                            <w:r w:rsidRPr="00494741">
                              <w:rPr>
                                <w:i/>
                                <w:iCs/>
                                <w:sz w:val="18"/>
                                <w:szCs w:val="18"/>
                              </w:rPr>
                              <w:fldChar w:fldCharType="begin"/>
                            </w:r>
                            <w:r w:rsidRPr="00494741">
                              <w:rPr>
                                <w:i/>
                                <w:iCs/>
                                <w:sz w:val="18"/>
                                <w:szCs w:val="18"/>
                              </w:rPr>
                              <w:instrText xml:space="preserve"> ADDIN ZOTERO_ITEM CSL_CITATION {"citationID":"g01ywZ5a","properties":{"formattedCitation":"\\uc0\\u8220{}Facts and Figures 2023 - Report Index,\\uc0\\u8221{} accessed October 28, 2024, https://www.itu.int/itu-d/reports/statistics/facts-figures-2023/index.","plainCitation":"“Facts and Figures 2023 - Report Index,” accessed October 28, 2024, https://www.itu.int/itu-d/reports/statistics/facts-figures-2023/index.","noteIndex":1},"citationItems":[{"id":173,"uris":["http://zotero.org/users/5581816/items/HZM7KU95"],"itemData":{"id":173,"type":"webpage","abstract":"ITU’s Measuring digital development: Facts and Figures 2022 offers a snapshot of the most important ICT indicators, including estimates for the current year.","language":"en","title":"Facts and Figures 2023 - Report index","URL":"https://www.itu.int/itu-d/reports/statistics/facts-figures-2023/index","accessed":{"date-parts":[["2024",10,28]]}}}],"schema":"https://github.com/citation-style-language/schema/raw/master/csl-citation.json"} </w:instrText>
                            </w:r>
                            <w:r w:rsidRPr="00494741">
                              <w:rPr>
                                <w:i/>
                                <w:iCs/>
                                <w:sz w:val="18"/>
                                <w:szCs w:val="18"/>
                              </w:rPr>
                              <w:fldChar w:fldCharType="separate"/>
                            </w:r>
                            <w:r>
                              <w:rPr>
                                <w:rFonts w:cs="Calibri"/>
                                <w:i/>
                                <w:iCs/>
                                <w:sz w:val="18"/>
                                <w:szCs w:val="18"/>
                              </w:rPr>
                              <w:t>"</w:t>
                            </w:r>
                            <w:r w:rsidRPr="00494741">
                              <w:rPr>
                                <w:rFonts w:cs="Calibri"/>
                                <w:i/>
                                <w:iCs/>
                                <w:sz w:val="18"/>
                                <w:szCs w:val="18"/>
                              </w:rPr>
                              <w:t>Facts and Figures 2025 – Report Index</w:t>
                            </w:r>
                            <w:r>
                              <w:rPr>
                                <w:rFonts w:cs="Calibri"/>
                                <w:i/>
                                <w:iCs/>
                                <w:sz w:val="18"/>
                                <w:szCs w:val="18"/>
                              </w:rPr>
                              <w:t>"</w:t>
                            </w:r>
                            <w:r w:rsidRPr="00494741">
                              <w:rPr>
                                <w:rFonts w:cs="Calibri"/>
                                <w:i/>
                                <w:iCs/>
                                <w:sz w:val="18"/>
                                <w:szCs w:val="18"/>
                              </w:rPr>
                              <w:t xml:space="preserve"> (Datos y cifras 2025 – Índice del informe) </w:t>
                            </w:r>
                            <w:r w:rsidRPr="00494741">
                              <w:rPr>
                                <w:i/>
                                <w:iCs/>
                                <w:sz w:val="18"/>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9A239D" id="_x0000_t202" coordsize="21600,21600" o:spt="202" path="m,l,21600r21600,l21600,xe">
                <v:stroke joinstyle="miter"/>
                <v:path gradientshapeok="t" o:connecttype="rect"/>
              </v:shapetype>
              <v:shape id="_x0000_s1026" type="#_x0000_t202" style="position:absolute;left:0;text-align:left;margin-left:286.35pt;margin-top:377.2pt;width:196.55pt;height:35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" strokecolor="#376092" strokeweight="1pt">
                <v:textbox>
                  <w:txbxContent>
                    <w:p w14:paraId="28A8B972" w14:textId="77777777" w:rsidR="00387BBE" w:rsidRPr="00494741" w:rsidRDefault="00387BBE" w:rsidP="00081E04">
                      <w:pPr>
                        <w:rPr>
                          <w:color w:val="4F81BD" w:themeColor="accent1"/>
                          <w:sz w:val="22"/>
                        </w:rPr>
                      </w:pPr>
                      <w:r w:rsidRPr="00494741">
                        <w:rPr>
                          <w:color w:val="4F81BD" w:themeColor="accent1"/>
                          <w:sz w:val="22"/>
                        </w:rPr>
                        <w:t>Panorama general de la brecha digital:</w:t>
                      </w:r>
                    </w:p>
                    <w:p w14:paraId="6BDF25FA" w14:textId="77777777" w:rsidR="00387BBE" w:rsidRPr="002A5519" w:rsidRDefault="00387BBE" w:rsidP="00081E04">
                      <w:pPr>
                        <w:pStyle w:val="enumlev1"/>
                        <w:ind w:left="284" w:hanging="284"/>
                        <w:rPr>
                          <w:sz w:val="22"/>
                          <w:szCs w:val="18"/>
                        </w:rPr>
                      </w:pPr>
                      <w:r w:rsidRPr="002A5519">
                        <w:rPr>
                          <w:sz w:val="22"/>
                          <w:szCs w:val="18"/>
                        </w:rPr>
                        <w:t>•</w:t>
                      </w:r>
                      <w:r>
                        <w:rPr>
                          <w:sz w:val="22"/>
                          <w:szCs w:val="18"/>
                        </w:rPr>
                        <w:tab/>
                      </w:r>
                      <w:r w:rsidRPr="002A5519">
                        <w:rPr>
                          <w:sz w:val="22"/>
                          <w:szCs w:val="18"/>
                        </w:rPr>
                        <w:t>Aproximadamente el 74 % de la población mundial (6 000 millones de personas) está actualmente conectada, mientras que 2 200 millones de personas (el 26 % de la población mundial) siguen sin conexión.</w:t>
                      </w:r>
                    </w:p>
                    <w:p w14:paraId="6AC0CDF2" w14:textId="77777777" w:rsidR="00387BBE" w:rsidRPr="002A5519" w:rsidRDefault="00387BBE" w:rsidP="00081E04">
                      <w:pPr>
                        <w:pStyle w:val="enumlev1"/>
                        <w:ind w:left="284" w:hanging="284"/>
                        <w:rPr>
                          <w:sz w:val="22"/>
                          <w:szCs w:val="18"/>
                        </w:rPr>
                      </w:pPr>
                      <w:r w:rsidRPr="002A5519">
                        <w:rPr>
                          <w:sz w:val="22"/>
                          <w:szCs w:val="18"/>
                        </w:rPr>
                        <w:t>•</w:t>
                      </w:r>
                      <w:r>
                        <w:rPr>
                          <w:sz w:val="22"/>
                          <w:szCs w:val="18"/>
                        </w:rPr>
                        <w:tab/>
                      </w:r>
                      <w:r w:rsidRPr="002A5519">
                        <w:rPr>
                          <w:sz w:val="22"/>
                          <w:szCs w:val="18"/>
                        </w:rPr>
                        <w:t>En los países de ingresos altos, el 94 % de la población utiliza Internet, mientras que en los países de ingresos bajos solo lo hace el 23 %.</w:t>
                      </w:r>
                    </w:p>
                    <w:p w14:paraId="01A9ACF0" w14:textId="77777777" w:rsidR="00387BBE" w:rsidRPr="002A5519" w:rsidRDefault="00387BBE" w:rsidP="00081E04">
                      <w:pPr>
                        <w:pStyle w:val="enumlev1"/>
                        <w:ind w:left="284" w:hanging="284"/>
                      </w:pPr>
                      <w:r w:rsidRPr="002A5519">
                        <w:rPr>
                          <w:sz w:val="22"/>
                          <w:szCs w:val="18"/>
                        </w:rPr>
                        <w:t>•</w:t>
                      </w:r>
                      <w:r>
                        <w:rPr>
                          <w:sz w:val="22"/>
                          <w:szCs w:val="18"/>
                        </w:rPr>
                        <w:tab/>
                      </w:r>
                      <w:r w:rsidRPr="002A5519">
                        <w:rPr>
                          <w:sz w:val="22"/>
                          <w:szCs w:val="18"/>
                        </w:rPr>
                        <w:t>En los países en desarrollo, la probabilidad de que las mujeres utilicen Internet es un 15 % menor que en el caso de los hombres, lo que pone de manifiesto la persistencia de disparidades de género en el acceso a las tecnologías digitales y su utilización.</w:t>
                      </w:r>
                    </w:p>
                    <w:p w14:paraId="655C1581" w14:textId="77777777" w:rsidR="00387BBE" w:rsidRPr="00494741" w:rsidRDefault="00387BBE" w:rsidP="00081E04">
                      <w:pPr>
                        <w:spacing w:before="240"/>
                        <w:jc w:val="both"/>
                        <w:rPr>
                          <w:sz w:val="22"/>
                        </w:rPr>
                      </w:pPr>
                      <w:r w:rsidRPr="00494741">
                        <w:rPr>
                          <w:i/>
                          <w:iCs/>
                          <w:sz w:val="18"/>
                          <w:szCs w:val="18"/>
                        </w:rPr>
                        <w:t xml:space="preserve">Fuente: Unión Internacional de Telecomunicaciones, </w:t>
                      </w:r>
                      <w:r w:rsidRPr="00494741">
                        <w:rPr>
                          <w:i/>
                          <w:iCs/>
                          <w:sz w:val="18"/>
                          <w:szCs w:val="18"/>
                        </w:rPr>
                        <w:fldChar w:fldCharType="begin"/>
                      </w:r>
                      <w:r w:rsidRPr="00494741">
                        <w:rPr>
                          <w:i/>
                          <w:iCs/>
                          <w:sz w:val="18"/>
                          <w:szCs w:val="18"/>
                        </w:rPr>
                        <w:instrText xml:space="preserve"> ADDIN ZOTERO_ITEM CSL_CITATION {"citationID":"g01ywZ5a","properties":{"formattedCitation":"\\uc0\\u8220{}Facts and Figures 2023 - Report Index,\\uc0\\u8221{} accessed October 28, 2024, https://www.itu.int/itu-d/reports/statistics/facts-figures-2023/index.","plainCitation":"“Facts and Figures 2023 - Report Index,” accessed October 28, 2024, https://www.itu.int/itu-d/reports/statistics/facts-figures-2023/index.","noteIndex":1},"citationItems":[{"id":173,"uris":["http://zotero.org/users/5581816/items/HZM7KU95"],"itemData":{"id":173,"type":"webpage","abstract":"ITU’s Measuring digital development: Facts and Figures 2022 offers a snapshot of the most important ICT indicators, including estimates for the current year.","language":"en","title":"Facts and Figures 2023 - Report index","URL":"https://www.itu.int/itu-d/reports/statistics/facts-figures-2023/index","accessed":{"date-parts":[["2024",10,28]]}}}],"schema":"https://github.com/citation-style-language/schema/raw/master/csl-citation.json"} </w:instrText>
                      </w:r>
                      <w:r w:rsidRPr="00494741">
                        <w:rPr>
                          <w:i/>
                          <w:iCs/>
                          <w:sz w:val="18"/>
                          <w:szCs w:val="18"/>
                        </w:rPr>
                        <w:fldChar w:fldCharType="separate"/>
                      </w:r>
                      <w:r>
                        <w:rPr>
                          <w:rFonts w:cs="Calibri"/>
                          <w:i/>
                          <w:iCs/>
                          <w:sz w:val="18"/>
                          <w:szCs w:val="18"/>
                        </w:rPr>
                        <w:t>"</w:t>
                      </w:r>
                      <w:r w:rsidRPr="00494741">
                        <w:rPr>
                          <w:rFonts w:cs="Calibri"/>
                          <w:i/>
                          <w:iCs/>
                          <w:sz w:val="18"/>
                          <w:szCs w:val="18"/>
                        </w:rPr>
                        <w:t>Facts and Figures 2025 – Report Index</w:t>
                      </w:r>
                      <w:r>
                        <w:rPr>
                          <w:rFonts w:cs="Calibri"/>
                          <w:i/>
                          <w:iCs/>
                          <w:sz w:val="18"/>
                          <w:szCs w:val="18"/>
                        </w:rPr>
                        <w:t>"</w:t>
                      </w:r>
                      <w:r w:rsidRPr="00494741">
                        <w:rPr>
                          <w:rFonts w:cs="Calibri"/>
                          <w:i/>
                          <w:iCs/>
                          <w:sz w:val="18"/>
                          <w:szCs w:val="18"/>
                        </w:rPr>
                        <w:t xml:space="preserve"> (Datos y cifras 2025 – Índice del informe) </w:t>
                      </w:r>
                      <w:r w:rsidRPr="00494741">
                        <w:rPr>
                          <w:i/>
                          <w:iCs/>
                          <w:sz w:val="18"/>
                          <w:szCs w:val="18"/>
                        </w:rPr>
                        <w:fldChar w:fldCharType="end"/>
                      </w:r>
                    </w:p>
                  </w:txbxContent>
                </v:textbox>
                <w10:wrap type="square" anchory="page"/>
                <w10:anchorlock/>
              </v:shape>
            </w:pict>
          </mc:Fallback>
        </mc:AlternateContent>
      </w:r>
      <w:r w:rsidRPr="0052117D">
        <w:rPr>
          <w:rFonts w:asciiTheme="minorHAnsi" w:eastAsiaTheme="minorEastAsia" w:hAnsiTheme="minorHAnsi" w:cstheme="minorBidi"/>
          <w:szCs w:val="24"/>
          <w:lang w:eastAsia="zh-CN"/>
        </w:rPr>
        <w:t xml:space="preserve">En anteriores ediciones del FMPT se reconoció que la reducción de las brechas digitales exige un compromiso sostenido y la colaboración entre múltiples partes interesadas. Las brechas digitales actuales son más complejas y polifacéticas que nunca, y abarcan no solo las carencias de conectividad, sino también disparidades fundamentales en materia de competencias digitales, obstáculos relacionados con la edad y exclusión por razón de género. El concepto de conectividad universal y significativa (CUS), desarrollado en el marco de la labor de la UIT con el Grupo de Trabajo sobre Economía Digital del </w:t>
      </w:r>
      <w:proofErr w:type="spellStart"/>
      <w:r w:rsidRPr="0052117D">
        <w:rPr>
          <w:rFonts w:asciiTheme="minorHAnsi" w:eastAsiaTheme="minorEastAsia" w:hAnsiTheme="minorHAnsi" w:cstheme="minorBidi"/>
          <w:szCs w:val="24"/>
          <w:lang w:eastAsia="zh-CN"/>
        </w:rPr>
        <w:t>G20</w:t>
      </w:r>
      <w:proofErr w:type="spellEnd"/>
      <w:r w:rsidRPr="0052117D">
        <w:rPr>
          <w:rFonts w:asciiTheme="minorHAnsi" w:eastAsiaTheme="minorEastAsia" w:hAnsiTheme="minorHAnsi" w:cstheme="minorBidi"/>
          <w:szCs w:val="24"/>
          <w:lang w:eastAsia="zh-CN"/>
        </w:rPr>
        <w:t xml:space="preserve"> de 2024, proporciona un marco integral para hacer frente a estos retos interrelacionados.</w:t>
      </w:r>
    </w:p>
    <w:p w14:paraId="5CE8A64A"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4.2</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El logro de la inclusión digital universal exige una doble atención a la ampliación del alcance de las infraestructuras y al desarrollo de las capacidades digitales. Sigue siendo prioritario garantizar que las comunidades rurales, remotas y marginadas dispongan de acceso a una conectividad asequible, fiable y significativa (que abarque tanto la calidad de servicio como la pertinencia de los contenidos), y al mismo tiempo reconocer que el acceso debe complementarse con el desarrollo de </w:t>
      </w:r>
      <w:r w:rsidRPr="0052117D">
        <w:rPr>
          <w:rFonts w:eastAsiaTheme="minorEastAsia"/>
          <w:szCs w:val="24"/>
          <w:lang w:eastAsia="zh-CN"/>
        </w:rPr>
        <w:t>competencias</w:t>
      </w:r>
      <w:r w:rsidRPr="0052117D">
        <w:rPr>
          <w:rFonts w:asciiTheme="minorHAnsi" w:eastAsiaTheme="minorEastAsia" w:hAnsiTheme="minorHAnsi" w:cstheme="minorBidi"/>
          <w:szCs w:val="24"/>
          <w:lang w:eastAsia="zh-CN"/>
        </w:rPr>
        <w:t>. La alfabetización, las aptitudes y las competencias digitales constituyen el puente entre la conectividad y la utilización significativa, pues permiten a toda la población participar activamente en las oportunidades digitales que ofrecen los servicios en línea, la educación, la sanidad y la gobernanza, y facilitan la participación económica. Este enfoque integral dota a las generaciones de más edad de la confianza necesaria para desenvolverse en los espacios digitales, permite a los jóvenes configurar activamente el futuro digital y garantiza que las mujeres y las niñas dispongan de igualdad de oportunidades para participar en el mundo digital. Dado que la rápida evolución de la tecnología exige un perfeccionamiento continuo de las competencias, es fundamental integrar la alfabetización digital en los sistemas educativos y fomentar asociaciones entre los gobiernos, la industria y la sociedad civil, a fin de formar poblaciones digitalmente capacitadas y resilientes.</w:t>
      </w:r>
    </w:p>
    <w:p w14:paraId="64405F77"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lastRenderedPageBreak/>
        <w:t>4.3</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Esta comprensión multidimensional de las brechas digitales, fundamentada en el marco de la conectividad universal y significativa, pone de relieve que el logro de una verdadera inclusión digital exige un enfoque holístico. En ella se subraya la importancia de las estrategias con perspectiva de género, de las oportunidades de aprendizaje colaborativo y del fomento de una participación significativa, con miras a dotar de autonomía a todas las personas en el ecosistema digital.</w:t>
      </w:r>
    </w:p>
    <w:p w14:paraId="149B385E"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4.4</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La brecha de competencias digitales constituye un reto especialmente acuciante, puesto que el avance tecnológico sigue superando el ritmo de desarrollo de las competencias en numerosas comunidades. Esta situación resulta particularmente aguda entre las personas que viven en comunidades rurales y remotas, los grupos marginados y las poblaciones de más edad, que pueden enfrentarse a múltiples obstáculos para la adopción de las tecnologías digitales. Asimismo, la persistencia de las brechas de género, tanto en el acceso como en el desarrollo de competencias, sigue limitando la participación de las mujeres y las niñas en la economía digital y su acceso a los servicios públicos, la educación y otras oportunidades digitales, en particular en los países en desarrollo.</w:t>
      </w:r>
    </w:p>
    <w:p w14:paraId="21CE235A" w14:textId="77777777" w:rsidR="00081E04" w:rsidRPr="0052117D" w:rsidRDefault="00081E04" w:rsidP="00081E04">
      <w:pPr>
        <w:jc w:val="both"/>
        <w:rPr>
          <w:rFonts w:asciiTheme="minorHAnsi" w:eastAsiaTheme="minorEastAsia" w:hAnsiTheme="minorHAnsi" w:cstheme="minorBidi"/>
          <w:sz w:val="22"/>
          <w:szCs w:val="22"/>
          <w:lang w:eastAsia="zh-CN"/>
        </w:rPr>
      </w:pPr>
      <w:r w:rsidRPr="0052117D">
        <w:rPr>
          <w:rFonts w:asciiTheme="minorHAnsi" w:eastAsiaTheme="minorEastAsia" w:hAnsiTheme="minorHAnsi" w:cstheme="minorBidi"/>
          <w:spacing w:val="-4"/>
          <w:szCs w:val="24"/>
          <w:lang w:eastAsia="zh-CN"/>
        </w:rPr>
        <w:t>4.5</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El rápido desarrollo de los servicios y tecnologías de telecomunicaciones/TIC nuevos e incipientes, en particular la inteligencia artificial, plantea nuevos retos para la reducción de las brechas digitales. Las nuevas carencias en el acceso a dichas tecnologías y en su utilización cobran cada vez mayor relieve, especialmente en los países en desarrollo, lo que </w:t>
      </w:r>
      <w:r w:rsidRPr="0052117D">
        <w:rPr>
          <w:rFonts w:eastAsiaTheme="minorEastAsia"/>
          <w:szCs w:val="24"/>
          <w:lang w:eastAsia="zh-CN"/>
        </w:rPr>
        <w:t>pone de manifiesto</w:t>
      </w:r>
      <w:r w:rsidRPr="0052117D">
        <w:rPr>
          <w:rFonts w:asciiTheme="minorHAnsi" w:eastAsiaTheme="minorEastAsia" w:hAnsiTheme="minorHAnsi" w:cstheme="minorBidi"/>
          <w:szCs w:val="24"/>
          <w:lang w:eastAsia="zh-CN"/>
        </w:rPr>
        <w:t xml:space="preserve"> la necesidad de intensificar la cooperación internacional en materia de creación de capacidad en este ámbito.</w:t>
      </w:r>
    </w:p>
    <w:p w14:paraId="7C2EE5D2" w14:textId="465DED81" w:rsidR="00081E04"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4.6</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Es preciso que todas las partes interesadas pertinentes —los gobiernos, el sector privado, las instituciones de enseñanza y formación, las organizaciones </w:t>
      </w:r>
      <w:r w:rsidRPr="0052117D">
        <w:rPr>
          <w:rFonts w:eastAsiaTheme="minorEastAsia"/>
          <w:szCs w:val="24"/>
          <w:lang w:eastAsia="zh-CN"/>
        </w:rPr>
        <w:t>internacionales</w:t>
      </w:r>
      <w:r w:rsidRPr="0052117D">
        <w:rPr>
          <w:rFonts w:asciiTheme="minorHAnsi" w:eastAsiaTheme="minorEastAsia" w:hAnsiTheme="minorHAnsi" w:cstheme="minorBidi"/>
          <w:szCs w:val="24"/>
          <w:lang w:eastAsia="zh-CN"/>
        </w:rPr>
        <w:t xml:space="preserve"> y la sociedad civil— adopten medidas urgentes para colmar la brecha mundial de competencias digitales.</w:t>
      </w:r>
    </w:p>
    <w:p w14:paraId="561C55A2" w14:textId="7D4CDFAE" w:rsidR="00282C98" w:rsidRDefault="00282C98" w:rsidP="00282C98">
      <w:pPr>
        <w:jc w:val="center"/>
        <w:rPr>
          <w:rFonts w:asciiTheme="minorHAnsi" w:eastAsiaTheme="minorEastAsia" w:hAnsiTheme="minorHAnsi" w:cstheme="minorBidi"/>
          <w:szCs w:val="24"/>
          <w:lang w:eastAsia="zh-CN"/>
        </w:rPr>
      </w:pPr>
      <w:r w:rsidRPr="0052117D">
        <w:rPr>
          <w:rFonts w:asciiTheme="minorHAnsi" w:eastAsiaTheme="minorEastAsia" w:hAnsiTheme="minorHAnsi" w:cstheme="minorBidi"/>
          <w:noProof/>
          <w:szCs w:val="24"/>
          <w:lang w:val="en-US"/>
        </w:rPr>
        <mc:AlternateContent>
          <mc:Choice Requires="wps">
            <w:drawing>
              <wp:inline distT="0" distB="0" distL="0" distR="0" wp14:anchorId="092E0855" wp14:editId="46024A91">
                <wp:extent cx="5577840" cy="2014855"/>
                <wp:effectExtent l="0" t="0" r="22860" b="23495"/>
                <wp:docPr id="1153658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2014855"/>
                        </a:xfrm>
                        <a:prstGeom prst="rect">
                          <a:avLst/>
                        </a:prstGeom>
                        <a:solidFill>
                          <a:srgbClr val="FFFFFF"/>
                        </a:solidFill>
                        <a:ln w="19050">
                          <a:solidFill>
                            <a:srgbClr val="4F81BD">
                              <a:lumMod val="100000"/>
                              <a:lumOff val="0"/>
                            </a:srgbClr>
                          </a:solidFill>
                          <a:miter lim="800000"/>
                          <a:headEnd/>
                          <a:tailEnd/>
                        </a:ln>
                      </wps:spPr>
                      <wps:txbx>
                        <w:txbxContent>
                          <w:p w14:paraId="434B78D1" w14:textId="77777777" w:rsidR="00282C98" w:rsidRPr="00494741" w:rsidRDefault="00282C98" w:rsidP="00282C98">
                            <w:pPr>
                              <w:rPr>
                                <w:color w:val="4F81BD" w:themeColor="accent1"/>
                                <w:sz w:val="22"/>
                              </w:rPr>
                            </w:pPr>
                            <w:r w:rsidRPr="00494741">
                              <w:rPr>
                                <w:color w:val="4F81BD" w:themeColor="accent1"/>
                                <w:sz w:val="22"/>
                              </w:rPr>
                              <w:t>Competencias digitales</w:t>
                            </w:r>
                          </w:p>
                          <w:p w14:paraId="4166BB99" w14:textId="77777777" w:rsidR="00282C98" w:rsidRPr="00494741" w:rsidRDefault="00282C98" w:rsidP="00282C98">
                            <w:pPr>
                              <w:jc w:val="both"/>
                              <w:rPr>
                                <w:sz w:val="22"/>
                              </w:rPr>
                            </w:pPr>
                            <w:r w:rsidRPr="00494741">
                              <w:rPr>
                                <w:sz w:val="22"/>
                              </w:rPr>
                              <w:t>De aquí a 2030, el 90</w:t>
                            </w:r>
                            <w:r>
                              <w:rPr>
                                <w:sz w:val="22"/>
                              </w:rPr>
                              <w:t> </w:t>
                            </w:r>
                            <w:r w:rsidRPr="00494741">
                              <w:rPr>
                                <w:sz w:val="22"/>
                              </w:rPr>
                              <w:t>% de todos los empleos exigirá algún nivel de competencias digitales, tanto competencias digitales básicas como competencias avanzadas relacionadas con la IA, el análisis de datos, la computación en la nube y la ciberseguridad; al mismo tiempo, el 75</w:t>
                            </w:r>
                            <w:r>
                              <w:rPr>
                                <w:sz w:val="22"/>
                              </w:rPr>
                              <w:t> </w:t>
                            </w:r>
                            <w:r w:rsidRPr="00494741">
                              <w:rPr>
                                <w:sz w:val="22"/>
                              </w:rPr>
                              <w:t>% de las organizaciones tiene dificultades para encontrar las competencias necesarias para adoptar tecnologías de IA y se estima que en el mercado laboral mundial faltan 7 millones de profesionales de la ciberseguridad. La demanda de competencias trasciende el ámbito técnico e incluye competencias interpersonales y transversales.</w:t>
                            </w:r>
                          </w:p>
                          <w:p w14:paraId="1D37B5F9" w14:textId="77777777" w:rsidR="00282C98" w:rsidRPr="00494741" w:rsidRDefault="00282C98" w:rsidP="00282C98">
                            <w:pPr>
                              <w:rPr>
                                <w:i/>
                                <w:iCs/>
                                <w:sz w:val="18"/>
                                <w:szCs w:val="18"/>
                              </w:rPr>
                            </w:pPr>
                            <w:r w:rsidRPr="00494741">
                              <w:rPr>
                                <w:i/>
                                <w:iCs/>
                                <w:sz w:val="18"/>
                                <w:szCs w:val="18"/>
                              </w:rPr>
                              <w:t xml:space="preserve">Fuente: Unión Internacional de Telecomunicaciones, </w:t>
                            </w:r>
                            <w:r>
                              <w:rPr>
                                <w:i/>
                                <w:iCs/>
                                <w:sz w:val="18"/>
                                <w:szCs w:val="18"/>
                              </w:rPr>
                              <w:t>"</w:t>
                            </w:r>
                            <w:hyperlink r:id="rId17" w:history="1">
                              <w:proofErr w:type="spellStart"/>
                              <w:r w:rsidRPr="005E7270">
                                <w:rPr>
                                  <w:rStyle w:val="Hyperlink"/>
                                  <w:i/>
                                  <w:iCs/>
                                  <w:sz w:val="18"/>
                                  <w:szCs w:val="18"/>
                                  <w:lang w:val="es-ES"/>
                                </w:rPr>
                                <w:t>Skills</w:t>
                              </w:r>
                              <w:proofErr w:type="spellEnd"/>
                              <w:r w:rsidRPr="005E7270">
                                <w:rPr>
                                  <w:rStyle w:val="Hyperlink"/>
                                  <w:i/>
                                  <w:iCs/>
                                  <w:sz w:val="18"/>
                                  <w:szCs w:val="18"/>
                                  <w:lang w:val="es-ES"/>
                                </w:rPr>
                                <w:t xml:space="preserve"> </w:t>
                              </w:r>
                              <w:proofErr w:type="spellStart"/>
                              <w:r w:rsidRPr="005E7270">
                                <w:rPr>
                                  <w:rStyle w:val="Hyperlink"/>
                                  <w:i/>
                                  <w:iCs/>
                                  <w:sz w:val="18"/>
                                  <w:szCs w:val="18"/>
                                  <w:lang w:val="es-ES"/>
                                </w:rPr>
                                <w:t>development</w:t>
                              </w:r>
                              <w:proofErr w:type="spellEnd"/>
                              <w:r w:rsidRPr="005E7270">
                                <w:rPr>
                                  <w:rStyle w:val="Hyperlink"/>
                                  <w:i/>
                                  <w:iCs/>
                                  <w:sz w:val="18"/>
                                  <w:szCs w:val="18"/>
                                  <w:lang w:val="es-ES"/>
                                </w:rPr>
                                <w:t xml:space="preserve"> for the digital </w:t>
                              </w:r>
                              <w:proofErr w:type="spellStart"/>
                              <w:r w:rsidRPr="005E7270">
                                <w:rPr>
                                  <w:rStyle w:val="Hyperlink"/>
                                  <w:i/>
                                  <w:iCs/>
                                  <w:sz w:val="18"/>
                                  <w:szCs w:val="18"/>
                                  <w:lang w:val="es-ES"/>
                                </w:rPr>
                                <w:t>economy</w:t>
                              </w:r>
                              <w:proofErr w:type="spellEnd"/>
                            </w:hyperlink>
                            <w:r>
                              <w:rPr>
                                <w:i/>
                                <w:iCs/>
                                <w:sz w:val="18"/>
                                <w:szCs w:val="18"/>
                              </w:rPr>
                              <w:t>"</w:t>
                            </w:r>
                            <w:r w:rsidRPr="00494741">
                              <w:rPr>
                                <w:i/>
                                <w:iCs/>
                                <w:sz w:val="18"/>
                                <w:szCs w:val="18"/>
                              </w:rPr>
                              <w:t xml:space="preserve"> (Desarrollo de competencias para la economía digital), noviembre de 2024</w:t>
                            </w:r>
                          </w:p>
                        </w:txbxContent>
                      </wps:txbx>
                      <wps:bodyPr rot="0" vert="horz" wrap="square" lIns="91440" tIns="45720" rIns="91440" bIns="45720" anchor="t" anchorCtr="0" upright="1">
                        <a:noAutofit/>
                      </wps:bodyPr>
                    </wps:wsp>
                  </a:graphicData>
                </a:graphic>
              </wp:inline>
            </w:drawing>
          </mc:Choice>
          <mc:Fallback>
            <w:pict>
              <v:shape w14:anchorId="092E0855" id="Text Box 2" o:spid="_x0000_s1027" type="#_x0000_t202" style="width:439.2pt;height:15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" strokecolor="#4f81bd" strokeweight="1.5pt">
                <v:textbox>
                  <w:txbxContent>
                    <w:p w14:paraId="434B78D1" w14:textId="77777777" w:rsidR="00282C98" w:rsidRPr="00494741" w:rsidRDefault="00282C98" w:rsidP="00282C98">
                      <w:pPr>
                        <w:rPr>
                          <w:color w:val="4F81BD" w:themeColor="accent1"/>
                          <w:sz w:val="22"/>
                        </w:rPr>
                      </w:pPr>
                      <w:r w:rsidRPr="00494741">
                        <w:rPr>
                          <w:color w:val="4F81BD" w:themeColor="accent1"/>
                          <w:sz w:val="22"/>
                        </w:rPr>
                        <w:t>Competencias digitales</w:t>
                      </w:r>
                    </w:p>
                    <w:p w14:paraId="4166BB99" w14:textId="77777777" w:rsidR="00282C98" w:rsidRPr="00494741" w:rsidRDefault="00282C98" w:rsidP="00282C98">
                      <w:pPr>
                        <w:jc w:val="both"/>
                        <w:rPr>
                          <w:sz w:val="22"/>
                        </w:rPr>
                      </w:pPr>
                      <w:r w:rsidRPr="00494741">
                        <w:rPr>
                          <w:sz w:val="22"/>
                        </w:rPr>
                        <w:t>De aquí a 2030, el 90</w:t>
                      </w:r>
                      <w:r>
                        <w:rPr>
                          <w:sz w:val="22"/>
                        </w:rPr>
                        <w:t> </w:t>
                      </w:r>
                      <w:r w:rsidRPr="00494741">
                        <w:rPr>
                          <w:sz w:val="22"/>
                        </w:rPr>
                        <w:t>% de todos los empleos exigirá algún nivel de competencias digitales, tanto competencias digitales básicas como competencias avanzadas relacionadas con la IA, el análisis de datos, la computación en la nube y la ciberseguridad; al mismo tiempo, el 75</w:t>
                      </w:r>
                      <w:r>
                        <w:rPr>
                          <w:sz w:val="22"/>
                        </w:rPr>
                        <w:t> </w:t>
                      </w:r>
                      <w:r w:rsidRPr="00494741">
                        <w:rPr>
                          <w:sz w:val="22"/>
                        </w:rPr>
                        <w:t>% de las organizaciones tiene dificultades para encontrar las competencias necesarias para adoptar tecnologías de IA y se estima que en el mercado laboral mundial faltan 7 millones de profesionales de la ciberseguridad. La demanda de competencias trasciende el ámbito técnico e incluye competencias interpersonales y transversales.</w:t>
                      </w:r>
                    </w:p>
                    <w:p w14:paraId="1D37B5F9" w14:textId="77777777" w:rsidR="00282C98" w:rsidRPr="00494741" w:rsidRDefault="00282C98" w:rsidP="00282C98">
                      <w:pPr>
                        <w:rPr>
                          <w:i/>
                          <w:iCs/>
                          <w:sz w:val="18"/>
                          <w:szCs w:val="18"/>
                        </w:rPr>
                      </w:pPr>
                      <w:r w:rsidRPr="00494741">
                        <w:rPr>
                          <w:i/>
                          <w:iCs/>
                          <w:sz w:val="18"/>
                          <w:szCs w:val="18"/>
                        </w:rPr>
                        <w:t xml:space="preserve">Fuente: Unión Internacional de Telecomunicaciones, </w:t>
                      </w:r>
                      <w:r>
                        <w:rPr>
                          <w:i/>
                          <w:iCs/>
                          <w:sz w:val="18"/>
                          <w:szCs w:val="18"/>
                        </w:rPr>
                        <w:t>"</w:t>
                      </w:r>
                      <w:hyperlink r:id="rId18" w:history="1">
                        <w:proofErr w:type="spellStart"/>
                        <w:r w:rsidRPr="005E7270">
                          <w:rPr>
                            <w:rStyle w:val="Hyperlink"/>
                            <w:i/>
                            <w:iCs/>
                            <w:sz w:val="18"/>
                            <w:szCs w:val="18"/>
                            <w:lang w:val="es-ES"/>
                          </w:rPr>
                          <w:t>Skills</w:t>
                        </w:r>
                        <w:proofErr w:type="spellEnd"/>
                        <w:r w:rsidRPr="005E7270">
                          <w:rPr>
                            <w:rStyle w:val="Hyperlink"/>
                            <w:i/>
                            <w:iCs/>
                            <w:sz w:val="18"/>
                            <w:szCs w:val="18"/>
                            <w:lang w:val="es-ES"/>
                          </w:rPr>
                          <w:t xml:space="preserve"> </w:t>
                        </w:r>
                        <w:proofErr w:type="spellStart"/>
                        <w:r w:rsidRPr="005E7270">
                          <w:rPr>
                            <w:rStyle w:val="Hyperlink"/>
                            <w:i/>
                            <w:iCs/>
                            <w:sz w:val="18"/>
                            <w:szCs w:val="18"/>
                            <w:lang w:val="es-ES"/>
                          </w:rPr>
                          <w:t>development</w:t>
                        </w:r>
                        <w:proofErr w:type="spellEnd"/>
                        <w:r w:rsidRPr="005E7270">
                          <w:rPr>
                            <w:rStyle w:val="Hyperlink"/>
                            <w:i/>
                            <w:iCs/>
                            <w:sz w:val="18"/>
                            <w:szCs w:val="18"/>
                            <w:lang w:val="es-ES"/>
                          </w:rPr>
                          <w:t xml:space="preserve"> for the digital </w:t>
                        </w:r>
                        <w:proofErr w:type="spellStart"/>
                        <w:r w:rsidRPr="005E7270">
                          <w:rPr>
                            <w:rStyle w:val="Hyperlink"/>
                            <w:i/>
                            <w:iCs/>
                            <w:sz w:val="18"/>
                            <w:szCs w:val="18"/>
                            <w:lang w:val="es-ES"/>
                          </w:rPr>
                          <w:t>economy</w:t>
                        </w:r>
                        <w:proofErr w:type="spellEnd"/>
                      </w:hyperlink>
                      <w:r>
                        <w:rPr>
                          <w:i/>
                          <w:iCs/>
                          <w:sz w:val="18"/>
                          <w:szCs w:val="18"/>
                        </w:rPr>
                        <w:t>"</w:t>
                      </w:r>
                      <w:r w:rsidRPr="00494741">
                        <w:rPr>
                          <w:i/>
                          <w:iCs/>
                          <w:sz w:val="18"/>
                          <w:szCs w:val="18"/>
                        </w:rPr>
                        <w:t xml:space="preserve"> (Desarrollo de competencias para la economía digital), noviembre de 2024</w:t>
                      </w:r>
                    </w:p>
                  </w:txbxContent>
                </v:textbox>
                <w10:anchorlock/>
              </v:shape>
            </w:pict>
          </mc:Fallback>
        </mc:AlternateContent>
      </w:r>
    </w:p>
    <w:p w14:paraId="63AF6FEF" w14:textId="39419E75" w:rsidR="00282C98" w:rsidRPr="0052117D" w:rsidRDefault="00282C98" w:rsidP="00282C98">
      <w:pPr>
        <w:jc w:val="center"/>
        <w:rPr>
          <w:rFonts w:asciiTheme="minorHAnsi" w:eastAsiaTheme="minorEastAsia" w:hAnsiTheme="minorHAnsi" w:cstheme="minorBidi"/>
          <w:szCs w:val="24"/>
          <w:lang w:eastAsia="zh-CN"/>
        </w:rPr>
      </w:pPr>
      <w:r w:rsidRPr="0052117D">
        <w:rPr>
          <w:rFonts w:asciiTheme="minorHAnsi" w:eastAsiaTheme="minorEastAsia" w:hAnsiTheme="minorHAnsi" w:cstheme="minorBidi"/>
          <w:noProof/>
          <w:szCs w:val="24"/>
          <w:lang w:val="en-US"/>
        </w:rPr>
        <w:lastRenderedPageBreak/>
        <mc:AlternateContent>
          <mc:Choice Requires="wps">
            <w:drawing>
              <wp:inline distT="0" distB="0" distL="0" distR="0" wp14:anchorId="2568C3C6" wp14:editId="3F2B5188">
                <wp:extent cx="5577840" cy="3776353"/>
                <wp:effectExtent l="0" t="0" r="22860" b="14605"/>
                <wp:docPr id="165659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3776353"/>
                        </a:xfrm>
                        <a:prstGeom prst="rect">
                          <a:avLst/>
                        </a:prstGeom>
                        <a:solidFill>
                          <a:srgbClr val="FFFFFF"/>
                        </a:solidFill>
                        <a:ln w="19050">
                          <a:solidFill>
                            <a:srgbClr val="9BBB59"/>
                          </a:solidFill>
                          <a:miter lim="800000"/>
                          <a:headEnd/>
                          <a:tailEnd/>
                        </a:ln>
                      </wps:spPr>
                      <wps:txbx>
                        <w:txbxContent>
                          <w:p w14:paraId="39C025B0" w14:textId="77777777" w:rsidR="00282C98" w:rsidRPr="00494741" w:rsidRDefault="00282C98" w:rsidP="00282C98">
                            <w:pPr>
                              <w:rPr>
                                <w:color w:val="9BBB59" w:themeColor="accent3"/>
                                <w:sz w:val="22"/>
                              </w:rPr>
                            </w:pPr>
                            <w:r w:rsidRPr="00494741">
                              <w:rPr>
                                <w:color w:val="9BBB59" w:themeColor="accent3"/>
                                <w:sz w:val="22"/>
                              </w:rPr>
                              <w:t xml:space="preserve">Estudio de caso: Conjunto de herramientas </w:t>
                            </w:r>
                            <w:r>
                              <w:rPr>
                                <w:color w:val="9BBB59" w:themeColor="accent3"/>
                                <w:sz w:val="22"/>
                              </w:rPr>
                              <w:t>para las habilidades</w:t>
                            </w:r>
                            <w:r w:rsidRPr="00494741">
                              <w:rPr>
                                <w:color w:val="9BBB59" w:themeColor="accent3"/>
                                <w:sz w:val="22"/>
                              </w:rPr>
                              <w:t xml:space="preserve"> digitales y Coalición para las Competencias en materia de IA</w:t>
                            </w:r>
                          </w:p>
                          <w:p w14:paraId="1B729CD8" w14:textId="77777777" w:rsidR="00282C98" w:rsidRPr="00494741" w:rsidRDefault="00282C98" w:rsidP="00282C98">
                            <w:pPr>
                              <w:jc w:val="both"/>
                              <w:rPr>
                                <w:sz w:val="22"/>
                              </w:rPr>
                            </w:pPr>
                            <w:r w:rsidRPr="00494741">
                              <w:rPr>
                                <w:sz w:val="22"/>
                              </w:rPr>
                              <w:t xml:space="preserve">El </w:t>
                            </w:r>
                            <w:hyperlink r:id="rId19" w:history="1">
                              <w:r w:rsidRPr="00AA3143">
                                <w:rPr>
                                  <w:rStyle w:val="Hyperlink"/>
                                  <w:sz w:val="22"/>
                                </w:rPr>
                                <w:t>Conjunto de herramientas para las habilidades digitales de 2024</w:t>
                              </w:r>
                            </w:hyperlink>
                            <w:r>
                              <w:rPr>
                                <w:rStyle w:val="Hyperlink"/>
                                <w:sz w:val="22"/>
                              </w:rPr>
                              <w:t xml:space="preserve"> </w:t>
                            </w:r>
                            <w:r w:rsidRPr="00494741">
                              <w:rPr>
                                <w:sz w:val="22"/>
                              </w:rPr>
                              <w:t>de la UIT ofrece una guía exhaustiva y detallada para ayudar a los Miembros de la UIT a elaborar estrategias y políticas nacionales eficaces en materia de competencias digitales. Este recurso práctico proporciona ideas y ejemplos aplicables, lo que lo convierte en una herramienta valiosa para países que se encuentran en cualquier fase de desarrollo digital. En esencia, ofrece una hoja de ruta concreta para la elaboración de una estrategia de competencias digitales, que abarca todos los elementos, desde la planificación hasta las fases de diseño y aplicación.</w:t>
                            </w:r>
                          </w:p>
                          <w:p w14:paraId="16F7BE06" w14:textId="77777777" w:rsidR="00282C98" w:rsidRPr="00494741" w:rsidRDefault="00282C98" w:rsidP="00282C98">
                            <w:pPr>
                              <w:jc w:val="both"/>
                              <w:rPr>
                                <w:sz w:val="22"/>
                              </w:rPr>
                            </w:pPr>
                            <w:r w:rsidRPr="00494741">
                              <w:rPr>
                                <w:sz w:val="22"/>
                              </w:rPr>
                              <w:t xml:space="preserve">Puesta en marcha por la UIT en el marco de la iniciativa AI for Good </w:t>
                            </w:r>
                            <w:proofErr w:type="spellStart"/>
                            <w:r w:rsidRPr="00494741">
                              <w:rPr>
                                <w:sz w:val="22"/>
                              </w:rPr>
                              <w:t>Impact</w:t>
                            </w:r>
                            <w:proofErr w:type="spellEnd"/>
                            <w:r w:rsidRPr="00494741">
                              <w:rPr>
                                <w:sz w:val="22"/>
                              </w:rPr>
                              <w:t xml:space="preserve">, la </w:t>
                            </w:r>
                            <w:hyperlink r:id="rId20" w:history="1">
                              <w:r w:rsidRPr="00494741">
                                <w:rPr>
                                  <w:rStyle w:val="Hyperlink"/>
                                  <w:sz w:val="22"/>
                                </w:rPr>
                                <w:t xml:space="preserve">AI </w:t>
                              </w:r>
                              <w:proofErr w:type="spellStart"/>
                              <w:r w:rsidRPr="00494741">
                                <w:rPr>
                                  <w:rStyle w:val="Hyperlink"/>
                                  <w:sz w:val="22"/>
                                </w:rPr>
                                <w:t>Skills</w:t>
                              </w:r>
                              <w:proofErr w:type="spellEnd"/>
                              <w:r w:rsidRPr="00494741">
                                <w:rPr>
                                  <w:rStyle w:val="Hyperlink"/>
                                  <w:sz w:val="22"/>
                                </w:rPr>
                                <w:t xml:space="preserve"> </w:t>
                              </w:r>
                              <w:proofErr w:type="spellStart"/>
                              <w:r w:rsidRPr="00494741">
                                <w:rPr>
                                  <w:rStyle w:val="Hyperlink"/>
                                  <w:sz w:val="22"/>
                                </w:rPr>
                                <w:t>Coalition</w:t>
                              </w:r>
                              <w:proofErr w:type="spellEnd"/>
                            </w:hyperlink>
                            <w:r w:rsidRPr="00494741">
                              <w:rPr>
                                <w:sz w:val="22"/>
                              </w:rPr>
                              <w:t xml:space="preserve"> (Coalición para las Competencias en materia de IA) es una plataforma mundial, abierta e inclusiva que promueve la educación y la creación de capacidad en materia de IA en todo el mundo. Reúne a gobiernos, organismos de las Naciones Unidas, instituciones académicas y la industria con el fin de democratizar el acceso a recursos de aprendizaje fiables sobre IA y reforzar las capacidades nacionales para un desarrollo responsable de la IA. La Coalición se centra en movilizar recursos estratégicos y establecer sólidas colaboraciones con las partes interesadas fundamentales, a fin de concebir y ejecutar proyectos de gran escala y elevada repercusión dirigidos a públicos prioritarios, en particular en los países en desarrollo y las comunidades insuficientemente atendidas, con objeto de garantizar que los beneficios de la revolución de la IA se compartan de manera equitativa, sostenible y adaptada a cada contexto.</w:t>
                            </w:r>
                          </w:p>
                        </w:txbxContent>
                      </wps:txbx>
                      <wps:bodyPr rot="0" vert="horz" wrap="square" lIns="91440" tIns="45720" rIns="91440" bIns="45720" anchor="t" anchorCtr="0" upright="1">
                        <a:noAutofit/>
                      </wps:bodyPr>
                    </wps:wsp>
                  </a:graphicData>
                </a:graphic>
              </wp:inline>
            </w:drawing>
          </mc:Choice>
          <mc:Fallback>
            <w:pict>
              <v:shape w14:anchorId="2568C3C6" id="_x0000_s1028" type="#_x0000_t202" style="width:439.2pt;height:29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" strokecolor="#9bbb59" strokeweight="1.5pt">
                <v:textbox>
                  <w:txbxContent>
                    <w:p w14:paraId="39C025B0" w14:textId="77777777" w:rsidR="00282C98" w:rsidRPr="00494741" w:rsidRDefault="00282C98" w:rsidP="00282C98">
                      <w:pPr>
                        <w:rPr>
                          <w:color w:val="9BBB59" w:themeColor="accent3"/>
                          <w:sz w:val="22"/>
                        </w:rPr>
                      </w:pPr>
                      <w:r w:rsidRPr="00494741">
                        <w:rPr>
                          <w:color w:val="9BBB59" w:themeColor="accent3"/>
                          <w:sz w:val="22"/>
                        </w:rPr>
                        <w:t xml:space="preserve">Estudio de caso: Conjunto de herramientas </w:t>
                      </w:r>
                      <w:r>
                        <w:rPr>
                          <w:color w:val="9BBB59" w:themeColor="accent3"/>
                          <w:sz w:val="22"/>
                        </w:rPr>
                        <w:t>para las habilidades</w:t>
                      </w:r>
                      <w:r w:rsidRPr="00494741">
                        <w:rPr>
                          <w:color w:val="9BBB59" w:themeColor="accent3"/>
                          <w:sz w:val="22"/>
                        </w:rPr>
                        <w:t xml:space="preserve"> digitales y Coalición para las Competencias en materia de IA</w:t>
                      </w:r>
                    </w:p>
                    <w:p w14:paraId="1B729CD8" w14:textId="77777777" w:rsidR="00282C98" w:rsidRPr="00494741" w:rsidRDefault="00282C98" w:rsidP="00282C98">
                      <w:pPr>
                        <w:jc w:val="both"/>
                        <w:rPr>
                          <w:sz w:val="22"/>
                        </w:rPr>
                      </w:pPr>
                      <w:r w:rsidRPr="00494741">
                        <w:rPr>
                          <w:sz w:val="22"/>
                        </w:rPr>
                        <w:t xml:space="preserve">El </w:t>
                      </w:r>
                      <w:hyperlink r:id="rId21" w:history="1">
                        <w:r w:rsidRPr="00AA3143">
                          <w:rPr>
                            <w:rStyle w:val="Hyperlink"/>
                            <w:sz w:val="22"/>
                          </w:rPr>
                          <w:t>Conjunto de herramientas para las habilidades digitales de 2024</w:t>
                        </w:r>
                      </w:hyperlink>
                      <w:r>
                        <w:rPr>
                          <w:rStyle w:val="Hyperlink"/>
                          <w:sz w:val="22"/>
                        </w:rPr>
                        <w:t xml:space="preserve"> </w:t>
                      </w:r>
                      <w:r w:rsidRPr="00494741">
                        <w:rPr>
                          <w:sz w:val="22"/>
                        </w:rPr>
                        <w:t>de la UIT ofrece una guía exhaustiva y detallada para ayudar a los Miembros de la UIT a elaborar estrategias y políticas nacionales eficaces en materia de competencias digitales. Este recurso práctico proporciona ideas y ejemplos aplicables, lo que lo convierte en una herramienta valiosa para países que se encuentran en cualquier fase de desarrollo digital. En esencia, ofrece una hoja de ruta concreta para la elaboración de una estrategia de competencias digitales, que abarca todos los elementos, desde la planificación hasta las fases de diseño y aplicación.</w:t>
                      </w:r>
                    </w:p>
                    <w:p w14:paraId="16F7BE06" w14:textId="77777777" w:rsidR="00282C98" w:rsidRPr="00494741" w:rsidRDefault="00282C98" w:rsidP="00282C98">
                      <w:pPr>
                        <w:jc w:val="both"/>
                        <w:rPr>
                          <w:sz w:val="22"/>
                        </w:rPr>
                      </w:pPr>
                      <w:r w:rsidRPr="00494741">
                        <w:rPr>
                          <w:sz w:val="22"/>
                        </w:rPr>
                        <w:t xml:space="preserve">Puesta en marcha por la UIT en el marco de la iniciativa AI for Good </w:t>
                      </w:r>
                      <w:proofErr w:type="spellStart"/>
                      <w:r w:rsidRPr="00494741">
                        <w:rPr>
                          <w:sz w:val="22"/>
                        </w:rPr>
                        <w:t>Impact</w:t>
                      </w:r>
                      <w:proofErr w:type="spellEnd"/>
                      <w:r w:rsidRPr="00494741">
                        <w:rPr>
                          <w:sz w:val="22"/>
                        </w:rPr>
                        <w:t xml:space="preserve">, la </w:t>
                      </w:r>
                      <w:hyperlink r:id="rId22" w:history="1">
                        <w:r w:rsidRPr="00494741">
                          <w:rPr>
                            <w:rStyle w:val="Hyperlink"/>
                            <w:sz w:val="22"/>
                          </w:rPr>
                          <w:t xml:space="preserve">AI </w:t>
                        </w:r>
                        <w:proofErr w:type="spellStart"/>
                        <w:r w:rsidRPr="00494741">
                          <w:rPr>
                            <w:rStyle w:val="Hyperlink"/>
                            <w:sz w:val="22"/>
                          </w:rPr>
                          <w:t>Skills</w:t>
                        </w:r>
                        <w:proofErr w:type="spellEnd"/>
                        <w:r w:rsidRPr="00494741">
                          <w:rPr>
                            <w:rStyle w:val="Hyperlink"/>
                            <w:sz w:val="22"/>
                          </w:rPr>
                          <w:t xml:space="preserve"> </w:t>
                        </w:r>
                        <w:proofErr w:type="spellStart"/>
                        <w:r w:rsidRPr="00494741">
                          <w:rPr>
                            <w:rStyle w:val="Hyperlink"/>
                            <w:sz w:val="22"/>
                          </w:rPr>
                          <w:t>Coalition</w:t>
                        </w:r>
                        <w:proofErr w:type="spellEnd"/>
                      </w:hyperlink>
                      <w:r w:rsidRPr="00494741">
                        <w:rPr>
                          <w:sz w:val="22"/>
                        </w:rPr>
                        <w:t xml:space="preserve"> (Coalición para las Competencias en materia de IA) es una plataforma mundial, abierta e inclusiva que promueve la educación y la creación de capacidad en materia de IA en todo el mundo. Reúne a gobiernos, organismos de las Naciones Unidas, instituciones académicas y la industria con el fin de democratizar el acceso a recursos de aprendizaje fiables sobre IA y reforzar las capacidades nacionales para un desarrollo responsable de la IA. La Coalición se centra en movilizar recursos estratégicos y establecer sólidas colaboraciones con las partes interesadas fundamentales, a fin de concebir y ejecutar proyectos de gran escala y elevada repercusión dirigidos a públicos prioritarios, en particular en los países en desarrollo y las comunidades insuficientemente atendidas, con objeto de garantizar que los beneficios de la revolución de la IA se compartan de manera equitativa, sostenible y adaptada a cada contexto.</w:t>
                      </w:r>
                    </w:p>
                  </w:txbxContent>
                </v:textbox>
                <w10:anchorlock/>
              </v:shape>
            </w:pict>
          </mc:Fallback>
        </mc:AlternateContent>
      </w:r>
    </w:p>
    <w:p w14:paraId="2E3396FC" w14:textId="0242E460"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4.7</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Los pequeños Estados insulares en desarrollo (</w:t>
      </w:r>
      <w:proofErr w:type="spellStart"/>
      <w:r w:rsidRPr="0052117D">
        <w:rPr>
          <w:rFonts w:asciiTheme="minorHAnsi" w:eastAsiaTheme="minorEastAsia" w:hAnsiTheme="minorHAnsi" w:cstheme="minorBidi"/>
          <w:szCs w:val="24"/>
          <w:lang w:eastAsia="zh-CN"/>
        </w:rPr>
        <w:t>PEID</w:t>
      </w:r>
      <w:proofErr w:type="spellEnd"/>
      <w:r w:rsidRPr="0052117D">
        <w:rPr>
          <w:rFonts w:asciiTheme="minorHAnsi" w:eastAsiaTheme="minorEastAsia" w:hAnsiTheme="minorHAnsi" w:cstheme="minorBidi"/>
          <w:szCs w:val="24"/>
          <w:lang w:eastAsia="zh-CN"/>
        </w:rPr>
        <w:t xml:space="preserve">) y numerosos países en desarrollo se enfrentan a retos acumulativos para reducir las brechas digitales, entre ellos el aislamiento geográfico, la limitación de las infraestructuras, la vulnerabilidad climática y la escasez de recursos financieros y humanos, lo que exige enfoques adaptados y una cooperación </w:t>
      </w:r>
      <w:r w:rsidRPr="0052117D">
        <w:rPr>
          <w:rFonts w:eastAsiaTheme="minorEastAsia"/>
          <w:szCs w:val="24"/>
          <w:lang w:eastAsia="zh-CN"/>
        </w:rPr>
        <w:t>internacional</w:t>
      </w:r>
      <w:r w:rsidRPr="0052117D">
        <w:rPr>
          <w:rFonts w:asciiTheme="minorHAnsi" w:eastAsiaTheme="minorEastAsia" w:hAnsiTheme="minorHAnsi" w:cstheme="minorBidi"/>
          <w:szCs w:val="24"/>
          <w:lang w:eastAsia="zh-CN"/>
        </w:rPr>
        <w:t xml:space="preserve"> reforzada.</w:t>
      </w:r>
    </w:p>
    <w:p w14:paraId="0C341864"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4.8</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La elaboración de políticas </w:t>
      </w:r>
      <w:r w:rsidRPr="0052117D">
        <w:rPr>
          <w:rFonts w:eastAsiaTheme="minorEastAsia"/>
          <w:szCs w:val="24"/>
          <w:lang w:eastAsia="zh-CN"/>
        </w:rPr>
        <w:t>basada en datos empíricos</w:t>
      </w:r>
      <w:r w:rsidRPr="0052117D">
        <w:rPr>
          <w:rFonts w:asciiTheme="minorHAnsi" w:eastAsiaTheme="minorEastAsia" w:hAnsiTheme="minorHAnsi" w:cstheme="minorBidi"/>
          <w:szCs w:val="24"/>
          <w:lang w:eastAsia="zh-CN"/>
        </w:rPr>
        <w:t xml:space="preserve"> se beneficia de marcos y parámetros de seguimiento sólidos que permiten evaluar con precisión la repercusión de los programas de inclusión digital, posibilitando así el aprendizaje adaptativo, la rendición de cuentas y la adopción de decisiones fundamentadas.</w:t>
      </w:r>
    </w:p>
    <w:p w14:paraId="45987BCF"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4.9</w:t>
      </w:r>
      <w:r w:rsidRPr="0052117D">
        <w:rPr>
          <w:rFonts w:asciiTheme="minorHAnsi" w:eastAsiaTheme="minorEastAsia" w:hAnsiTheme="minorHAnsi" w:cstheme="minorBidi"/>
          <w:spacing w:val="-4"/>
          <w:szCs w:val="24"/>
          <w:lang w:eastAsia="zh-CN"/>
        </w:rPr>
        <w:tab/>
      </w:r>
      <w:r w:rsidRPr="0052117D">
        <w:rPr>
          <w:szCs w:val="24"/>
        </w:rPr>
        <w:t xml:space="preserve">Los miembros del GIE expresaron opiniones diversas sobre los métodos de aplicación y la pertinencia de la </w:t>
      </w:r>
      <w:r w:rsidRPr="0052117D">
        <w:rPr>
          <w:rFonts w:eastAsiaTheme="minorEastAsia"/>
          <w:szCs w:val="24"/>
          <w:lang w:eastAsia="zh-CN"/>
        </w:rPr>
        <w:t>infraestructura pública digital</w:t>
      </w:r>
      <w:r w:rsidRPr="0052117D">
        <w:rPr>
          <w:szCs w:val="24"/>
        </w:rPr>
        <w:t xml:space="preserve"> en el contexto de la reducción de las brechas digitales.</w:t>
      </w:r>
    </w:p>
    <w:p w14:paraId="05D298FB"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4.10</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Habida cuenta de </w:t>
      </w:r>
      <w:r w:rsidRPr="0052117D">
        <w:rPr>
          <w:rFonts w:eastAsiaTheme="minorEastAsia"/>
          <w:szCs w:val="24"/>
          <w:lang w:eastAsia="zh-CN"/>
        </w:rPr>
        <w:t>estas consideraciones</w:t>
      </w:r>
      <w:r w:rsidRPr="0052117D">
        <w:rPr>
          <w:rFonts w:asciiTheme="minorHAnsi" w:eastAsiaTheme="minorEastAsia" w:hAnsiTheme="minorHAnsi" w:cstheme="minorBidi"/>
          <w:szCs w:val="24"/>
          <w:lang w:eastAsia="zh-CN"/>
        </w:rPr>
        <w:t xml:space="preserve">, entre las cuestiones de política general relativas a los servicios y tecnologías de telecomunicaciones/TIC que podrían estudiarse cabe mencionar las siguientes: </w:t>
      </w:r>
    </w:p>
    <w:p w14:paraId="7B43946B" w14:textId="77777777" w:rsidR="00081E04" w:rsidRPr="0052117D" w:rsidRDefault="00081E04" w:rsidP="005B6ED5">
      <w:pPr>
        <w:pStyle w:val="enumlev1"/>
        <w:jc w:val="both"/>
        <w:rPr>
          <w:rFonts w:eastAsiaTheme="minorEastAsia"/>
          <w:lang w:eastAsia="zh-CN"/>
        </w:rPr>
      </w:pPr>
      <w:r w:rsidRPr="0052117D">
        <w:rPr>
          <w:rFonts w:eastAsiaTheme="minorEastAsia"/>
          <w:bCs/>
          <w:szCs w:val="24"/>
          <w:lang w:eastAsia="zh-CN"/>
        </w:rPr>
        <w:t>4.10.1</w:t>
      </w:r>
      <w:r w:rsidRPr="0052117D">
        <w:rPr>
          <w:rFonts w:eastAsiaTheme="minorEastAsia"/>
          <w:bCs/>
          <w:szCs w:val="24"/>
          <w:lang w:eastAsia="zh-CN"/>
        </w:rPr>
        <w:tab/>
      </w:r>
      <w:r w:rsidRPr="0052117D">
        <w:rPr>
          <w:rFonts w:eastAsiaTheme="minorEastAsia"/>
          <w:szCs w:val="24"/>
          <w:lang w:eastAsia="zh-CN"/>
        </w:rPr>
        <w:t>¿Cómo pueden las estrategias y las políticas fomentar las inversiones en infraestructuras de telecomunicaciones</w:t>
      </w:r>
      <w:r w:rsidRPr="0052117D">
        <w:rPr>
          <w:rFonts w:eastAsiaTheme="minorEastAsia"/>
          <w:lang w:eastAsia="zh-CN"/>
        </w:rPr>
        <w:t xml:space="preserve"> asequibles y accesibles, </w:t>
      </w:r>
      <w:r w:rsidRPr="0052117D">
        <w:rPr>
          <w:rFonts w:eastAsiaTheme="minorEastAsia"/>
        </w:rPr>
        <w:t>en productos y servicios digitales,</w:t>
      </w:r>
      <w:r w:rsidRPr="0052117D">
        <w:rPr>
          <w:rFonts w:eastAsiaTheme="minorEastAsia"/>
          <w:lang w:eastAsia="zh-CN"/>
        </w:rPr>
        <w:t xml:space="preserve"> en plataformas digitales en lenguas locales y en tecnologías adaptadas a la edad, con miras a colmar la brecha digital en lo que respecta a las disparidades de género, edad, condición socioeconómica y ámbito urbano o rural?</w:t>
      </w:r>
    </w:p>
    <w:p w14:paraId="6AA1D8C3"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t>4.10.2</w:t>
      </w:r>
      <w:r w:rsidRPr="0052117D">
        <w:rPr>
          <w:rFonts w:eastAsiaTheme="minorEastAsia"/>
          <w:bCs/>
          <w:lang w:eastAsia="zh-CN"/>
        </w:rPr>
        <w:tab/>
      </w:r>
      <w:r w:rsidRPr="0052117D">
        <w:rPr>
          <w:rFonts w:eastAsiaTheme="minorEastAsia"/>
          <w:lang w:eastAsia="zh-CN"/>
        </w:rPr>
        <w:t xml:space="preserve">¿Qué estrategias pueden adoptar los responsables políticos para promover la </w:t>
      </w:r>
      <w:r w:rsidRPr="0052117D">
        <w:rPr>
          <w:rFonts w:eastAsiaTheme="minorEastAsia"/>
          <w:szCs w:val="24"/>
          <w:lang w:eastAsia="zh-CN"/>
        </w:rPr>
        <w:t>alfabetización</w:t>
      </w:r>
      <w:r w:rsidRPr="0052117D">
        <w:rPr>
          <w:rFonts w:eastAsiaTheme="minorEastAsia"/>
          <w:lang w:eastAsia="zh-CN"/>
        </w:rPr>
        <w:t xml:space="preserve"> digital, el desarrollo de competencias y el acceso a las competencias más demandadas, al tiempo que velan por la igualdad de oportunidades entre personas de distintos perfiles demográficos y hacen partícipe al sector privado y a la sociedad civil en dichos esfuerzos?</w:t>
      </w:r>
    </w:p>
    <w:p w14:paraId="5E058F79"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lastRenderedPageBreak/>
        <w:t>4.10.3</w:t>
      </w:r>
      <w:r w:rsidRPr="0052117D">
        <w:rPr>
          <w:rFonts w:eastAsiaTheme="minorEastAsia"/>
          <w:bCs/>
          <w:lang w:eastAsia="zh-CN"/>
        </w:rPr>
        <w:tab/>
      </w:r>
      <w:r w:rsidRPr="0052117D">
        <w:rPr>
          <w:rFonts w:eastAsiaTheme="minorEastAsia"/>
          <w:lang w:eastAsia="zh-CN"/>
        </w:rPr>
        <w:t xml:space="preserve">¿Cómo pueden colaborar las organizaciones nacionales e internacionales para desarrollar tecnologías innovadoras, ampliar la escala de las soluciones y emprender iniciativas </w:t>
      </w:r>
      <w:r w:rsidRPr="0052117D">
        <w:rPr>
          <w:rFonts w:eastAsiaTheme="minorEastAsia"/>
          <w:szCs w:val="24"/>
          <w:lang w:eastAsia="zh-CN"/>
        </w:rPr>
        <w:t>encaminadas</w:t>
      </w:r>
      <w:r w:rsidRPr="0052117D">
        <w:rPr>
          <w:rFonts w:eastAsiaTheme="minorEastAsia"/>
          <w:lang w:eastAsia="zh-CN"/>
        </w:rPr>
        <w:t xml:space="preserve"> a conectar a quienes carecen de conexión, mejorar la asequibilidad digital e impulsar la alfabetización digital a escala mundial?</w:t>
      </w:r>
    </w:p>
    <w:p w14:paraId="165DFE9C"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t>4.10.4</w:t>
      </w:r>
      <w:r w:rsidRPr="0052117D">
        <w:rPr>
          <w:rFonts w:eastAsiaTheme="minorEastAsia"/>
          <w:bCs/>
          <w:lang w:eastAsia="zh-CN"/>
        </w:rPr>
        <w:tab/>
      </w:r>
      <w:r w:rsidRPr="0052117D">
        <w:rPr>
          <w:rFonts w:eastAsiaTheme="minorEastAsia"/>
          <w:lang w:eastAsia="zh-CN"/>
        </w:rPr>
        <w:t>¿</w:t>
      </w:r>
      <w:r w:rsidRPr="0052117D">
        <w:rPr>
          <w:rFonts w:eastAsiaTheme="minorEastAsia"/>
          <w:szCs w:val="24"/>
          <w:lang w:eastAsia="zh-CN"/>
        </w:rPr>
        <w:t>Cómo</w:t>
      </w:r>
      <w:r w:rsidRPr="0052117D">
        <w:rPr>
          <w:rFonts w:eastAsiaTheme="minorEastAsia"/>
          <w:lang w:eastAsia="zh-CN"/>
        </w:rPr>
        <w:t xml:space="preserve"> pueden las instituciones educativas y los responsables políticos promover la innovación, el espíritu empresarial y el acceso equitativo a los recursos digitales para los estudiantes y los emprendedores, haciendo frente a los obstáculos derivados de la brecha digital?</w:t>
      </w:r>
    </w:p>
    <w:p w14:paraId="2EFD5E7F"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t>4.10.5</w:t>
      </w:r>
      <w:r w:rsidRPr="0052117D">
        <w:rPr>
          <w:rFonts w:eastAsiaTheme="minorEastAsia"/>
          <w:bCs/>
          <w:lang w:eastAsia="zh-CN"/>
        </w:rPr>
        <w:tab/>
      </w:r>
      <w:r w:rsidRPr="0052117D">
        <w:rPr>
          <w:rFonts w:eastAsiaTheme="minorEastAsia"/>
          <w:lang w:eastAsia="zh-CN"/>
        </w:rPr>
        <w:t>¿Cuáles son los principales retos a los que se enfrentan los países en desarrollo, incluidos los pequeños Estados insulares en desarrollo (</w:t>
      </w:r>
      <w:proofErr w:type="spellStart"/>
      <w:r w:rsidRPr="0052117D">
        <w:rPr>
          <w:rFonts w:eastAsiaTheme="minorEastAsia"/>
          <w:lang w:eastAsia="zh-CN"/>
        </w:rPr>
        <w:t>PEID</w:t>
      </w:r>
      <w:proofErr w:type="spellEnd"/>
      <w:r w:rsidRPr="0052117D">
        <w:rPr>
          <w:rFonts w:eastAsiaTheme="minorEastAsia"/>
          <w:lang w:eastAsia="zh-CN"/>
        </w:rPr>
        <w:t>), a la hora de adoptar las tecnologías incipientes necesarias para colmar la brecha digital, y cómo pueden las partes interesadas ayudarles a crear la capacidad necesaria?</w:t>
      </w:r>
    </w:p>
    <w:p w14:paraId="491EEDFA"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t>4.10.6</w:t>
      </w:r>
      <w:r w:rsidRPr="0052117D">
        <w:rPr>
          <w:rFonts w:eastAsiaTheme="minorEastAsia"/>
          <w:bCs/>
          <w:lang w:eastAsia="zh-CN"/>
        </w:rPr>
        <w:tab/>
      </w:r>
      <w:r w:rsidRPr="0052117D">
        <w:rPr>
          <w:rFonts w:eastAsiaTheme="minorEastAsia"/>
          <w:lang w:eastAsia="zh-CN"/>
        </w:rPr>
        <w:t>¿</w:t>
      </w:r>
      <w:r w:rsidRPr="0052117D">
        <w:rPr>
          <w:rFonts w:eastAsiaTheme="minorEastAsia"/>
          <w:szCs w:val="24"/>
          <w:lang w:eastAsia="zh-CN"/>
        </w:rPr>
        <w:t>Cómo</w:t>
      </w:r>
      <w:r w:rsidRPr="0052117D">
        <w:rPr>
          <w:rFonts w:eastAsiaTheme="minorEastAsia"/>
          <w:lang w:eastAsia="zh-CN"/>
        </w:rPr>
        <w:t xml:space="preserve"> pueden perfeccionarse los marcos y parámetros de seguimiento existentes, o elaborarse otros nuevos, con objeto de evaluar eficazmente la repercusión de los programas y políticas concebidos para colmar la brecha digital?</w:t>
      </w:r>
    </w:p>
    <w:p w14:paraId="429C605E"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Cs w:val="28"/>
          <w:lang w:eastAsia="zh-CN"/>
        </w:rPr>
      </w:pPr>
      <w:r w:rsidRPr="0052117D">
        <w:rPr>
          <w:rFonts w:asciiTheme="minorHAnsi" w:eastAsiaTheme="minorEastAsia" w:hAnsiTheme="minorHAnsi" w:cstheme="minorBidi"/>
          <w:szCs w:val="28"/>
          <w:lang w:eastAsia="zh-CN"/>
        </w:rPr>
        <w:br w:type="page"/>
      </w:r>
    </w:p>
    <w:p w14:paraId="0429DA1B" w14:textId="77777777" w:rsidR="00081E04" w:rsidRPr="0052117D" w:rsidRDefault="00081E04" w:rsidP="003F5F9B">
      <w:pPr>
        <w:pStyle w:val="Heading1"/>
      </w:pPr>
      <w:r w:rsidRPr="0052117D">
        <w:lastRenderedPageBreak/>
        <w:t>5</w:t>
      </w:r>
      <w:r w:rsidRPr="0052117D">
        <w:tab/>
        <w:t>La transformación digital ecológica: el cambio climático y la sostenibilidad medioambiental</w:t>
      </w:r>
    </w:p>
    <w:p w14:paraId="54A0FD1F" w14:textId="77777777" w:rsidR="00081E04"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5.1</w:t>
      </w:r>
      <w:r w:rsidRPr="0052117D">
        <w:rPr>
          <w:rFonts w:asciiTheme="minorHAnsi" w:eastAsiaTheme="minorEastAsia" w:hAnsiTheme="minorHAnsi" w:cstheme="minorBidi"/>
          <w:spacing w:val="-4"/>
          <w:szCs w:val="24"/>
          <w:lang w:eastAsia="zh-CN"/>
        </w:rPr>
        <w:tab/>
      </w:r>
      <w:r w:rsidRPr="0052117D">
        <w:rPr>
          <w:rFonts w:eastAsiaTheme="minorEastAsia"/>
          <w:szCs w:val="24"/>
        </w:rPr>
        <w:t>La tecnología</w:t>
      </w:r>
      <w:r w:rsidRPr="0052117D">
        <w:rPr>
          <w:rFonts w:asciiTheme="minorHAnsi" w:eastAsiaTheme="minorEastAsia" w:hAnsiTheme="minorHAnsi" w:cstheme="minorBidi"/>
          <w:szCs w:val="24"/>
          <w:lang w:eastAsia="zh-CN"/>
        </w:rPr>
        <w:t xml:space="preserve"> puede desempeñar una función esencial en el seguimiento y la atenuación del cambio climático y la adaptación al mismo, así como en la sostenibilidad medioambiental</w:t>
      </w:r>
      <w:r w:rsidRPr="0052117D">
        <w:rPr>
          <w:rFonts w:eastAsiaTheme="minorEastAsia"/>
          <w:szCs w:val="24"/>
        </w:rPr>
        <w:t xml:space="preserve">. Al mismo tiempo, </w:t>
      </w:r>
      <w:r w:rsidRPr="0052117D">
        <w:rPr>
          <w:rFonts w:asciiTheme="minorHAnsi" w:eastAsiaTheme="minorEastAsia" w:hAnsiTheme="minorHAnsi" w:cstheme="minorBidi"/>
          <w:szCs w:val="24"/>
          <w:lang w:eastAsia="zh-CN"/>
        </w:rPr>
        <w:t>la transformación digital conlleva repercusiones considerables</w:t>
      </w:r>
      <w:r w:rsidRPr="0052117D">
        <w:rPr>
          <w:rFonts w:eastAsiaTheme="minorEastAsia"/>
          <w:szCs w:val="24"/>
        </w:rPr>
        <w:t>, entre ellas</w:t>
      </w:r>
      <w:r w:rsidRPr="0052117D">
        <w:rPr>
          <w:rFonts w:asciiTheme="minorHAnsi" w:eastAsiaTheme="minorEastAsia" w:hAnsiTheme="minorHAnsi" w:cstheme="minorBidi"/>
          <w:szCs w:val="24"/>
          <w:lang w:eastAsia="zh-CN"/>
        </w:rPr>
        <w:t xml:space="preserve"> el aumento de las emisiones de gases de efecto invernadero y del consumo energético del sector de las telecomunicaciones/TIC, junto con volúmenes crecientes de residuos electrónicos. Los servicios y tecnologías de telecomunicaciones/TIC nuevos e incipientes, en </w:t>
      </w:r>
      <w:r w:rsidRPr="0052117D">
        <w:rPr>
          <w:rFonts w:eastAsiaTheme="minorEastAsia"/>
          <w:szCs w:val="24"/>
          <w:lang w:eastAsia="zh-CN"/>
        </w:rPr>
        <w:t>particular</w:t>
      </w:r>
      <w:r w:rsidRPr="0052117D">
        <w:rPr>
          <w:rFonts w:asciiTheme="minorHAnsi" w:eastAsiaTheme="minorEastAsia" w:hAnsiTheme="minorHAnsi" w:cstheme="minorBidi"/>
          <w:szCs w:val="24"/>
          <w:lang w:eastAsia="zh-CN"/>
        </w:rPr>
        <w:t xml:space="preserve"> la IA, están resultando transformadores para el avance de la protección del medio ambiente y la acción climática. Se están implantando aplicaciones de IA con objeto de optimizar la eficiencia energética, predecir fenómenos meteorológicos extremos, vigilar la biodiversidad y perfeccionar la modelización climática. Estas tecnologías permiten asimismo que otros sectores, como la energía, la industria manufacturera, el transporte y la construcción, reduzcan su </w:t>
      </w:r>
      <w:r w:rsidRPr="0052117D">
        <w:rPr>
          <w:rFonts w:eastAsiaTheme="minorEastAsia"/>
          <w:szCs w:val="24"/>
        </w:rPr>
        <w:t xml:space="preserve">repercusión </w:t>
      </w:r>
      <w:r w:rsidRPr="0052117D">
        <w:rPr>
          <w:rFonts w:asciiTheme="minorHAnsi" w:eastAsiaTheme="minorEastAsia" w:hAnsiTheme="minorHAnsi" w:cstheme="minorBidi"/>
          <w:szCs w:val="24"/>
          <w:lang w:eastAsia="zh-CN"/>
        </w:rPr>
        <w:t>climática negativa.</w:t>
      </w:r>
    </w:p>
    <w:p w14:paraId="25EBE085" w14:textId="196E7CF4" w:rsidR="00282C98" w:rsidRPr="0052117D" w:rsidRDefault="00282C98" w:rsidP="00282C98">
      <w:pPr>
        <w:jc w:val="center"/>
        <w:rPr>
          <w:rFonts w:asciiTheme="minorHAnsi" w:eastAsiaTheme="minorEastAsia" w:hAnsiTheme="minorHAnsi" w:cstheme="minorBidi"/>
          <w:szCs w:val="24"/>
          <w:lang w:eastAsia="zh-CN"/>
        </w:rPr>
      </w:pPr>
      <w:r w:rsidRPr="0052117D">
        <w:rPr>
          <w:rFonts w:asciiTheme="minorHAnsi" w:eastAsiaTheme="minorEastAsia" w:hAnsiTheme="minorHAnsi" w:cstheme="minorBidi"/>
          <w:noProof/>
          <w:szCs w:val="24"/>
          <w:lang w:val="en-US"/>
        </w:rPr>
        <mc:AlternateContent>
          <mc:Choice Requires="wps">
            <w:drawing>
              <wp:inline distT="0" distB="0" distL="0" distR="0" wp14:anchorId="3EBC634C" wp14:editId="5C3A3F76">
                <wp:extent cx="5577840" cy="2256155"/>
                <wp:effectExtent l="0" t="0" r="22860" b="10795"/>
                <wp:docPr id="89505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2256155"/>
                        </a:xfrm>
                        <a:prstGeom prst="rect">
                          <a:avLst/>
                        </a:prstGeom>
                        <a:solidFill>
                          <a:srgbClr val="FFFFFF"/>
                        </a:solidFill>
                        <a:ln w="19050">
                          <a:solidFill>
                            <a:srgbClr val="9BBB59"/>
                          </a:solidFill>
                          <a:miter lim="800000"/>
                          <a:headEnd/>
                          <a:tailEnd/>
                        </a:ln>
                      </wps:spPr>
                      <wps:txbx>
                        <w:txbxContent>
                          <w:p w14:paraId="2BD619CE" w14:textId="77777777" w:rsidR="00282C98" w:rsidRPr="00494741" w:rsidRDefault="00282C98" w:rsidP="00282C98">
                            <w:pPr>
                              <w:rPr>
                                <w:color w:val="9BBB59" w:themeColor="accent3"/>
                                <w:sz w:val="22"/>
                              </w:rPr>
                            </w:pPr>
                            <w:r w:rsidRPr="00494741">
                              <w:rPr>
                                <w:color w:val="9BBB59" w:themeColor="accent3"/>
                                <w:sz w:val="22"/>
                              </w:rPr>
                              <w:t>Estudio de caso: iniciativa Acción Digital Verde (</w:t>
                            </w:r>
                            <w:proofErr w:type="spellStart"/>
                            <w:r w:rsidRPr="00494741">
                              <w:rPr>
                                <w:color w:val="9BBB59" w:themeColor="accent3"/>
                                <w:sz w:val="22"/>
                              </w:rPr>
                              <w:t>GDA</w:t>
                            </w:r>
                            <w:proofErr w:type="spellEnd"/>
                            <w:r w:rsidRPr="00494741">
                              <w:rPr>
                                <w:color w:val="9BBB59" w:themeColor="accent3"/>
                                <w:sz w:val="22"/>
                              </w:rPr>
                              <w:t>)</w:t>
                            </w:r>
                          </w:p>
                          <w:p w14:paraId="4FA8CA87" w14:textId="77777777" w:rsidR="00282C98" w:rsidRPr="00494741" w:rsidRDefault="00282C98" w:rsidP="00282C98">
                            <w:pPr>
                              <w:jc w:val="both"/>
                              <w:rPr>
                                <w:sz w:val="22"/>
                              </w:rPr>
                            </w:pPr>
                            <w:r w:rsidRPr="00494741">
                              <w:rPr>
                                <w:sz w:val="22"/>
                              </w:rPr>
                              <w:t xml:space="preserve">La iniciativa </w:t>
                            </w:r>
                            <w:hyperlink r:id="rId23" w:history="1">
                              <w:r w:rsidRPr="00494741">
                                <w:rPr>
                                  <w:rStyle w:val="Hyperlink"/>
                                  <w:sz w:val="22"/>
                                </w:rPr>
                                <w:t>Acción Digital Verde (</w:t>
                              </w:r>
                              <w:proofErr w:type="spellStart"/>
                              <w:r w:rsidRPr="00494741">
                                <w:rPr>
                                  <w:rStyle w:val="Hyperlink"/>
                                  <w:sz w:val="22"/>
                                </w:rPr>
                                <w:t>GDA</w:t>
                              </w:r>
                              <w:proofErr w:type="spellEnd"/>
                              <w:r w:rsidRPr="00494741">
                                <w:rPr>
                                  <w:rStyle w:val="Hyperlink"/>
                                  <w:sz w:val="22"/>
                                </w:rPr>
                                <w:t>)</w:t>
                              </w:r>
                            </w:hyperlink>
                            <w:r w:rsidRPr="00494741">
                              <w:rPr>
                                <w:sz w:val="22"/>
                              </w:rPr>
                              <w:t xml:space="preserve"> reúne a asociados de todo el mundo con objeto de impulsar la acción climática mediante la innovación digital. Desde su puesta en marcha en la </w:t>
                            </w:r>
                            <w:proofErr w:type="spellStart"/>
                            <w:r w:rsidRPr="00494741">
                              <w:rPr>
                                <w:sz w:val="22"/>
                              </w:rPr>
                              <w:t>COP28</w:t>
                            </w:r>
                            <w:proofErr w:type="spellEnd"/>
                            <w:r w:rsidRPr="00494741">
                              <w:rPr>
                                <w:sz w:val="22"/>
                              </w:rPr>
                              <w:t xml:space="preserve">, en 2023, la Acción Digital Verde ha venido trabajando para aunar a la comunidad digital mundial en la elaboración de soluciones prácticas, el refuerzo del apoyo del conjunto de la industria a la acción climática y la consolidación de los marcos mundiales de seguimiento y presentación de informes. La </w:t>
                            </w:r>
                            <w:proofErr w:type="spellStart"/>
                            <w:r w:rsidRPr="00494741">
                              <w:rPr>
                                <w:sz w:val="22"/>
                              </w:rPr>
                              <w:t>GDA</w:t>
                            </w:r>
                            <w:proofErr w:type="spellEnd"/>
                            <w:r w:rsidRPr="00494741">
                              <w:rPr>
                                <w:sz w:val="22"/>
                              </w:rPr>
                              <w:t xml:space="preserve"> desempeña una función capital en el avance de los compromisos contraídos en la Declaración sobre la Acción Digital Verde de la </w:t>
                            </w:r>
                            <w:proofErr w:type="spellStart"/>
                            <w:r w:rsidRPr="00494741">
                              <w:rPr>
                                <w:sz w:val="22"/>
                              </w:rPr>
                              <w:t>COP29</w:t>
                            </w:r>
                            <w:proofErr w:type="spellEnd"/>
                            <w:r w:rsidRPr="00494741">
                              <w:rPr>
                                <w:sz w:val="22"/>
                              </w:rPr>
                              <w:t xml:space="preserve"> de la Conferencia de las Partes, que tiene por objeto acelerar una digitalización favorable al clima y la reducción de emisiones en el sector de la tecnología digital, así como mejorar la accesibilidad de las tecnologías digitales ecológicas.</w:t>
                            </w:r>
                          </w:p>
                        </w:txbxContent>
                      </wps:txbx>
                      <wps:bodyPr rot="0" vert="horz" wrap="square" lIns="91440" tIns="45720" rIns="91440" bIns="45720" anchor="t" anchorCtr="0" upright="1">
                        <a:noAutofit/>
                      </wps:bodyPr>
                    </wps:wsp>
                  </a:graphicData>
                </a:graphic>
              </wp:inline>
            </w:drawing>
          </mc:Choice>
          <mc:Fallback>
            <w:pict>
              <v:shape w14:anchorId="3EBC634C" id="_x0000_s1029" type="#_x0000_t202" style="width:439.2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" strokecolor="#9bbb59" strokeweight="1.5pt">
                <v:textbox>
                  <w:txbxContent>
                    <w:p w14:paraId="2BD619CE" w14:textId="77777777" w:rsidR="00282C98" w:rsidRPr="00494741" w:rsidRDefault="00282C98" w:rsidP="00282C98">
                      <w:pPr>
                        <w:rPr>
                          <w:color w:val="9BBB59" w:themeColor="accent3"/>
                          <w:sz w:val="22"/>
                        </w:rPr>
                      </w:pPr>
                      <w:r w:rsidRPr="00494741">
                        <w:rPr>
                          <w:color w:val="9BBB59" w:themeColor="accent3"/>
                          <w:sz w:val="22"/>
                        </w:rPr>
                        <w:t>Estudio de caso: iniciativa Acción Digital Verde (</w:t>
                      </w:r>
                      <w:proofErr w:type="spellStart"/>
                      <w:r w:rsidRPr="00494741">
                        <w:rPr>
                          <w:color w:val="9BBB59" w:themeColor="accent3"/>
                          <w:sz w:val="22"/>
                        </w:rPr>
                        <w:t>GDA</w:t>
                      </w:r>
                      <w:proofErr w:type="spellEnd"/>
                      <w:r w:rsidRPr="00494741">
                        <w:rPr>
                          <w:color w:val="9BBB59" w:themeColor="accent3"/>
                          <w:sz w:val="22"/>
                        </w:rPr>
                        <w:t>)</w:t>
                      </w:r>
                    </w:p>
                    <w:p w14:paraId="4FA8CA87" w14:textId="77777777" w:rsidR="00282C98" w:rsidRPr="00494741" w:rsidRDefault="00282C98" w:rsidP="00282C98">
                      <w:pPr>
                        <w:jc w:val="both"/>
                        <w:rPr>
                          <w:sz w:val="22"/>
                        </w:rPr>
                      </w:pPr>
                      <w:r w:rsidRPr="00494741">
                        <w:rPr>
                          <w:sz w:val="22"/>
                        </w:rPr>
                        <w:t xml:space="preserve">La iniciativa </w:t>
                      </w:r>
                      <w:hyperlink r:id="rId24" w:history="1">
                        <w:r w:rsidRPr="00494741">
                          <w:rPr>
                            <w:rStyle w:val="Hyperlink"/>
                            <w:sz w:val="22"/>
                          </w:rPr>
                          <w:t>Acción Digital Verde (</w:t>
                        </w:r>
                        <w:proofErr w:type="spellStart"/>
                        <w:r w:rsidRPr="00494741">
                          <w:rPr>
                            <w:rStyle w:val="Hyperlink"/>
                            <w:sz w:val="22"/>
                          </w:rPr>
                          <w:t>GDA</w:t>
                        </w:r>
                        <w:proofErr w:type="spellEnd"/>
                        <w:r w:rsidRPr="00494741">
                          <w:rPr>
                            <w:rStyle w:val="Hyperlink"/>
                            <w:sz w:val="22"/>
                          </w:rPr>
                          <w:t>)</w:t>
                        </w:r>
                      </w:hyperlink>
                      <w:r w:rsidRPr="00494741">
                        <w:rPr>
                          <w:sz w:val="22"/>
                        </w:rPr>
                        <w:t xml:space="preserve"> reúne a asociados de todo el mundo con objeto de impulsar la acción climática mediante la innovación digital. Desde su puesta en marcha en la </w:t>
                      </w:r>
                      <w:proofErr w:type="spellStart"/>
                      <w:r w:rsidRPr="00494741">
                        <w:rPr>
                          <w:sz w:val="22"/>
                        </w:rPr>
                        <w:t>COP28</w:t>
                      </w:r>
                      <w:proofErr w:type="spellEnd"/>
                      <w:r w:rsidRPr="00494741">
                        <w:rPr>
                          <w:sz w:val="22"/>
                        </w:rPr>
                        <w:t xml:space="preserve">, en 2023, la Acción Digital Verde ha venido trabajando para aunar a la comunidad digital mundial en la elaboración de soluciones prácticas, el refuerzo del apoyo del conjunto de la industria a la acción climática y la consolidación de los marcos mundiales de seguimiento y presentación de informes. La </w:t>
                      </w:r>
                      <w:proofErr w:type="spellStart"/>
                      <w:r w:rsidRPr="00494741">
                        <w:rPr>
                          <w:sz w:val="22"/>
                        </w:rPr>
                        <w:t>GDA</w:t>
                      </w:r>
                      <w:proofErr w:type="spellEnd"/>
                      <w:r w:rsidRPr="00494741">
                        <w:rPr>
                          <w:sz w:val="22"/>
                        </w:rPr>
                        <w:t xml:space="preserve"> desempeña una función capital en el avance de los compromisos contraídos en la Declaración sobre la Acción Digital Verde de la </w:t>
                      </w:r>
                      <w:proofErr w:type="spellStart"/>
                      <w:r w:rsidRPr="00494741">
                        <w:rPr>
                          <w:sz w:val="22"/>
                        </w:rPr>
                        <w:t>COP29</w:t>
                      </w:r>
                      <w:proofErr w:type="spellEnd"/>
                      <w:r w:rsidRPr="00494741">
                        <w:rPr>
                          <w:sz w:val="22"/>
                        </w:rPr>
                        <w:t xml:space="preserve"> de la Conferencia de las Partes, que tiene por objeto acelerar una digitalización favorable al clima y la reducción de emisiones en el sector de la tecnología digital, así como mejorar la accesibilidad de las tecnologías digitales ecológicas.</w:t>
                      </w:r>
                    </w:p>
                  </w:txbxContent>
                </v:textbox>
                <w10:anchorlock/>
              </v:shape>
            </w:pict>
          </mc:Fallback>
        </mc:AlternateContent>
      </w:r>
    </w:p>
    <w:p w14:paraId="3F1B7AC2" w14:textId="626B25AE"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5.2</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El rápido crecimiento de las tecnologías digitales, incluida la IA, cuya potencia de cálculo se duplica cada 100 días, subraya asimismo la necesidad urgente de adoptar prácticas sostenibles en el sector digital.</w:t>
      </w:r>
      <w:r w:rsidRPr="0052117D">
        <w:rPr>
          <w:rStyle w:val="FootnoteReference"/>
          <w:lang w:eastAsia="zh-CN"/>
        </w:rPr>
        <w:footnoteReference w:id="1"/>
      </w:r>
      <w:r w:rsidRPr="0052117D">
        <w:rPr>
          <w:rFonts w:asciiTheme="minorHAnsi" w:eastAsiaTheme="minorEastAsia" w:hAnsiTheme="minorHAnsi" w:cstheme="minorBidi"/>
          <w:szCs w:val="24"/>
          <w:lang w:eastAsia="zh-CN"/>
        </w:rPr>
        <w:t xml:space="preserve"> Las empresas digitales representan ya cerca del 2 % del consumo mundial de electricidad y hasta el 4 % de las emisiones de gases de efecto invernadero, que deben reducirse en un 45 % de aquí a 2030 para ajustarse al Acuerdo de París.</w:t>
      </w:r>
      <w:r w:rsidRPr="0052117D">
        <w:rPr>
          <w:rStyle w:val="FootnoteReference"/>
          <w:lang w:eastAsia="zh-CN"/>
        </w:rPr>
        <w:footnoteReference w:id="2"/>
      </w:r>
      <w:r w:rsidRPr="0052117D">
        <w:rPr>
          <w:rFonts w:asciiTheme="minorHAnsi" w:eastAsiaTheme="minorEastAsia" w:hAnsiTheme="minorHAnsi" w:cstheme="minorBidi"/>
          <w:szCs w:val="24"/>
          <w:lang w:eastAsia="zh-CN"/>
        </w:rPr>
        <w:t xml:space="preserve"> Esta dependencia de recursos energéticos finitos plantea al sector un reto fundamental de sostenibilidad, análogo al que supone su dependencia de las materias primas críticas, y pone de manifiesto la necesidad de una transición hacia fuentes de energía renovables en toda la cadena de valor digital. </w:t>
      </w:r>
    </w:p>
    <w:p w14:paraId="1C413EEB" w14:textId="71ED9BEE" w:rsidR="00081E04"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5.3</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Entretanto, la transición mundial hacia una economía circular sigue siendo lenta: se estima que solo el 7 % de las actividades económicas es circular y se prevé que de aquí a 2030 se generen 82 000 millones de kilogramos de residuos electrónicos. Además, casi la mitad de los países carece de sistemas de alerta temprana </w:t>
      </w:r>
      <w:proofErr w:type="spellStart"/>
      <w:r w:rsidRPr="0052117D">
        <w:rPr>
          <w:rFonts w:asciiTheme="minorHAnsi" w:eastAsiaTheme="minorEastAsia" w:hAnsiTheme="minorHAnsi" w:cstheme="minorBidi"/>
          <w:szCs w:val="24"/>
          <w:lang w:eastAsia="zh-CN"/>
        </w:rPr>
        <w:t>multiamenaza</w:t>
      </w:r>
      <w:proofErr w:type="spellEnd"/>
      <w:r w:rsidRPr="0052117D">
        <w:rPr>
          <w:rFonts w:asciiTheme="minorHAnsi" w:eastAsiaTheme="minorEastAsia" w:hAnsiTheme="minorHAnsi" w:cstheme="minorBidi"/>
          <w:szCs w:val="24"/>
          <w:lang w:eastAsia="zh-CN"/>
        </w:rPr>
        <w:t xml:space="preserve">, y las carencias de datos en los países menos </w:t>
      </w:r>
      <w:r w:rsidRPr="0052117D">
        <w:rPr>
          <w:rFonts w:eastAsiaTheme="minorEastAsia"/>
          <w:szCs w:val="24"/>
          <w:lang w:eastAsia="zh-CN"/>
        </w:rPr>
        <w:lastRenderedPageBreak/>
        <w:t>adelantados</w:t>
      </w:r>
      <w:r w:rsidRPr="0052117D">
        <w:rPr>
          <w:rFonts w:asciiTheme="minorHAnsi" w:eastAsiaTheme="minorEastAsia" w:hAnsiTheme="minorHAnsi" w:cstheme="minorBidi"/>
          <w:szCs w:val="24"/>
          <w:lang w:eastAsia="zh-CN"/>
        </w:rPr>
        <w:t xml:space="preserve"> y los pequeños Estados insulares en desarrollo agravan su vulnerabilidad frente a los riesgos climáticos. La transformación digital ecológica brinda la oportunidad de hacer frente a estos retos y construir un futuro más sostenible y equitativo.</w:t>
      </w:r>
    </w:p>
    <w:p w14:paraId="52BEE009" w14:textId="352A02A3" w:rsidR="00282C98" w:rsidRPr="0052117D" w:rsidRDefault="00282C98" w:rsidP="00282C98">
      <w:pPr>
        <w:jc w:val="center"/>
        <w:rPr>
          <w:rFonts w:asciiTheme="minorHAnsi" w:eastAsiaTheme="minorEastAsia" w:hAnsiTheme="minorHAnsi" w:cstheme="minorBidi"/>
          <w:szCs w:val="24"/>
          <w:lang w:eastAsia="zh-CN"/>
        </w:rPr>
      </w:pPr>
      <w:r w:rsidRPr="0052117D">
        <w:rPr>
          <w:rFonts w:asciiTheme="minorHAnsi" w:eastAsiaTheme="minorEastAsia" w:hAnsiTheme="minorHAnsi" w:cstheme="minorBidi"/>
          <w:noProof/>
          <w:sz w:val="22"/>
          <w:szCs w:val="22"/>
          <w:lang w:val="en-US"/>
        </w:rPr>
        <mc:AlternateContent>
          <mc:Choice Requires="wps">
            <w:drawing>
              <wp:inline distT="0" distB="0" distL="0" distR="0" wp14:anchorId="27B3FA50" wp14:editId="3E969366">
                <wp:extent cx="5579745" cy="2981960"/>
                <wp:effectExtent l="0" t="0" r="20955" b="27940"/>
                <wp:docPr id="56195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2981960"/>
                        </a:xfrm>
                        <a:prstGeom prst="rect">
                          <a:avLst/>
                        </a:prstGeom>
                        <a:solidFill>
                          <a:srgbClr val="FFFFFF"/>
                        </a:solidFill>
                        <a:ln w="19050">
                          <a:solidFill>
                            <a:srgbClr val="4F81BD"/>
                          </a:solidFill>
                          <a:miter lim="800000"/>
                          <a:headEnd/>
                          <a:tailEnd/>
                        </a:ln>
                      </wps:spPr>
                      <wps:txbx>
                        <w:txbxContent>
                          <w:p w14:paraId="14095831" w14:textId="77777777" w:rsidR="00282C98" w:rsidRPr="00494741" w:rsidRDefault="00282C98" w:rsidP="00282C98">
                            <w:pPr>
                              <w:spacing w:before="80"/>
                              <w:rPr>
                                <w:color w:val="4F81BD" w:themeColor="accent1"/>
                                <w:sz w:val="22"/>
                              </w:rPr>
                            </w:pPr>
                            <w:r w:rsidRPr="00494741">
                              <w:rPr>
                                <w:color w:val="4F81BD" w:themeColor="accent1"/>
                                <w:sz w:val="22"/>
                              </w:rPr>
                              <w:t>Las normas internacionales en la UIT:</w:t>
                            </w:r>
                          </w:p>
                          <w:p w14:paraId="458908F9" w14:textId="77777777" w:rsidR="00282C98" w:rsidRPr="00494741" w:rsidRDefault="00282C98" w:rsidP="00282C98">
                            <w:pPr>
                              <w:jc w:val="both"/>
                              <w:rPr>
                                <w:sz w:val="22"/>
                              </w:rPr>
                            </w:pPr>
                            <w:r w:rsidRPr="00494741">
                              <w:rPr>
                                <w:sz w:val="22"/>
                              </w:rPr>
                              <w:t>La UIT viene elaborando normas internacionales encaminadas a impulsar la eficiencia medioambiental, la acción climática, la eficiencia energética y la economía circular dentro del sector de las TIC y fuera de él. Mediante el establecimiento de metodologías para evaluar la repercusión medioambiental de los productos TIC, la UIT proporciona marcos que orientan a las organizaciones en la medición y la reducción de su huella de carbono. Las normas de la UIT promueven principios de diseño sostenible que favorecen la eficiencia en el uso de los recursos y facilitan la transición hacia una economía circular. Por ejemplo, las normas relativas a la eficiencia energética de los equipos de telecomunicaciones y los centros de datos ecológicos permiten reducir considerablemente el consumo de energía, lo que ayuda a las organizaciones a disminuir sus costos operativos al tiempo que reducen las emisiones. En materia de acción climática, estas normas ayudan tanto a los gobiernos como a las empresas a adoptar prácticas que minimizan las emisiones y fomentan la resiliencia frente a los efectos del clima. Gracias a mecanismos normalizados de presentación de informes, la UIT posibilita un seguimiento coherente y transparente del comportamiento medioambiental, con lo que refuerza la rendición de cuentas e impulsa los esfuerzos mundiales en pro de la sostenibilidad.</w:t>
                            </w:r>
                          </w:p>
                        </w:txbxContent>
                      </wps:txbx>
                      <wps:bodyPr rot="0" vert="horz" wrap="square" lIns="91440" tIns="45720" rIns="91440" bIns="45720" anchor="t" anchorCtr="0" upright="1">
                        <a:noAutofit/>
                      </wps:bodyPr>
                    </wps:wsp>
                  </a:graphicData>
                </a:graphic>
              </wp:inline>
            </w:drawing>
          </mc:Choice>
          <mc:Fallback>
            <w:pict>
              <v:shape w14:anchorId="27B3FA50" id="_x0000_s1030" type="#_x0000_t202" style="width:439.35pt;height:23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" strokecolor="#4f81bd" strokeweight="1.5pt">
                <v:textbox>
                  <w:txbxContent>
                    <w:p w14:paraId="14095831" w14:textId="77777777" w:rsidR="00282C98" w:rsidRPr="00494741" w:rsidRDefault="00282C98" w:rsidP="00282C98">
                      <w:pPr>
                        <w:spacing w:before="80"/>
                        <w:rPr>
                          <w:color w:val="4F81BD" w:themeColor="accent1"/>
                          <w:sz w:val="22"/>
                        </w:rPr>
                      </w:pPr>
                      <w:r w:rsidRPr="00494741">
                        <w:rPr>
                          <w:color w:val="4F81BD" w:themeColor="accent1"/>
                          <w:sz w:val="22"/>
                        </w:rPr>
                        <w:t>Las normas internacionales en la UIT:</w:t>
                      </w:r>
                    </w:p>
                    <w:p w14:paraId="458908F9" w14:textId="77777777" w:rsidR="00282C98" w:rsidRPr="00494741" w:rsidRDefault="00282C98" w:rsidP="00282C98">
                      <w:pPr>
                        <w:jc w:val="both"/>
                        <w:rPr>
                          <w:sz w:val="22"/>
                        </w:rPr>
                      </w:pPr>
                      <w:r w:rsidRPr="00494741">
                        <w:rPr>
                          <w:sz w:val="22"/>
                        </w:rPr>
                        <w:t>La UIT viene elaborando normas internacionales encaminadas a impulsar la eficiencia medioambiental, la acción climática, la eficiencia energética y la economía circular dentro del sector de las TIC y fuera de él. Mediante el establecimiento de metodologías para evaluar la repercusión medioambiental de los productos TIC, la UIT proporciona marcos que orientan a las organizaciones en la medición y la reducción de su huella de carbono. Las normas de la UIT promueven principios de diseño sostenible que favorecen la eficiencia en el uso de los recursos y facilitan la transición hacia una economía circular. Por ejemplo, las normas relativas a la eficiencia energética de los equipos de telecomunicaciones y los centros de datos ecológicos permiten reducir considerablemente el consumo de energía, lo que ayuda a las organizaciones a disminuir sus costos operativos al tiempo que reducen las emisiones. En materia de acción climática, estas normas ayudan tanto a los gobiernos como a las empresas a adoptar prácticas que minimizan las emisiones y fomentan la resiliencia frente a los efectos del clima. Gracias a mecanismos normalizados de presentación de informes, la UIT posibilita un seguimiento coherente y transparente del comportamiento medioambiental, con lo que refuerza la rendición de cuentas e impulsa los esfuerzos mundiales en pro de la sostenibilidad.</w:t>
                      </w:r>
                    </w:p>
                  </w:txbxContent>
                </v:textbox>
                <w10:anchorlock/>
              </v:shape>
            </w:pict>
          </mc:Fallback>
        </mc:AlternateContent>
      </w:r>
    </w:p>
    <w:p w14:paraId="0E177A11" w14:textId="77777777" w:rsidR="00081E04" w:rsidRPr="0052117D" w:rsidRDefault="00081E04" w:rsidP="00081E04">
      <w:pPr>
        <w:tabs>
          <w:tab w:val="clear" w:pos="1134"/>
          <w:tab w:val="clear" w:pos="1701"/>
          <w:tab w:val="clear" w:pos="2268"/>
          <w:tab w:val="clear" w:pos="2835"/>
        </w:tabs>
        <w:overflowPunct/>
        <w:autoSpaceDE/>
        <w:autoSpaceDN/>
        <w:adjustRightInd/>
        <w:spacing w:before="160"/>
        <w:textAlignment w:val="auto"/>
        <w:rPr>
          <w:rFonts w:asciiTheme="minorHAnsi" w:eastAsiaTheme="minorEastAsia" w:hAnsiTheme="minorHAnsi" w:cstheme="minorBidi"/>
          <w:sz w:val="22"/>
          <w:szCs w:val="22"/>
          <w:lang w:eastAsia="zh-CN"/>
        </w:rPr>
      </w:pPr>
      <w:r w:rsidRPr="0052117D">
        <w:rPr>
          <w:rFonts w:asciiTheme="minorHAnsi" w:eastAsiaTheme="minorEastAsia" w:hAnsiTheme="minorHAnsi" w:cstheme="minorBidi"/>
          <w:noProof/>
          <w:szCs w:val="24"/>
          <w:lang w:val="en-US"/>
        </w:rPr>
        <mc:AlternateContent>
          <mc:Choice Requires="wps">
            <w:drawing>
              <wp:anchor distT="0" distB="0" distL="114300" distR="114300" simplePos="0" relativeHeight="251662336" behindDoc="0" locked="0" layoutInCell="1" allowOverlap="0" wp14:anchorId="2DFD1265" wp14:editId="5F802C29">
                <wp:simplePos x="0" y="0"/>
                <wp:positionH relativeFrom="column">
                  <wp:posOffset>3613785</wp:posOffset>
                </wp:positionH>
                <wp:positionV relativeFrom="paragraph">
                  <wp:posOffset>288290</wp:posOffset>
                </wp:positionV>
                <wp:extent cx="2513330" cy="4678680"/>
                <wp:effectExtent l="0" t="0" r="20320" b="26670"/>
                <wp:wrapSquare wrapText="bothSides"/>
                <wp:docPr id="1891278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330" cy="4678680"/>
                        </a:xfrm>
                        <a:prstGeom prst="rect">
                          <a:avLst/>
                        </a:prstGeom>
                        <a:solidFill>
                          <a:srgbClr val="FFFFFF"/>
                        </a:solidFill>
                        <a:ln w="12700">
                          <a:solidFill>
                            <a:srgbClr val="4F81BD">
                              <a:lumMod val="100000"/>
                              <a:lumOff val="0"/>
                            </a:srgbClr>
                          </a:solidFill>
                          <a:miter lim="800000"/>
                          <a:headEnd/>
                          <a:tailEnd/>
                        </a:ln>
                      </wps:spPr>
                      <wps:txbx>
                        <w:txbxContent>
                          <w:p w14:paraId="2A52B4D1" w14:textId="77777777" w:rsidR="00387BBE" w:rsidRPr="00494741" w:rsidRDefault="00387BBE" w:rsidP="00081E04">
                            <w:pPr>
                              <w:spacing w:before="0"/>
                              <w:rPr>
                                <w:color w:val="4F81BD" w:themeColor="accent1"/>
                                <w:sz w:val="22"/>
                              </w:rPr>
                            </w:pPr>
                            <w:r w:rsidRPr="00494741">
                              <w:rPr>
                                <w:color w:val="4F81BD" w:themeColor="accent1"/>
                                <w:sz w:val="22"/>
                              </w:rPr>
                              <w:t>Compromisos mundiales:</w:t>
                            </w:r>
                          </w:p>
                          <w:p w14:paraId="41EF7EE8" w14:textId="77777777" w:rsidR="00387BBE" w:rsidRPr="008620A9" w:rsidRDefault="00387BBE" w:rsidP="00081E04">
                            <w:pPr>
                              <w:spacing w:before="80"/>
                              <w:jc w:val="both"/>
                              <w:rPr>
                                <w:sz w:val="22"/>
                                <w:lang w:val="es-ES"/>
                              </w:rPr>
                            </w:pPr>
                            <w:r w:rsidRPr="00494741">
                              <w:rPr>
                                <w:sz w:val="22"/>
                              </w:rPr>
                              <w:t>Los enfoques reglamentarios de todo el mundo han comenzado a abordar colectivamente las repercusiones medioambientales, si bien persisten ciertos retos. En la actualidad, alrededor del 40 por ciento de los países ha elaborado políticas, medidas o reglamentaciones en materia de residuos electrónicos, y existen posibilidades de reforzar su cumplimiento y aplicación. El ámbito de la legislación y la reglamentación de las TIC, incluidas la concesión de licencias y la reglamentación del sector de las TIC y las telecomunicaciones, sigue explorando vías eficaces para abordar la repercusión medioambiental del sector. Entre los enfoques complementarios cabe citar la obligatoriedad de declarar las emisiones, el seguimiento del consumo energético, los programas voluntarios de divulgación de datos climáticos y las reformas de mercado destinadas a fomentar las inversiones en energías renovables en el sector de las telecomunicaciones.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D1265" id="_x0000_s1031" type="#_x0000_t202" style="position:absolute;margin-left:284.55pt;margin-top:22.7pt;width:197.9pt;height:36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" o:allowoverlap="f" strokecolor="#4f81bd" strokeweight="1pt">
                <v:textbox>
                  <w:txbxContent>
                    <w:p w14:paraId="2A52B4D1" w14:textId="77777777" w:rsidR="00387BBE" w:rsidRPr="00494741" w:rsidRDefault="00387BBE" w:rsidP="00081E04">
                      <w:pPr>
                        <w:spacing w:before="0"/>
                        <w:rPr>
                          <w:color w:val="4F81BD" w:themeColor="accent1"/>
                          <w:sz w:val="22"/>
                        </w:rPr>
                      </w:pPr>
                      <w:r w:rsidRPr="00494741">
                        <w:rPr>
                          <w:color w:val="4F81BD" w:themeColor="accent1"/>
                          <w:sz w:val="22"/>
                        </w:rPr>
                        <w:t>Compromisos mundiales:</w:t>
                      </w:r>
                    </w:p>
                    <w:p w14:paraId="41EF7EE8" w14:textId="77777777" w:rsidR="00387BBE" w:rsidRPr="008620A9" w:rsidRDefault="00387BBE" w:rsidP="00081E04">
                      <w:pPr>
                        <w:spacing w:before="80"/>
                        <w:jc w:val="both"/>
                        <w:rPr>
                          <w:sz w:val="22"/>
                          <w:lang w:val="es-ES"/>
                        </w:rPr>
                      </w:pPr>
                      <w:r w:rsidRPr="00494741">
                        <w:rPr>
                          <w:sz w:val="22"/>
                        </w:rPr>
                        <w:t>Los enfoques reglamentarios de todo el mundo han comenzado a abordar colectivamente las repercusiones medioambientales, si bien persisten ciertos retos. En la actualidad, alrededor del 40 por ciento de los países ha elaborado políticas, medidas o reglamentaciones en materia de residuos electrónicos, y existen posibilidades de reforzar su cumplimiento y aplicación. El ámbito de la legislación y la reglamentación de las TIC, incluidas la concesión de licencias y la reglamentación del sector de las TIC y las telecomunicaciones, sigue explorando vías eficaces para abordar la repercusión medioambiental del sector. Entre los enfoques complementarios cabe citar la obligatoriedad de declarar las emisiones, el seguimiento del consumo energético, los programas voluntarios de divulgación de datos climáticos y las reformas de mercado destinadas a fomentar las inversiones en energías renovables en el sector de las telecomunicaciones.</w:t>
                      </w:r>
                    </w:p>
                  </w:txbxContent>
                </v:textbox>
                <w10:wrap type="square"/>
              </v:shape>
            </w:pict>
          </mc:Fallback>
        </mc:AlternateContent>
      </w:r>
      <w:r w:rsidRPr="0052117D">
        <w:rPr>
          <w:rFonts w:asciiTheme="minorHAnsi" w:eastAsiaTheme="minorEastAsia" w:hAnsiTheme="minorHAnsi" w:cstheme="minorBidi"/>
          <w:spacing w:val="-4"/>
          <w:szCs w:val="24"/>
          <w:lang w:eastAsia="zh-CN"/>
        </w:rPr>
        <w:t>5.4</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Una verdadera transformación digital ecológica exige un enfoque integral que incorpore la sostenibilidad </w:t>
      </w:r>
      <w:r w:rsidRPr="0052117D">
        <w:rPr>
          <w:rFonts w:eastAsiaTheme="minorEastAsia" w:cstheme="minorBidi"/>
          <w:szCs w:val="24"/>
        </w:rPr>
        <w:t>medioambiental</w:t>
      </w:r>
      <w:r w:rsidRPr="0052117D">
        <w:rPr>
          <w:rFonts w:asciiTheme="minorHAnsi" w:eastAsiaTheme="minorEastAsia" w:hAnsiTheme="minorHAnsi" w:cstheme="minorBidi"/>
          <w:szCs w:val="24"/>
          <w:lang w:eastAsia="zh-CN"/>
        </w:rPr>
        <w:t xml:space="preserve"> en el conjunto del ecosistema digital, con inclusión de la promoción de la eficiencia energética, la aplicación de prácticas de gestión digital del carbono que den prioridad a la eficiencia material y la adopción de los principios de la economía circular, </w:t>
      </w:r>
      <w:r w:rsidRPr="0052117D">
        <w:rPr>
          <w:rFonts w:eastAsiaTheme="minorEastAsia"/>
          <w:szCs w:val="24"/>
        </w:rPr>
        <w:t>incluido</w:t>
      </w:r>
      <w:r w:rsidRPr="0052117D">
        <w:rPr>
          <w:rFonts w:asciiTheme="minorHAnsi" w:eastAsiaTheme="minorEastAsia" w:hAnsiTheme="minorHAnsi" w:cstheme="minorBidi"/>
          <w:szCs w:val="24"/>
          <w:lang w:eastAsia="zh-CN"/>
        </w:rPr>
        <w:t xml:space="preserve"> el fomento de la reutilización de los equipos. Estas estrategias minimizan la repercusión medioambiental de las infraestructuras digitales al reducir la demanda de nuevos recursos. El enfoque de economía circular hace hincapié en el diseño de productos TIC duraderos, </w:t>
      </w:r>
      <w:r w:rsidRPr="0052117D">
        <w:rPr>
          <w:rFonts w:eastAsiaTheme="minorEastAsia"/>
          <w:szCs w:val="24"/>
        </w:rPr>
        <w:t>reparables</w:t>
      </w:r>
      <w:r w:rsidRPr="0052117D">
        <w:rPr>
          <w:rFonts w:asciiTheme="minorHAnsi" w:eastAsiaTheme="minorEastAsia" w:hAnsiTheme="minorHAnsi" w:cstheme="minorBidi"/>
          <w:szCs w:val="24"/>
          <w:lang w:eastAsia="zh-CN"/>
        </w:rPr>
        <w:t xml:space="preserve"> y reciclables, con lo que se prolonga el ciclo de vida de los productos y se reducen los residuos. Además, la colaboración internacional resulta esencial para desarrollar sistemas sostenibles de gestión de los residuos electrónicos que garanticen una recogida, un reacondicionamiento, un reciclado y una eliminación de los dispositivos electrónicos adecuados y respetuosos con el medio ambiente. Estas estrategias combinadas contribuyen a un sector mundial de las TIC más sostenible y resiliente, al tiempo que reducen tanto el consumo de recursos como las emisiones.</w:t>
      </w:r>
    </w:p>
    <w:p w14:paraId="35B29699" w14:textId="77777777" w:rsidR="00081E04" w:rsidRPr="0052117D" w:rsidRDefault="00081E04" w:rsidP="003803B6">
      <w:pPr>
        <w:pStyle w:val="enumlev1"/>
        <w:keepNext/>
        <w:keepLines/>
        <w:jc w:val="both"/>
        <w:rPr>
          <w:rFonts w:eastAsiaTheme="minorEastAsia"/>
          <w:lang w:eastAsia="zh-CN"/>
        </w:rPr>
      </w:pPr>
      <w:r w:rsidRPr="0052117D">
        <w:rPr>
          <w:rFonts w:eastAsiaTheme="minorEastAsia"/>
          <w:bCs/>
          <w:lang w:eastAsia="zh-CN"/>
        </w:rPr>
        <w:lastRenderedPageBreak/>
        <w:t>5.4.1</w:t>
      </w:r>
      <w:r w:rsidRPr="0052117D">
        <w:rPr>
          <w:rFonts w:eastAsiaTheme="minorEastAsia"/>
          <w:bCs/>
          <w:lang w:eastAsia="zh-CN"/>
        </w:rPr>
        <w:tab/>
      </w:r>
      <w:r w:rsidRPr="0052117D">
        <w:rPr>
          <w:rFonts w:eastAsiaTheme="minorEastAsia"/>
          <w:lang w:eastAsia="zh-CN"/>
        </w:rPr>
        <w:t>Las economías en transición se enfrentan a retos específicos a la hora de cumplir los objetivos del Acuerdo de París y facilitar la transformación digital ecológica:</w:t>
      </w:r>
    </w:p>
    <w:p w14:paraId="1F483CCE" w14:textId="77777777" w:rsidR="00081E04" w:rsidRPr="0052117D" w:rsidRDefault="00081E04" w:rsidP="005B6ED5">
      <w:pPr>
        <w:pStyle w:val="enumlev2"/>
        <w:jc w:val="both"/>
        <w:rPr>
          <w:rFonts w:eastAsiaTheme="minorEastAsia"/>
          <w:lang w:eastAsia="zh-CN"/>
        </w:rPr>
      </w:pPr>
      <w:r w:rsidRPr="0052117D">
        <w:rPr>
          <w:rFonts w:eastAsiaTheme="minorEastAsia"/>
          <w:lang w:eastAsia="zh-CN"/>
        </w:rPr>
        <w:t>•</w:t>
      </w:r>
      <w:r w:rsidRPr="0052117D">
        <w:rPr>
          <w:rFonts w:eastAsiaTheme="minorEastAsia"/>
          <w:lang w:eastAsia="zh-CN"/>
        </w:rPr>
        <w:tab/>
        <w:t>Numerosos países en desarrollo tienen una capacidad limitada para atraer los niveles de inversión necesarios para cumplir los objetivos del Acuerdo de París</w:t>
      </w:r>
      <w:r>
        <w:rPr>
          <w:rFonts w:eastAsiaTheme="minorEastAsia"/>
          <w:lang w:eastAsia="zh-CN"/>
        </w:rPr>
        <w:t>.</w:t>
      </w:r>
    </w:p>
    <w:p w14:paraId="315180C8" w14:textId="77777777" w:rsidR="00081E04" w:rsidRPr="0052117D" w:rsidRDefault="00081E04" w:rsidP="005B6ED5">
      <w:pPr>
        <w:pStyle w:val="enumlev2"/>
        <w:jc w:val="both"/>
        <w:rPr>
          <w:rFonts w:eastAsiaTheme="minorEastAsia"/>
          <w:lang w:eastAsia="zh-CN"/>
        </w:rPr>
      </w:pPr>
      <w:r w:rsidRPr="0052117D">
        <w:rPr>
          <w:rFonts w:eastAsiaTheme="minorEastAsia"/>
          <w:lang w:eastAsia="zh-CN"/>
        </w:rPr>
        <w:t>•</w:t>
      </w:r>
      <w:r w:rsidRPr="0052117D">
        <w:rPr>
          <w:rFonts w:eastAsiaTheme="minorEastAsia"/>
          <w:lang w:eastAsia="zh-CN"/>
        </w:rPr>
        <w:tab/>
        <w:t>Investigaciones recientes de la UNCTAD han revelado que 3 300 millones de personas viven en países que destinan más recursos al servicio de la deuda pública que a los servicios públicos de salud o educación</w:t>
      </w:r>
      <w:r>
        <w:rPr>
          <w:rFonts w:eastAsiaTheme="minorEastAsia"/>
          <w:lang w:eastAsia="zh-CN"/>
        </w:rPr>
        <w:t>.</w:t>
      </w:r>
    </w:p>
    <w:p w14:paraId="1EC6393F" w14:textId="77777777" w:rsidR="00081E04" w:rsidRPr="0052117D" w:rsidRDefault="00081E04" w:rsidP="00081E04">
      <w:pPr>
        <w:jc w:val="both"/>
        <w:rPr>
          <w:rFonts w:eastAsiaTheme="minorEastAsia"/>
          <w:szCs w:val="24"/>
          <w:lang w:eastAsia="zh-CN"/>
        </w:rPr>
      </w:pPr>
      <w:r w:rsidRPr="0052117D">
        <w:rPr>
          <w:rFonts w:asciiTheme="minorHAnsi" w:eastAsiaTheme="minorEastAsia" w:hAnsiTheme="minorHAnsi" w:cstheme="minorHAnsi"/>
          <w:szCs w:val="24"/>
          <w:lang w:eastAsia="zh-CN"/>
        </w:rPr>
        <w:t xml:space="preserve">En el caso de los países emergentes y en desarrollo, el pago de intereses supera a las inversiones relacionadas con el </w:t>
      </w:r>
      <w:r w:rsidRPr="0052117D">
        <w:rPr>
          <w:rFonts w:eastAsiaTheme="minorEastAsia"/>
          <w:szCs w:val="24"/>
          <w:lang w:eastAsia="zh-CN"/>
        </w:rPr>
        <w:t>clima</w:t>
      </w:r>
      <w:r w:rsidRPr="0052117D">
        <w:rPr>
          <w:rFonts w:asciiTheme="minorHAnsi" w:eastAsiaTheme="minorEastAsia" w:hAnsiTheme="minorHAnsi" w:cstheme="minorHAnsi"/>
          <w:szCs w:val="24"/>
          <w:lang w:eastAsia="zh-CN"/>
        </w:rPr>
        <w:t xml:space="preserve">, lo que retrasa las medidas de adaptación al cambio climático y de atenuación de sus efectos. Ello deja escaso margen para la </w:t>
      </w:r>
      <w:r w:rsidRPr="0052117D">
        <w:rPr>
          <w:rFonts w:eastAsiaTheme="minorEastAsia"/>
          <w:szCs w:val="24"/>
          <w:lang w:eastAsia="zh-CN"/>
        </w:rPr>
        <w:t>financiación pública de iniciativas TIC esenciales.</w:t>
      </w:r>
    </w:p>
    <w:p w14:paraId="358EEF64" w14:textId="77777777" w:rsidR="00081E04" w:rsidRPr="0052117D" w:rsidRDefault="00081E04" w:rsidP="00081E04">
      <w:pPr>
        <w:jc w:val="center"/>
        <w:rPr>
          <w:rFonts w:eastAsiaTheme="minorEastAsia"/>
          <w:lang w:eastAsia="zh-CN"/>
        </w:rPr>
      </w:pPr>
      <w:r w:rsidRPr="0052117D">
        <w:rPr>
          <w:rFonts w:eastAsiaTheme="minorEastAsia"/>
          <w:noProof/>
          <w:lang w:val="en-US"/>
        </w:rPr>
        <mc:AlternateContent>
          <mc:Choice Requires="wps">
            <w:drawing>
              <wp:inline distT="0" distB="0" distL="0" distR="0" wp14:anchorId="79D0D6AC" wp14:editId="5BC881EA">
                <wp:extent cx="5580000" cy="1404620"/>
                <wp:effectExtent l="0" t="0" r="20955" b="16510"/>
                <wp:docPr id="1425423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404620"/>
                        </a:xfrm>
                        <a:prstGeom prst="rect">
                          <a:avLst/>
                        </a:prstGeom>
                        <a:solidFill>
                          <a:srgbClr val="FFFFFF"/>
                        </a:solidFill>
                        <a:ln w="12700">
                          <a:solidFill>
                            <a:srgbClr val="4F81BD">
                              <a:lumMod val="100000"/>
                              <a:lumOff val="0"/>
                            </a:srgbClr>
                          </a:solidFill>
                          <a:miter lim="800000"/>
                          <a:headEnd/>
                          <a:tailEnd/>
                        </a:ln>
                      </wps:spPr>
                      <wps:txbx>
                        <w:txbxContent>
                          <w:p w14:paraId="25224C8E" w14:textId="77777777" w:rsidR="00387BBE" w:rsidRPr="00494741" w:rsidRDefault="00387BBE" w:rsidP="00081E04">
                            <w:pPr>
                              <w:rPr>
                                <w:color w:val="4F81BD" w:themeColor="accent1"/>
                                <w:sz w:val="22"/>
                              </w:rPr>
                            </w:pPr>
                            <w:r w:rsidRPr="00494741">
                              <w:rPr>
                                <w:color w:val="4F81BD" w:themeColor="accent1"/>
                                <w:sz w:val="22"/>
                              </w:rPr>
                              <w:t xml:space="preserve">Colmar </w:t>
                            </w:r>
                            <w:r>
                              <w:rPr>
                                <w:color w:val="4F81BD" w:themeColor="accent1"/>
                                <w:sz w:val="22"/>
                              </w:rPr>
                              <w:t>carencias</w:t>
                            </w:r>
                            <w:r w:rsidRPr="00494741">
                              <w:rPr>
                                <w:color w:val="4F81BD" w:themeColor="accent1"/>
                                <w:sz w:val="22"/>
                              </w:rPr>
                              <w:t>:</w:t>
                            </w:r>
                          </w:p>
                          <w:p w14:paraId="2FDF9AF6" w14:textId="77777777" w:rsidR="00387BBE" w:rsidRPr="00494741" w:rsidRDefault="00387BBE" w:rsidP="00081E04">
                            <w:pPr>
                              <w:jc w:val="both"/>
                              <w:rPr>
                                <w:b/>
                              </w:rPr>
                            </w:pPr>
                            <w:r w:rsidRPr="00494741">
                              <w:rPr>
                                <w:sz w:val="22"/>
                              </w:rPr>
                              <w:t xml:space="preserve">La falta de datos exhaustivos sobre las emisiones sigue constituyendo una </w:t>
                            </w:r>
                            <w:r>
                              <w:rPr>
                                <w:sz w:val="22"/>
                              </w:rPr>
                              <w:t>carencia</w:t>
                            </w:r>
                            <w:r w:rsidRPr="00494741">
                              <w:rPr>
                                <w:sz w:val="22"/>
                              </w:rPr>
                              <w:t xml:space="preserve"> importante en el sector de las TIC. Para subsanarla se requieren enfoques tales como la sensibilización, la elaboración de indicadores y conocimientos armonizados, el fomento de las contribuciones y las inversiones, el intercambio de prácticas idóneas y la creación de capacidad. Estos elementos resultan esenciales para lograr una transformación digital ecológica que contribuya a la atenuación del cambio climático y a la sostenibilidad medioambiental. En particular, las Recomendaciones y los productos informativos de la UIT proporcionan a las industrias herramientas indispensables para avanzar hacia la consecución de los ODS.</w:t>
                            </w:r>
                          </w:p>
                        </w:txbxContent>
                      </wps:txbx>
                      <wps:bodyPr rot="0" vert="horz" wrap="square" lIns="91440" tIns="45720" rIns="91440" bIns="45720" anchor="t" anchorCtr="0" upright="1">
                        <a:spAutoFit/>
                      </wps:bodyPr>
                    </wps:wsp>
                  </a:graphicData>
                </a:graphic>
              </wp:inline>
            </w:drawing>
          </mc:Choice>
          <mc:Fallback>
            <w:pict>
              <v:shape w14:anchorId="79D0D6AC" id="_x0000_s1032" type="#_x0000_t202" style="width:439.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" strokecolor="#4f81bd" strokeweight="1pt">
                <v:textbox style="mso-fit-shape-to-text:t">
                  <w:txbxContent>
                    <w:p w14:paraId="25224C8E" w14:textId="77777777" w:rsidR="00387BBE" w:rsidRPr="00494741" w:rsidRDefault="00387BBE" w:rsidP="00081E04">
                      <w:pPr>
                        <w:rPr>
                          <w:color w:val="4F81BD" w:themeColor="accent1"/>
                          <w:sz w:val="22"/>
                        </w:rPr>
                      </w:pPr>
                      <w:r w:rsidRPr="00494741">
                        <w:rPr>
                          <w:color w:val="4F81BD" w:themeColor="accent1"/>
                          <w:sz w:val="22"/>
                        </w:rPr>
                        <w:t xml:space="preserve">Colmar </w:t>
                      </w:r>
                      <w:r>
                        <w:rPr>
                          <w:color w:val="4F81BD" w:themeColor="accent1"/>
                          <w:sz w:val="22"/>
                        </w:rPr>
                        <w:t>carencias</w:t>
                      </w:r>
                      <w:r w:rsidRPr="00494741">
                        <w:rPr>
                          <w:color w:val="4F81BD" w:themeColor="accent1"/>
                          <w:sz w:val="22"/>
                        </w:rPr>
                        <w:t>:</w:t>
                      </w:r>
                    </w:p>
                    <w:p w14:paraId="2FDF9AF6" w14:textId="77777777" w:rsidR="00387BBE" w:rsidRPr="00494741" w:rsidRDefault="00387BBE" w:rsidP="00081E04">
                      <w:pPr>
                        <w:jc w:val="both"/>
                        <w:rPr>
                          <w:b/>
                        </w:rPr>
                      </w:pPr>
                      <w:r w:rsidRPr="00494741">
                        <w:rPr>
                          <w:sz w:val="22"/>
                        </w:rPr>
                        <w:t xml:space="preserve">La falta de datos exhaustivos sobre las emisiones sigue constituyendo una </w:t>
                      </w:r>
                      <w:r>
                        <w:rPr>
                          <w:sz w:val="22"/>
                        </w:rPr>
                        <w:t>carencia</w:t>
                      </w:r>
                      <w:r w:rsidRPr="00494741">
                        <w:rPr>
                          <w:sz w:val="22"/>
                        </w:rPr>
                        <w:t xml:space="preserve"> importante en el sector de las TIC. Para subsanarla se requieren enfoques tales como la sensibilización, la elaboración de indicadores y conocimientos armonizados, el fomento de las contribuciones y las inversiones, el intercambio de prácticas idóneas y la creación de capacidad. Estos elementos resultan esenciales para lograr una transformación digital ecológica que contribuya a la atenuación del cambio climático y a la sostenibilidad medioambiental. En particular, las Recomendaciones y los productos informativos de la UIT proporcionan a las industrias herramientas indispensables para avanzar hacia la consecución de los ODS.</w:t>
                      </w:r>
                    </w:p>
                  </w:txbxContent>
                </v:textbox>
                <w10:anchorlock/>
              </v:shape>
            </w:pict>
          </mc:Fallback>
        </mc:AlternateContent>
      </w:r>
    </w:p>
    <w:p w14:paraId="4782B06F" w14:textId="77777777" w:rsidR="00081E04" w:rsidRPr="0052117D" w:rsidRDefault="00081E04" w:rsidP="005B6ED5">
      <w:pPr>
        <w:pStyle w:val="enumlev1"/>
        <w:keepNext/>
        <w:jc w:val="both"/>
        <w:rPr>
          <w:rFonts w:eastAsiaTheme="minorEastAsia"/>
          <w:lang w:eastAsia="zh-CN"/>
        </w:rPr>
      </w:pPr>
      <w:r w:rsidRPr="0052117D">
        <w:rPr>
          <w:rFonts w:eastAsiaTheme="minorEastAsia"/>
          <w:lang w:eastAsia="zh-CN"/>
        </w:rPr>
        <w:t>5.4.2</w:t>
      </w:r>
      <w:r w:rsidRPr="0052117D">
        <w:rPr>
          <w:rFonts w:eastAsiaTheme="minorEastAsia"/>
          <w:lang w:eastAsia="zh-CN"/>
        </w:rPr>
        <w:tab/>
        <w:t>Además de las estrategias de transformación digital ecológica expuestas en el presente Informe, convendría asimismo tener en cuenta lo siguiente:</w:t>
      </w:r>
    </w:p>
    <w:p w14:paraId="7BB77BBF" w14:textId="77777777" w:rsidR="00081E04" w:rsidRPr="0052117D" w:rsidRDefault="00081E04" w:rsidP="005B6ED5">
      <w:pPr>
        <w:pStyle w:val="enumlev2"/>
        <w:jc w:val="both"/>
        <w:rPr>
          <w:rFonts w:eastAsiaTheme="minorEastAsia"/>
          <w:lang w:eastAsia="zh-CN"/>
        </w:rPr>
      </w:pPr>
      <w:r w:rsidRPr="0052117D">
        <w:rPr>
          <w:rFonts w:eastAsiaTheme="minorEastAsia"/>
          <w:lang w:eastAsia="zh-CN"/>
        </w:rPr>
        <w:t>•</w:t>
      </w:r>
      <w:r w:rsidRPr="0052117D">
        <w:rPr>
          <w:rFonts w:eastAsiaTheme="minorEastAsia"/>
          <w:lang w:eastAsia="zh-CN"/>
        </w:rPr>
        <w:tab/>
        <w:t>La promoción de la compartición de infraestructuras, cuando resulte técnica y económicamente viable, con objeto de reducir las infraestructuras redundantes, minimizar el consumo de recursos y disminuir la utilización de energía.</w:t>
      </w:r>
    </w:p>
    <w:p w14:paraId="49133E08" w14:textId="77777777" w:rsidR="00081E04" w:rsidRPr="0052117D" w:rsidRDefault="00081E04" w:rsidP="005B6ED5">
      <w:pPr>
        <w:pStyle w:val="enumlev2"/>
        <w:jc w:val="both"/>
        <w:rPr>
          <w:rFonts w:eastAsiaTheme="minorEastAsia"/>
          <w:szCs w:val="24"/>
          <w:lang w:eastAsia="zh-CN"/>
        </w:rPr>
      </w:pPr>
      <w:r w:rsidRPr="0052117D">
        <w:rPr>
          <w:rFonts w:eastAsiaTheme="minorEastAsia"/>
          <w:szCs w:val="24"/>
          <w:lang w:eastAsia="zh-CN"/>
        </w:rPr>
        <w:t>•</w:t>
      </w:r>
      <w:r w:rsidRPr="0052117D">
        <w:rPr>
          <w:rFonts w:eastAsiaTheme="minorEastAsia"/>
          <w:szCs w:val="24"/>
          <w:lang w:eastAsia="zh-CN"/>
        </w:rPr>
        <w:tab/>
        <w:t xml:space="preserve">La selección y el despliegue responsables de los emplazamientos de las torres de </w:t>
      </w:r>
      <w:r w:rsidRPr="005B6ED5">
        <w:rPr>
          <w:rFonts w:eastAsiaTheme="minorEastAsia"/>
          <w:lang w:eastAsia="zh-CN"/>
        </w:rPr>
        <w:t>comunicaciones</w:t>
      </w:r>
      <w:r w:rsidRPr="0052117D">
        <w:rPr>
          <w:rFonts w:eastAsiaTheme="minorEastAsia"/>
          <w:szCs w:val="24"/>
          <w:lang w:eastAsia="zh-CN"/>
        </w:rPr>
        <w:t xml:space="preserve">, a fin de contribuir a minimizar la perturbación o destrucción de </w:t>
      </w:r>
      <w:r w:rsidRPr="0052117D">
        <w:rPr>
          <w:rFonts w:eastAsiaTheme="minorEastAsia"/>
          <w:lang w:eastAsia="zh-CN"/>
        </w:rPr>
        <w:t>ecosistemas</w:t>
      </w:r>
      <w:r w:rsidRPr="0052117D">
        <w:rPr>
          <w:rFonts w:eastAsiaTheme="minorEastAsia"/>
          <w:szCs w:val="24"/>
          <w:lang w:eastAsia="zh-CN"/>
        </w:rPr>
        <w:t xml:space="preserve"> sensibles y hábitats de fauna silvestre.</w:t>
      </w:r>
    </w:p>
    <w:p w14:paraId="023F8543" w14:textId="77777777" w:rsidR="00081E04" w:rsidRPr="0052117D" w:rsidRDefault="00081E04" w:rsidP="005B6ED5">
      <w:pPr>
        <w:pStyle w:val="enumlev2"/>
        <w:jc w:val="both"/>
        <w:rPr>
          <w:rFonts w:eastAsiaTheme="minorEastAsia"/>
          <w:szCs w:val="24"/>
          <w:lang w:eastAsia="zh-CN"/>
        </w:rPr>
      </w:pPr>
      <w:r w:rsidRPr="0052117D">
        <w:rPr>
          <w:rFonts w:eastAsiaTheme="minorEastAsia"/>
          <w:szCs w:val="24"/>
          <w:lang w:eastAsia="zh-CN"/>
        </w:rPr>
        <w:t>•</w:t>
      </w:r>
      <w:r w:rsidRPr="0052117D">
        <w:rPr>
          <w:rFonts w:eastAsiaTheme="minorEastAsia"/>
          <w:szCs w:val="24"/>
          <w:lang w:eastAsia="zh-CN"/>
        </w:rPr>
        <w:tab/>
        <w:t xml:space="preserve">La </w:t>
      </w:r>
      <w:r w:rsidRPr="005B6ED5">
        <w:rPr>
          <w:rFonts w:eastAsiaTheme="minorEastAsia"/>
          <w:lang w:eastAsia="zh-CN"/>
        </w:rPr>
        <w:t>investigación</w:t>
      </w:r>
      <w:r w:rsidRPr="0052117D">
        <w:rPr>
          <w:rFonts w:eastAsiaTheme="minorEastAsia"/>
          <w:szCs w:val="24"/>
          <w:lang w:eastAsia="zh-CN"/>
        </w:rPr>
        <w:t xml:space="preserve"> continua sobre los posibles efectos de los campos electromagnéticos en la fauna silvestre.</w:t>
      </w:r>
    </w:p>
    <w:p w14:paraId="59E81256" w14:textId="77777777" w:rsidR="00081E04" w:rsidRPr="0052117D" w:rsidRDefault="00081E04" w:rsidP="005B6ED5">
      <w:pPr>
        <w:pStyle w:val="enumlev2"/>
        <w:jc w:val="both"/>
        <w:rPr>
          <w:rFonts w:eastAsiaTheme="minorEastAsia"/>
          <w:szCs w:val="24"/>
          <w:lang w:eastAsia="zh-CN"/>
        </w:rPr>
      </w:pPr>
      <w:r w:rsidRPr="0052117D">
        <w:rPr>
          <w:rFonts w:eastAsiaTheme="minorEastAsia"/>
          <w:szCs w:val="24"/>
          <w:lang w:eastAsia="zh-CN"/>
        </w:rPr>
        <w:t>•</w:t>
      </w:r>
      <w:r w:rsidRPr="0052117D">
        <w:rPr>
          <w:rFonts w:eastAsiaTheme="minorEastAsia"/>
          <w:szCs w:val="24"/>
          <w:lang w:eastAsia="zh-CN"/>
        </w:rPr>
        <w:tab/>
        <w:t xml:space="preserve">El establecimiento de las políticas, reglamentaciones, instalaciones y mecanismos </w:t>
      </w:r>
      <w:r w:rsidRPr="0052117D">
        <w:rPr>
          <w:rFonts w:eastAsiaTheme="minorEastAsia"/>
          <w:lang w:eastAsia="zh-CN"/>
        </w:rPr>
        <w:t>necesarios</w:t>
      </w:r>
      <w:r w:rsidRPr="0052117D">
        <w:rPr>
          <w:rFonts w:eastAsiaTheme="minorEastAsia"/>
          <w:szCs w:val="24"/>
          <w:lang w:eastAsia="zh-CN"/>
        </w:rPr>
        <w:t xml:space="preserve"> para </w:t>
      </w:r>
      <w:r w:rsidRPr="005B6ED5">
        <w:rPr>
          <w:rFonts w:eastAsiaTheme="minorEastAsia"/>
          <w:lang w:eastAsia="zh-CN"/>
        </w:rPr>
        <w:t>fomentar</w:t>
      </w:r>
      <w:r w:rsidRPr="0052117D">
        <w:rPr>
          <w:rFonts w:eastAsiaTheme="minorEastAsia"/>
          <w:szCs w:val="24"/>
          <w:lang w:eastAsia="zh-CN"/>
        </w:rPr>
        <w:t xml:space="preserve"> el reciclado de los equipos TIC y la eliminación de los residuos electrónicos de manera respetuosa con el medio ambiente. </w:t>
      </w:r>
    </w:p>
    <w:p w14:paraId="37145386" w14:textId="77777777" w:rsidR="00081E04" w:rsidRPr="0052117D" w:rsidRDefault="00081E04" w:rsidP="005B6ED5">
      <w:pPr>
        <w:pStyle w:val="enumlev2"/>
        <w:jc w:val="both"/>
        <w:rPr>
          <w:rFonts w:eastAsiaTheme="minorEastAsia"/>
          <w:szCs w:val="24"/>
          <w:lang w:eastAsia="zh-CN"/>
        </w:rPr>
      </w:pPr>
      <w:r w:rsidRPr="0052117D">
        <w:rPr>
          <w:rFonts w:eastAsiaTheme="minorEastAsia"/>
          <w:szCs w:val="24"/>
          <w:lang w:eastAsia="zh-CN"/>
        </w:rPr>
        <w:t>•</w:t>
      </w:r>
      <w:r w:rsidRPr="0052117D">
        <w:rPr>
          <w:rFonts w:eastAsiaTheme="minorEastAsia"/>
          <w:szCs w:val="24"/>
          <w:lang w:eastAsia="zh-CN"/>
        </w:rPr>
        <w:tab/>
        <w:t xml:space="preserve">La creación y mejora de mercados digitales y plataformas de comercio electrónico que faciliten el </w:t>
      </w:r>
      <w:r w:rsidRPr="005B6ED5">
        <w:rPr>
          <w:rFonts w:eastAsiaTheme="minorEastAsia"/>
          <w:lang w:eastAsia="zh-CN"/>
        </w:rPr>
        <w:t>intercambio</w:t>
      </w:r>
      <w:r w:rsidRPr="0052117D">
        <w:rPr>
          <w:rFonts w:eastAsiaTheme="minorEastAsia"/>
          <w:szCs w:val="24"/>
          <w:lang w:eastAsia="zh-CN"/>
        </w:rPr>
        <w:t xml:space="preserve"> de bienes de segunda mano y productos reacondicionados.</w:t>
      </w:r>
    </w:p>
    <w:p w14:paraId="21D503D6" w14:textId="77777777" w:rsidR="00081E04" w:rsidRPr="0052117D" w:rsidRDefault="00081E04" w:rsidP="00081E04">
      <w:pPr>
        <w:jc w:val="both"/>
      </w:pPr>
      <w:r w:rsidRPr="0052117D">
        <w:t>Este enfoque permitiría armonizar la transformación digital ecológica con los objetivos de sostenibilidad tanto medioambiental como económica, atendiendo al mismo tiempo a los retos específicos a que se enfrentan las economías dependientes del turismo.</w:t>
      </w:r>
    </w:p>
    <w:p w14:paraId="0400FF83" w14:textId="77777777" w:rsidR="00081E04" w:rsidRPr="0052117D" w:rsidRDefault="00081E04" w:rsidP="00081E04">
      <w:pPr>
        <w:jc w:val="both"/>
      </w:pPr>
      <w:r w:rsidRPr="0052117D">
        <w:t>5.5</w:t>
      </w:r>
      <w:r w:rsidRPr="0052117D">
        <w:tab/>
        <w:t xml:space="preserve">Entre los aspectos fundamentales que cabe considerar a este respecto figuran las asociaciones internacionales centradas en la promoción del desarrollo sostenible y la acción climática mediante la innovación tecnológica, incluidas las comunicaciones por satélite y la IA aplicadas al seguimiento del clima y a la preparación para casos de catástrofe; los mecanismos de apoyo a los países en desarrollo mediante asistencia específica e intercambio de conocimientos; la </w:t>
      </w:r>
      <w:r w:rsidRPr="0052117D">
        <w:lastRenderedPageBreak/>
        <w:t>aplicación de enfoques de economía circular a la fabricación, el despliegue y la eliminación de las TIC con miras a minimizar los residuos electrónicos; la movilización de soluciones digitales escalables para facilitar servicios resilientes al clima; la evaluación de los beneficios sociales y medioambientales de las iniciativas de transformación digital, y la elaboración de prácticas idóneas del sector para analizar de qué manera las telecomunicaciones/TIC pueden reducir las repercusiones medioambientales negativas en todos los sectores.</w:t>
      </w:r>
    </w:p>
    <w:p w14:paraId="3557051B" w14:textId="77777777" w:rsidR="00081E04" w:rsidRPr="0052117D" w:rsidRDefault="00081E04" w:rsidP="00081E04">
      <w:pPr>
        <w:jc w:val="both"/>
      </w:pPr>
      <w:r w:rsidRPr="0052117D">
        <w:t>5.6</w:t>
      </w:r>
      <w:r w:rsidRPr="0052117D">
        <w:tab/>
        <w:t>Por lo que respecta al tema de la transformación digital ecológica, los miembros del GIE expresaron opiniones divergentes sobre la pertinencia de determinada terminología relativa al cambio climático y sobre su formulación en el contexto de este tema.</w:t>
      </w:r>
      <w:r w:rsidRPr="0052117D">
        <w:rPr>
          <w:rStyle w:val="FootnoteReference"/>
        </w:rPr>
        <w:footnoteReference w:id="3"/>
      </w:r>
    </w:p>
    <w:p w14:paraId="666B9F58"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5.7</w:t>
      </w:r>
      <w:r w:rsidRPr="0052117D">
        <w:rPr>
          <w:rFonts w:asciiTheme="minorHAnsi" w:eastAsiaTheme="minorEastAsia" w:hAnsiTheme="minorHAnsi" w:cstheme="minorHAnsi"/>
          <w:szCs w:val="24"/>
          <w:lang w:eastAsia="zh-CN"/>
        </w:rPr>
        <w:tab/>
        <w:t>Durante el debate sobre los Objetivos de Desarrollo Sostenible (ODS), un Estado Miembro expresó opiniones divergentes acerca de la inclusión de dichas referencias. Otros miembros del GIE respaldaron la armonización con los ODS.</w:t>
      </w:r>
      <w:r w:rsidRPr="0052117D">
        <w:rPr>
          <w:rStyle w:val="FootnoteReference"/>
        </w:rPr>
        <w:footnoteReference w:id="4"/>
      </w:r>
    </w:p>
    <w:p w14:paraId="49CCD832"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5.8</w:t>
      </w:r>
      <w:r w:rsidRPr="0052117D">
        <w:rPr>
          <w:rFonts w:asciiTheme="minorHAnsi" w:eastAsiaTheme="minorEastAsia" w:hAnsiTheme="minorHAnsi" w:cstheme="minorHAnsi"/>
          <w:szCs w:val="24"/>
          <w:lang w:eastAsia="zh-CN"/>
        </w:rPr>
        <w:tab/>
        <w:t>Habida cuenta de la evolución mundial en curso de los enfoques reglamentarios, los compromisos de la industria y las iniciativas de colaboración, se plantean varias cuestiones esenciales sobre la manera de acelerar y ampliar la contribución del sector de los servicios y tecnologías de telecomunicaciones/TIC a la sostenibilidad medioambiental:</w:t>
      </w:r>
    </w:p>
    <w:p w14:paraId="528EDF36" w14:textId="77777777" w:rsidR="00081E04" w:rsidRPr="0052117D" w:rsidRDefault="00081E04" w:rsidP="005B6ED5">
      <w:pPr>
        <w:pStyle w:val="enumlev1"/>
        <w:jc w:val="both"/>
        <w:rPr>
          <w:rFonts w:eastAsiaTheme="minorEastAsia"/>
          <w:rtl/>
          <w:lang w:eastAsia="zh-CN"/>
        </w:rPr>
      </w:pPr>
      <w:r w:rsidRPr="0052117D">
        <w:rPr>
          <w:rFonts w:eastAsiaTheme="minorEastAsia"/>
          <w:lang w:eastAsia="zh-CN"/>
        </w:rPr>
        <w:t>5.8.1</w:t>
      </w:r>
      <w:r w:rsidRPr="0052117D">
        <w:rPr>
          <w:rFonts w:eastAsiaTheme="minorEastAsia"/>
          <w:lang w:eastAsia="zh-CN"/>
        </w:rPr>
        <w:tab/>
        <w:t>¿Qué medidas puede adoptar la UIT para establecer</w:t>
      </w:r>
      <w:r w:rsidRPr="0052117D">
        <w:rPr>
          <w:rFonts w:eastAsiaTheme="minorEastAsia"/>
          <w:rtl/>
          <w:lang w:eastAsia="zh-CN"/>
        </w:rPr>
        <w:t xml:space="preserve"> </w:t>
      </w:r>
      <w:r w:rsidRPr="0052117D">
        <w:rPr>
          <w:rFonts w:eastAsiaTheme="minorEastAsia"/>
          <w:lang w:eastAsia="zh-CN"/>
        </w:rPr>
        <w:t>asociaciones internacionales que promuevan la aplicación de la transformación digital ecológica en favor del desarrollo sostenible y la acción climática?</w:t>
      </w:r>
    </w:p>
    <w:p w14:paraId="4E160DC8"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t>5.8.2</w:t>
      </w:r>
      <w:r w:rsidRPr="0052117D">
        <w:rPr>
          <w:rFonts w:eastAsiaTheme="minorEastAsia"/>
          <w:bCs/>
          <w:lang w:eastAsia="zh-CN"/>
        </w:rPr>
        <w:tab/>
      </w:r>
      <w:r w:rsidRPr="0052117D">
        <w:rPr>
          <w:rFonts w:eastAsiaTheme="minorEastAsia"/>
          <w:lang w:eastAsia="zh-CN"/>
        </w:rPr>
        <w:t>¿Cómo pueden las telecomunicaciones/TIC, incluidas las comunicaciones por satélite y la Internet de las cosas, ayudar a los países en desarrollo a lograr una transformación digital ecológica, en particular mediante la mejora del seguimiento del clima, la preparación para casos de catástrofe y la agricultura de precisión en zonas remotas e insuficientemente atendidas?</w:t>
      </w:r>
    </w:p>
    <w:p w14:paraId="3F1B9277"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t>5.8.3</w:t>
      </w:r>
      <w:r w:rsidRPr="0052117D">
        <w:rPr>
          <w:rFonts w:eastAsiaTheme="minorEastAsia"/>
          <w:bCs/>
          <w:lang w:eastAsia="zh-CN"/>
        </w:rPr>
        <w:tab/>
      </w:r>
      <w:r w:rsidRPr="0052117D">
        <w:rPr>
          <w:rFonts w:eastAsiaTheme="minorEastAsia"/>
          <w:lang w:eastAsia="zh-CN"/>
        </w:rPr>
        <w:t xml:space="preserve">¿Cuáles son las buenas prácticas de las telecomunicaciones/TIC para reducir la repercusión negativa de las industrias en el medio ambiente, con inclusión, entre otros, de mecanismos tales como la integración de los principios de la economía circular en la fabricación, el despliegue y la eliminación de las TIC con miras a minimizar los residuos electrónicos? </w:t>
      </w:r>
    </w:p>
    <w:p w14:paraId="1FCEACC9"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t>5.8.4</w:t>
      </w:r>
      <w:r w:rsidRPr="0052117D">
        <w:rPr>
          <w:rFonts w:eastAsiaTheme="minorEastAsia"/>
          <w:bCs/>
          <w:lang w:eastAsia="zh-CN"/>
        </w:rPr>
        <w:tab/>
      </w:r>
      <w:r w:rsidRPr="0052117D">
        <w:rPr>
          <w:rFonts w:eastAsiaTheme="minorEastAsia"/>
          <w:lang w:eastAsia="zh-CN"/>
        </w:rPr>
        <w:t>¿Cómo pueden las normas internacionales ayudar a los gobiernos y al sector de las TIC a reducir la repercusión medioambiental de las telecomunicaciones/TIC y, al mismo tiempo, permitirles fomentar soluciones TIC que generen repercusiones medioambientales positivas dentro del sector de las TIC y fuera de él?</w:t>
      </w:r>
    </w:p>
    <w:p w14:paraId="56C74E6B" w14:textId="77777777" w:rsidR="00081E04" w:rsidRPr="0052117D" w:rsidRDefault="00081E04" w:rsidP="005B6ED5">
      <w:pPr>
        <w:pStyle w:val="enumlev1"/>
        <w:jc w:val="both"/>
        <w:rPr>
          <w:rFonts w:eastAsiaTheme="minorEastAsia"/>
          <w:lang w:eastAsia="zh-CN"/>
        </w:rPr>
      </w:pPr>
      <w:r w:rsidRPr="0052117D">
        <w:rPr>
          <w:rFonts w:eastAsiaTheme="minorEastAsia"/>
          <w:bCs/>
          <w:lang w:eastAsia="zh-CN"/>
        </w:rPr>
        <w:t>5.8.5</w:t>
      </w:r>
      <w:r w:rsidRPr="0052117D">
        <w:rPr>
          <w:rFonts w:eastAsiaTheme="minorEastAsia"/>
          <w:bCs/>
          <w:lang w:eastAsia="zh-CN"/>
        </w:rPr>
        <w:tab/>
      </w:r>
      <w:r w:rsidRPr="0052117D">
        <w:rPr>
          <w:rFonts w:eastAsiaTheme="minorEastAsia"/>
          <w:lang w:eastAsia="zh-CN"/>
        </w:rPr>
        <w:t>¿Cómo pueden los responsables políticos contribuir a reducir la repercusión medioambiental de las telecomunicaciones/TIC y a facilitar la contribución de las TIC a la sostenibilidad y a la acción climática?</w:t>
      </w:r>
    </w:p>
    <w:p w14:paraId="37184FF0" w14:textId="77777777" w:rsidR="00081E04" w:rsidRPr="0052117D" w:rsidRDefault="00081E04" w:rsidP="005B6ED5">
      <w:pPr>
        <w:pStyle w:val="enumlev1"/>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bCs/>
          <w:szCs w:val="24"/>
          <w:lang w:eastAsia="zh-CN"/>
        </w:rPr>
        <w:t>5.8.6</w:t>
      </w:r>
      <w:r w:rsidRPr="0052117D">
        <w:rPr>
          <w:rFonts w:asciiTheme="minorHAnsi" w:eastAsiaTheme="minorEastAsia" w:hAnsiTheme="minorHAnsi" w:cstheme="minorHAnsi"/>
          <w:bCs/>
          <w:szCs w:val="24"/>
          <w:lang w:eastAsia="zh-CN"/>
        </w:rPr>
        <w:tab/>
      </w:r>
      <w:r w:rsidRPr="0052117D">
        <w:rPr>
          <w:rFonts w:asciiTheme="minorHAnsi" w:eastAsiaTheme="minorEastAsia" w:hAnsiTheme="minorHAnsi" w:cstheme="minorHAnsi"/>
          <w:szCs w:val="24"/>
          <w:lang w:eastAsia="zh-CN"/>
        </w:rPr>
        <w:t xml:space="preserve">Aprovechando iniciativas ya existentes, como la Acción Digital Verde, ¿cómo pueden los gobiernos, la industria, los organismos </w:t>
      </w:r>
      <w:r w:rsidRPr="005B6ED5">
        <w:rPr>
          <w:rFonts w:eastAsiaTheme="minorEastAsia"/>
          <w:lang w:eastAsia="zh-CN"/>
        </w:rPr>
        <w:t>de</w:t>
      </w:r>
      <w:r w:rsidRPr="0052117D">
        <w:rPr>
          <w:rFonts w:asciiTheme="minorHAnsi" w:eastAsiaTheme="minorEastAsia" w:hAnsiTheme="minorHAnsi" w:cstheme="minorHAnsi"/>
          <w:szCs w:val="24"/>
          <w:lang w:eastAsia="zh-CN"/>
        </w:rPr>
        <w:t xml:space="preserve"> las Naciones Unidas, las instituciones académicas </w:t>
      </w:r>
      <w:r w:rsidRPr="0052117D">
        <w:rPr>
          <w:rFonts w:asciiTheme="minorHAnsi" w:eastAsiaTheme="minorEastAsia" w:hAnsiTheme="minorHAnsi" w:cstheme="minorHAnsi"/>
          <w:szCs w:val="24"/>
          <w:lang w:eastAsia="zh-CN"/>
        </w:rPr>
        <w:lastRenderedPageBreak/>
        <w:t xml:space="preserve">y la sociedad civil acelerar los compromisos del conjunto de la industria para hacer frente a los retos climáticos, situar las soluciones digitales en la vanguardia de la acción climática y garantizar que </w:t>
      </w:r>
      <w:r w:rsidRPr="005B6ED5">
        <w:rPr>
          <w:rFonts w:eastAsiaTheme="minorEastAsia"/>
          <w:lang w:eastAsia="zh-CN"/>
        </w:rPr>
        <w:t>las</w:t>
      </w:r>
      <w:r w:rsidRPr="0052117D">
        <w:rPr>
          <w:rFonts w:asciiTheme="minorHAnsi" w:eastAsiaTheme="minorEastAsia" w:hAnsiTheme="minorHAnsi" w:cstheme="minorHAnsi"/>
          <w:szCs w:val="24"/>
          <w:lang w:eastAsia="zh-CN"/>
        </w:rPr>
        <w:t xml:space="preserve"> iniciativas de alfabetización digital y creación de capacidad doten a las comunidades de autonomía para participar en los ecosistemas digitales ecológicos?</w:t>
      </w:r>
    </w:p>
    <w:p w14:paraId="3ABF87B3" w14:textId="77777777" w:rsidR="00081E04" w:rsidRPr="0052117D" w:rsidRDefault="00081E04" w:rsidP="005B6ED5">
      <w:pPr>
        <w:pStyle w:val="enumlev1"/>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bCs/>
          <w:szCs w:val="24"/>
          <w:lang w:eastAsia="zh-CN"/>
        </w:rPr>
        <w:t>5.8.7</w:t>
      </w:r>
      <w:r w:rsidRPr="0052117D">
        <w:rPr>
          <w:rFonts w:asciiTheme="minorHAnsi" w:eastAsiaTheme="minorEastAsia" w:hAnsiTheme="minorHAnsi" w:cstheme="minorHAnsi"/>
          <w:bCs/>
          <w:szCs w:val="24"/>
          <w:lang w:eastAsia="zh-CN"/>
        </w:rPr>
        <w:tab/>
      </w:r>
      <w:r w:rsidRPr="0052117D">
        <w:rPr>
          <w:rFonts w:asciiTheme="minorHAnsi" w:eastAsiaTheme="minorEastAsia" w:hAnsiTheme="minorHAnsi" w:cstheme="minorHAnsi"/>
          <w:szCs w:val="24"/>
          <w:lang w:eastAsia="zh-CN"/>
        </w:rPr>
        <w:t xml:space="preserve">¿Cómo pueden los responsables políticos determinar cuáles son las carencias de datos y las necesidades de investigación más significativas en materia de transformación digital ecológica, en </w:t>
      </w:r>
      <w:r w:rsidRPr="005B6ED5">
        <w:rPr>
          <w:rFonts w:eastAsiaTheme="minorEastAsia"/>
          <w:lang w:eastAsia="zh-CN"/>
        </w:rPr>
        <w:t>particular</w:t>
      </w:r>
      <w:r w:rsidRPr="0052117D">
        <w:rPr>
          <w:rFonts w:asciiTheme="minorHAnsi" w:eastAsiaTheme="minorEastAsia" w:hAnsiTheme="minorHAnsi" w:cstheme="minorHAnsi"/>
          <w:szCs w:val="24"/>
          <w:lang w:eastAsia="zh-CN"/>
        </w:rPr>
        <w:t xml:space="preserve"> mediante la elaboración de parámetros e indicadores que permitan evaluar la huella medioambiental y la repercusión climática, y cómo puede abordarse esta cuestión mediante la cooperación internacional y el intercambio de conocimientos?</w:t>
      </w:r>
    </w:p>
    <w:p w14:paraId="60C5ABE0"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b/>
          <w:szCs w:val="24"/>
          <w:lang w:eastAsia="zh-CN"/>
        </w:rPr>
      </w:pPr>
      <w:r w:rsidRPr="0052117D">
        <w:rPr>
          <w:rFonts w:asciiTheme="minorHAnsi" w:eastAsiaTheme="minorEastAsia" w:hAnsiTheme="minorHAnsi" w:cstheme="minorBidi"/>
          <w:b/>
          <w:szCs w:val="24"/>
          <w:lang w:eastAsia="zh-CN"/>
        </w:rPr>
        <w:br w:type="page"/>
      </w:r>
    </w:p>
    <w:p w14:paraId="1A5FA604" w14:textId="77777777" w:rsidR="00081E04" w:rsidRPr="0052117D" w:rsidRDefault="00081E04" w:rsidP="003F5F9B">
      <w:pPr>
        <w:pStyle w:val="Heading1"/>
      </w:pPr>
      <w:r w:rsidRPr="0052117D">
        <w:lastRenderedPageBreak/>
        <w:t>6</w:t>
      </w:r>
      <w:r w:rsidRPr="0052117D">
        <w:tab/>
        <w:t>La construcción de infraestructuras y servicios de telecomunicaciones/TIC resilientes</w:t>
      </w:r>
    </w:p>
    <w:p w14:paraId="6270A1AC"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6.1</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Los servicios y tecnologías de telecomunicaciones/TIC resilientes son capaces de predecir y soportar múltiples formas de perturbación, así como de responder a ellas. La resiliencia de las redes mundiales de telecomunicaciones depende de múltiples factores, tales como las infraestructuras (por ejemplo, las redes terrenales y los </w:t>
      </w:r>
      <w:r w:rsidRPr="0052117D">
        <w:rPr>
          <w:rFonts w:eastAsiaTheme="minorEastAsia"/>
          <w:szCs w:val="24"/>
          <w:lang w:eastAsia="zh-CN"/>
        </w:rPr>
        <w:t>cables submarinos</w:t>
      </w:r>
      <w:r w:rsidRPr="0052117D">
        <w:rPr>
          <w:rFonts w:asciiTheme="minorHAnsi" w:eastAsiaTheme="minorEastAsia" w:hAnsiTheme="minorHAnsi" w:cstheme="minorBidi"/>
          <w:szCs w:val="24"/>
          <w:lang w:eastAsia="zh-CN"/>
        </w:rPr>
        <w:t xml:space="preserve"> a través de los cuales circula más del 99 % del tráfico mundial de Internet), los sistemas de satélites que aportan una redundancia y un alcance esenciales, la disponibilidad de las competencias pertinentes en la economía, la sensibilización de la población, los sistemas de alerta temprana, las medidas de ciberseguridad y las medidas de atenuación de los efectos del cambio climático.</w:t>
      </w:r>
    </w:p>
    <w:p w14:paraId="15F7227F" w14:textId="77777777" w:rsidR="00081E04" w:rsidRPr="0052117D" w:rsidRDefault="00081E04" w:rsidP="00081E04">
      <w:pPr>
        <w:keepNext/>
        <w:keepLines/>
        <w:tabs>
          <w:tab w:val="clear" w:pos="1134"/>
          <w:tab w:val="clear" w:pos="1701"/>
          <w:tab w:val="clear" w:pos="2268"/>
          <w:tab w:val="clear" w:pos="2835"/>
        </w:tabs>
        <w:overflowPunct/>
        <w:autoSpaceDE/>
        <w:autoSpaceDN/>
        <w:adjustRightInd/>
        <w:spacing w:before="240"/>
        <w:ind w:left="144"/>
        <w:jc w:val="center"/>
        <w:textAlignment w:val="auto"/>
        <w:outlineLvl w:val="1"/>
        <w:rPr>
          <w:rFonts w:asciiTheme="minorHAnsi" w:eastAsiaTheme="minorEastAsia" w:hAnsiTheme="minorHAnsi" w:cstheme="minorBidi"/>
          <w:sz w:val="22"/>
          <w:szCs w:val="22"/>
          <w:lang w:eastAsia="zh-CN"/>
        </w:rPr>
      </w:pPr>
      <w:r w:rsidRPr="0052117D">
        <w:rPr>
          <w:rFonts w:asciiTheme="minorHAnsi" w:eastAsiaTheme="minorEastAsia" w:hAnsiTheme="minorHAnsi" w:cstheme="minorBidi"/>
          <w:noProof/>
          <w:sz w:val="22"/>
          <w:szCs w:val="22"/>
          <w:lang w:val="en-US"/>
        </w:rPr>
        <mc:AlternateContent>
          <mc:Choice Requires="wps">
            <w:drawing>
              <wp:inline distT="0" distB="0" distL="0" distR="0" wp14:anchorId="362CCA8C" wp14:editId="6F631CD8">
                <wp:extent cx="5580000" cy="1404620"/>
                <wp:effectExtent l="0" t="0" r="20955" b="11430"/>
                <wp:docPr id="572667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404620"/>
                        </a:xfrm>
                        <a:prstGeom prst="rect">
                          <a:avLst/>
                        </a:prstGeom>
                        <a:solidFill>
                          <a:srgbClr val="FFFFFF"/>
                        </a:solidFill>
                        <a:ln w="19050">
                          <a:solidFill>
                            <a:srgbClr val="9BBB59">
                              <a:lumMod val="100000"/>
                              <a:lumOff val="0"/>
                            </a:srgbClr>
                          </a:solidFill>
                          <a:miter lim="800000"/>
                          <a:headEnd/>
                          <a:tailEnd/>
                        </a:ln>
                      </wps:spPr>
                      <wps:txbx>
                        <w:txbxContent>
                          <w:p w14:paraId="6A267AC0" w14:textId="77777777" w:rsidR="00387BBE" w:rsidRPr="00494741" w:rsidRDefault="00387BBE" w:rsidP="00081E04">
                            <w:pPr>
                              <w:rPr>
                                <w:color w:val="9BBB59" w:themeColor="accent3"/>
                                <w:sz w:val="22"/>
                              </w:rPr>
                            </w:pPr>
                            <w:r w:rsidRPr="00494741">
                              <w:rPr>
                                <w:color w:val="9BBB59" w:themeColor="accent3"/>
                                <w:sz w:val="22"/>
                              </w:rPr>
                              <w:t xml:space="preserve">Estudio de caso: la resiliencia de los cables submarinos </w:t>
                            </w:r>
                          </w:p>
                          <w:p w14:paraId="613FF974" w14:textId="77777777" w:rsidR="00387BBE" w:rsidRPr="008620A9" w:rsidRDefault="00387BBE" w:rsidP="00081E04">
                            <w:pPr>
                              <w:jc w:val="both"/>
                              <w:rPr>
                                <w:sz w:val="22"/>
                                <w:lang w:val="es-ES"/>
                              </w:rPr>
                            </w:pPr>
                            <w:r w:rsidRPr="00494741">
                              <w:rPr>
                                <w:sz w:val="22"/>
                              </w:rPr>
                              <w:t xml:space="preserve">Consciente de la importancia crucial de los cables submarinos para la conectividad mundial y la economía digital, la UIT ha creado un </w:t>
                            </w:r>
                            <w:hyperlink r:id="rId25" w:history="1">
                              <w:r w:rsidRPr="00494741">
                                <w:rPr>
                                  <w:rStyle w:val="Hyperlink"/>
                                  <w:sz w:val="22"/>
                                </w:rPr>
                                <w:t>Órgano Consultivo Internacional sobre la Resiliencia de los Cables Submarinos</w:t>
                              </w:r>
                            </w:hyperlink>
                            <w:r w:rsidRPr="00494741">
                              <w:rPr>
                                <w:sz w:val="22"/>
                              </w:rPr>
                              <w:t>. Esta iniciativa responde a la creciente vulnerabilidad de las infraestructuras submarinas frente a las interrupciones del servicio y tiene por objeto mejorar la seguridad, la redundancia y la protección de los cables submarinos mediante la colaboración internacional entre múltiples partes interesadas. El Órgano Consultivo reúne a gobiernos, autoridades reguladoras y dirigentes de la industria con el fin de elaborar prácticas idóneas, perfeccionar los marcos técnicos y reforzar los enfoques normativos aplicables a la protección de los cables submarinos.</w:t>
                            </w:r>
                          </w:p>
                        </w:txbxContent>
                      </wps:txbx>
                      <wps:bodyPr rot="0" vert="horz" wrap="square" lIns="91440" tIns="45720" rIns="91440" bIns="45720" anchor="t" anchorCtr="0" upright="1">
                        <a:spAutoFit/>
                      </wps:bodyPr>
                    </wps:wsp>
                  </a:graphicData>
                </a:graphic>
              </wp:inline>
            </w:drawing>
          </mc:Choice>
          <mc:Fallback>
            <w:pict>
              <v:shape w14:anchorId="362CCA8C" id="_x0000_s1033" type="#_x0000_t202" style="width:439.3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" strokecolor="#9bbb59" strokeweight="1.5pt">
                <v:textbox style="mso-fit-shape-to-text:t">
                  <w:txbxContent>
                    <w:p w14:paraId="6A267AC0" w14:textId="77777777" w:rsidR="00387BBE" w:rsidRPr="00494741" w:rsidRDefault="00387BBE" w:rsidP="00081E04">
                      <w:pPr>
                        <w:rPr>
                          <w:color w:val="9BBB59" w:themeColor="accent3"/>
                          <w:sz w:val="22"/>
                        </w:rPr>
                      </w:pPr>
                      <w:r w:rsidRPr="00494741">
                        <w:rPr>
                          <w:color w:val="9BBB59" w:themeColor="accent3"/>
                          <w:sz w:val="22"/>
                        </w:rPr>
                        <w:t xml:space="preserve">Estudio de caso: la resiliencia de los cables submarinos </w:t>
                      </w:r>
                    </w:p>
                    <w:p w14:paraId="613FF974" w14:textId="77777777" w:rsidR="00387BBE" w:rsidRPr="008620A9" w:rsidRDefault="00387BBE" w:rsidP="00081E04">
                      <w:pPr>
                        <w:jc w:val="both"/>
                        <w:rPr>
                          <w:sz w:val="22"/>
                          <w:lang w:val="es-ES"/>
                        </w:rPr>
                      </w:pPr>
                      <w:r w:rsidRPr="00494741">
                        <w:rPr>
                          <w:sz w:val="22"/>
                        </w:rPr>
                        <w:t xml:space="preserve">Consciente de la importancia crucial de los cables submarinos para la conectividad mundial y la economía digital, la UIT ha creado un </w:t>
                      </w:r>
                      <w:hyperlink r:id="rId26" w:history="1">
                        <w:r w:rsidRPr="00494741">
                          <w:rPr>
                            <w:rStyle w:val="Hyperlink"/>
                            <w:sz w:val="22"/>
                          </w:rPr>
                          <w:t>Órgano Consultivo Internacional sobre la Resiliencia de los Cables Submarinos</w:t>
                        </w:r>
                      </w:hyperlink>
                      <w:r w:rsidRPr="00494741">
                        <w:rPr>
                          <w:sz w:val="22"/>
                        </w:rPr>
                        <w:t>. Esta iniciativa responde a la creciente vulnerabilidad de las infraestructuras submarinas frente a las interrupciones del servicio y tiene por objeto mejorar la seguridad, la redundancia y la protección de los cables submarinos mediante la colaboración internacional entre múltiples partes interesadas. El Órgano Consultivo reúne a gobiernos, autoridades reguladoras y dirigentes de la industria con el fin de elaborar prácticas idóneas, perfeccionar los marcos técnicos y reforzar los enfoques normativos aplicables a la protección de los cables submarinos.</w:t>
                      </w:r>
                    </w:p>
                  </w:txbxContent>
                </v:textbox>
                <w10:anchorlock/>
              </v:shape>
            </w:pict>
          </mc:Fallback>
        </mc:AlternateContent>
      </w:r>
    </w:p>
    <w:p w14:paraId="44F321E7"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6.2</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Las tecnologías nuevas e incipientes están transformando el enfoque relativo a la resiliencia de los servicios y tecnologías de telecomunicaciones/TIC. Capacidades avanzadas como la IA y el aprendizaje automático se están utilizando para la detección de riesgos en tiempo real y el mantenimiento predictivo de las infraestructuras esenciales. Las redes de satélites están ampliando las opciones de conectividad en las regiones remotas. La computación en el borde y los gemelos digitales están </w:t>
      </w:r>
      <w:r w:rsidRPr="0052117D">
        <w:rPr>
          <w:rFonts w:eastAsiaTheme="minorEastAsia"/>
          <w:szCs w:val="24"/>
          <w:lang w:eastAsia="zh-CN"/>
        </w:rPr>
        <w:t>permitiendo</w:t>
      </w:r>
      <w:r w:rsidRPr="0052117D">
        <w:rPr>
          <w:rFonts w:asciiTheme="minorHAnsi" w:eastAsiaTheme="minorEastAsia" w:hAnsiTheme="minorHAnsi" w:cstheme="minorBidi"/>
          <w:szCs w:val="24"/>
          <w:lang w:eastAsia="zh-CN"/>
        </w:rPr>
        <w:t xml:space="preserve"> agilizar la adopción de decisiones y mejorar la modelización de los sistemas para predecir y atenuar las vulnerabilidades. Al tiempo que ofrecen nuevas capacidades, plantean también nuevas consideraciones en materia de gestión de la seguridad, de requisitos de conocimientos técnicos especializados y de sostenibilidad de los nuevos servicios y tecnologías de telecomunicaciones/TIC.</w:t>
      </w:r>
    </w:p>
    <w:p w14:paraId="3E68647F"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6.3</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En reconocimiento de lo anterior, convendría adoptar un enfoque integral de esta cuestión en el que se reconozca que la resiliencia de los servicios y tecnologías de telecomunicaciones/TIC atañe a numerosos tipos de retos, tales como las perturbaciones de origen climático, los </w:t>
      </w:r>
      <w:proofErr w:type="spellStart"/>
      <w:r w:rsidRPr="0052117D">
        <w:rPr>
          <w:rFonts w:asciiTheme="minorHAnsi" w:eastAsiaTheme="minorEastAsia" w:hAnsiTheme="minorHAnsi" w:cstheme="minorBidi"/>
          <w:szCs w:val="24"/>
          <w:lang w:eastAsia="zh-CN"/>
        </w:rPr>
        <w:t>ciberincidentes</w:t>
      </w:r>
      <w:proofErr w:type="spellEnd"/>
      <w:r w:rsidRPr="0052117D">
        <w:rPr>
          <w:rFonts w:asciiTheme="minorHAnsi" w:eastAsiaTheme="minorEastAsia" w:hAnsiTheme="minorHAnsi" w:cstheme="minorBidi"/>
          <w:szCs w:val="24"/>
          <w:lang w:eastAsia="zh-CN"/>
        </w:rPr>
        <w:t>, las averías técnicas no malintencionadas, las infraestructuras energéticas y la resiliencia de la red eléctrica. Dicho enfoque debería reconocer asimismo que el refuerzo de la resiliencia de los servicios y tecnologías de telecomunicaciones/TIC comporta iniciativas más amplias, tales como la sensibilización de la población, los sistemas de alerta temprana y la planificación de la gestión de riesgos. Un enfoque holístico incluye las consideraciones fundamentales que figuran a continuación.</w:t>
      </w:r>
    </w:p>
    <w:p w14:paraId="45E44436"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noProof/>
          <w:szCs w:val="24"/>
          <w:lang w:val="en-US"/>
        </w:rPr>
        <w:lastRenderedPageBreak/>
        <mc:AlternateContent>
          <mc:Choice Requires="wps">
            <w:drawing>
              <wp:anchor distT="0" distB="0" distL="114300" distR="114300" simplePos="0" relativeHeight="251663360" behindDoc="0" locked="0" layoutInCell="1" allowOverlap="1" wp14:anchorId="48568F51" wp14:editId="3BC4F237">
                <wp:simplePos x="0" y="0"/>
                <wp:positionH relativeFrom="column">
                  <wp:posOffset>3537197</wp:posOffset>
                </wp:positionH>
                <wp:positionV relativeFrom="paragraph">
                  <wp:posOffset>270510</wp:posOffset>
                </wp:positionV>
                <wp:extent cx="2502535" cy="3161665"/>
                <wp:effectExtent l="0" t="0" r="12065" b="19685"/>
                <wp:wrapSquare wrapText="bothSides"/>
                <wp:docPr id="189374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2535" cy="3161665"/>
                        </a:xfrm>
                        <a:prstGeom prst="rect">
                          <a:avLst/>
                        </a:prstGeom>
                        <a:solidFill>
                          <a:srgbClr val="FFFFFF"/>
                        </a:solidFill>
                        <a:ln w="19050">
                          <a:solidFill>
                            <a:srgbClr val="9BBB59">
                              <a:lumMod val="100000"/>
                              <a:lumOff val="0"/>
                            </a:srgbClr>
                          </a:solidFill>
                          <a:miter lim="800000"/>
                          <a:headEnd/>
                          <a:tailEnd/>
                        </a:ln>
                      </wps:spPr>
                      <wps:txbx>
                        <w:txbxContent>
                          <w:p w14:paraId="53F025F4" w14:textId="77777777" w:rsidR="00387BBE" w:rsidRPr="00494741" w:rsidRDefault="00387BBE" w:rsidP="00081E04">
                            <w:pPr>
                              <w:rPr>
                                <w:color w:val="9BBB59" w:themeColor="accent3"/>
                                <w:sz w:val="22"/>
                              </w:rPr>
                            </w:pPr>
                            <w:r w:rsidRPr="00494741">
                              <w:rPr>
                                <w:color w:val="9BBB59" w:themeColor="accent3"/>
                                <w:sz w:val="22"/>
                              </w:rPr>
                              <w:t>Estudio de caso: la resiliencia de las redes mediante normas</w:t>
                            </w:r>
                          </w:p>
                          <w:p w14:paraId="3EECD0FD" w14:textId="77777777" w:rsidR="00387BBE" w:rsidRPr="00494741" w:rsidRDefault="00387BBE" w:rsidP="00081E04">
                            <w:pPr>
                              <w:jc w:val="both"/>
                              <w:rPr>
                                <w:sz w:val="22"/>
                                <w:lang w:eastAsia="ja-JP"/>
                              </w:rPr>
                            </w:pPr>
                            <w:r w:rsidRPr="00494741">
                              <w:rPr>
                                <w:sz w:val="22"/>
                                <w:lang w:eastAsia="ja-JP"/>
                              </w:rPr>
                              <w:t xml:space="preserve">Con objeto de reforzar estos mecanismos de cooperación mundial, la UIT viene elaborando normas internacionales (Recomendaciones) destinadas a mejorar la resiliencia de las redes. Entre ellas figuran la conmutación de protección, la supervisión del rendimiento, la gestión de averías y las funciones de gestión de los elementos de red para diversas tecnologías de transporte, tales como la red de transporte </w:t>
                            </w:r>
                            <w:r w:rsidRPr="00494741">
                              <w:rPr>
                                <w:sz w:val="22"/>
                              </w:rPr>
                              <w:t>óptica</w:t>
                            </w:r>
                            <w:r w:rsidRPr="00494741">
                              <w:rPr>
                                <w:sz w:val="22"/>
                                <w:lang w:eastAsia="ja-JP"/>
                              </w:rPr>
                              <w:t xml:space="preserve"> (</w:t>
                            </w:r>
                            <w:proofErr w:type="spellStart"/>
                            <w:r w:rsidRPr="00494741">
                              <w:rPr>
                                <w:sz w:val="22"/>
                                <w:lang w:eastAsia="ja-JP"/>
                              </w:rPr>
                              <w:t>OTN</w:t>
                            </w:r>
                            <w:proofErr w:type="spellEnd"/>
                            <w:r w:rsidRPr="00494741">
                              <w:rPr>
                                <w:sz w:val="22"/>
                                <w:lang w:eastAsia="ja-JP"/>
                              </w:rPr>
                              <w:t xml:space="preserve">), Ethernet y </w:t>
                            </w:r>
                            <w:proofErr w:type="spellStart"/>
                            <w:r w:rsidRPr="00494741">
                              <w:rPr>
                                <w:sz w:val="22"/>
                                <w:lang w:eastAsia="ja-JP"/>
                              </w:rPr>
                              <w:t>MPLS-TP</w:t>
                            </w:r>
                            <w:proofErr w:type="spellEnd"/>
                            <w:r w:rsidRPr="00494741">
                              <w:rPr>
                                <w:sz w:val="22"/>
                                <w:lang w:eastAsia="ja-JP"/>
                              </w:rPr>
                              <w:t xml:space="preserve">. La función de conmutación de protección </w:t>
                            </w:r>
                            <w:proofErr w:type="spellStart"/>
                            <w:r w:rsidRPr="00494741">
                              <w:rPr>
                                <w:sz w:val="22"/>
                                <w:lang w:eastAsia="ja-JP"/>
                              </w:rPr>
                              <w:t>preasigna</w:t>
                            </w:r>
                            <w:proofErr w:type="spellEnd"/>
                            <w:r w:rsidRPr="00494741">
                              <w:rPr>
                                <w:sz w:val="22"/>
                                <w:lang w:eastAsia="ja-JP"/>
                              </w:rPr>
                              <w:t xml:space="preserve"> cierta capacidad entre nodos, de modo que el tráfico original pueda cursarse utilizando dicha capacidad en caso de fallo en la ruta original.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 w14:anchorId="48568F51" id="_x0000_s1034" type="#_x0000_t202" style="position:absolute;left:0;text-align:left;margin-left:278.5pt;margin-top:21.3pt;width:197.05pt;height:24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" strokecolor="#9bbb59" strokeweight="1.5pt">
                <v:textbox style="mso-fit-shape-to-text:t">
                  <w:txbxContent>
                    <w:p w14:paraId="53F025F4" w14:textId="77777777" w:rsidR="00387BBE" w:rsidRPr="00494741" w:rsidRDefault="00387BBE" w:rsidP="00081E04">
                      <w:pPr>
                        <w:rPr>
                          <w:color w:val="9BBB59" w:themeColor="accent3"/>
                          <w:sz w:val="22"/>
                        </w:rPr>
                      </w:pPr>
                      <w:r w:rsidRPr="00494741">
                        <w:rPr>
                          <w:color w:val="9BBB59" w:themeColor="accent3"/>
                          <w:sz w:val="22"/>
                        </w:rPr>
                        <w:t>Estudio de caso: la resiliencia de las redes mediante normas</w:t>
                      </w:r>
                    </w:p>
                    <w:p w14:paraId="3EECD0FD" w14:textId="77777777" w:rsidR="00387BBE" w:rsidRPr="00494741" w:rsidRDefault="00387BBE" w:rsidP="00081E04">
                      <w:pPr>
                        <w:jc w:val="both"/>
                        <w:rPr>
                          <w:sz w:val="22"/>
                          <w:lang w:eastAsia="ja-JP"/>
                        </w:rPr>
                      </w:pPr>
                      <w:r w:rsidRPr="00494741">
                        <w:rPr>
                          <w:sz w:val="22"/>
                          <w:lang w:eastAsia="ja-JP"/>
                        </w:rPr>
                        <w:t xml:space="preserve">Con objeto de reforzar estos mecanismos de cooperación mundial, la UIT viene elaborando normas internacionales (Recomendaciones) destinadas a mejorar la resiliencia de las redes. Entre ellas figuran la conmutación de protección, la supervisión del rendimiento, la gestión de averías y las funciones de gestión de los elementos de red para diversas tecnologías de transporte, tales como la red de transporte </w:t>
                      </w:r>
                      <w:r w:rsidRPr="00494741">
                        <w:rPr>
                          <w:sz w:val="22"/>
                        </w:rPr>
                        <w:t>óptica</w:t>
                      </w:r>
                      <w:r w:rsidRPr="00494741">
                        <w:rPr>
                          <w:sz w:val="22"/>
                          <w:lang w:eastAsia="ja-JP"/>
                        </w:rPr>
                        <w:t xml:space="preserve"> (</w:t>
                      </w:r>
                      <w:proofErr w:type="spellStart"/>
                      <w:r w:rsidRPr="00494741">
                        <w:rPr>
                          <w:sz w:val="22"/>
                          <w:lang w:eastAsia="ja-JP"/>
                        </w:rPr>
                        <w:t>OTN</w:t>
                      </w:r>
                      <w:proofErr w:type="spellEnd"/>
                      <w:r w:rsidRPr="00494741">
                        <w:rPr>
                          <w:sz w:val="22"/>
                          <w:lang w:eastAsia="ja-JP"/>
                        </w:rPr>
                        <w:t xml:space="preserve">), Ethernet y </w:t>
                      </w:r>
                      <w:proofErr w:type="spellStart"/>
                      <w:r w:rsidRPr="00494741">
                        <w:rPr>
                          <w:sz w:val="22"/>
                          <w:lang w:eastAsia="ja-JP"/>
                        </w:rPr>
                        <w:t>MPLS-TP</w:t>
                      </w:r>
                      <w:proofErr w:type="spellEnd"/>
                      <w:r w:rsidRPr="00494741">
                        <w:rPr>
                          <w:sz w:val="22"/>
                          <w:lang w:eastAsia="ja-JP"/>
                        </w:rPr>
                        <w:t xml:space="preserve">. La función de conmutación de protección </w:t>
                      </w:r>
                      <w:proofErr w:type="spellStart"/>
                      <w:r w:rsidRPr="00494741">
                        <w:rPr>
                          <w:sz w:val="22"/>
                          <w:lang w:eastAsia="ja-JP"/>
                        </w:rPr>
                        <w:t>preasigna</w:t>
                      </w:r>
                      <w:proofErr w:type="spellEnd"/>
                      <w:r w:rsidRPr="00494741">
                        <w:rPr>
                          <w:sz w:val="22"/>
                          <w:lang w:eastAsia="ja-JP"/>
                        </w:rPr>
                        <w:t xml:space="preserve"> cierta capacidad entre nodos, de modo que el tráfico original pueda cursarse utilizando dicha capacidad en caso de fallo en la ruta original.</w:t>
                      </w:r>
                    </w:p>
                  </w:txbxContent>
                </v:textbox>
                <w10:wrap type="square"/>
              </v:shape>
            </w:pict>
          </mc:Fallback>
        </mc:AlternateContent>
      </w:r>
      <w:r w:rsidRPr="0052117D">
        <w:rPr>
          <w:rFonts w:asciiTheme="minorHAnsi" w:eastAsiaTheme="minorEastAsia" w:hAnsiTheme="minorHAnsi" w:cstheme="minorBidi"/>
          <w:spacing w:val="-4"/>
          <w:szCs w:val="24"/>
          <w:lang w:eastAsia="zh-CN"/>
        </w:rPr>
        <w:t>6.4</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La resiliencia de las infraestructuras exige marcos técnicos coordinados que abarquen las redes terrenales, submarinas y espaciales. Es preciso proseguir la labor de colaboración con objeto de analizar dichos avances y determinar de qué manera las tecnologías incipientes </w:t>
      </w:r>
      <w:r w:rsidRPr="0052117D">
        <w:rPr>
          <w:rFonts w:eastAsiaTheme="minorEastAsia"/>
          <w:szCs w:val="24"/>
          <w:lang w:eastAsia="zh-CN"/>
        </w:rPr>
        <w:t>podrían</w:t>
      </w:r>
      <w:r w:rsidRPr="0052117D">
        <w:rPr>
          <w:rFonts w:asciiTheme="minorHAnsi" w:eastAsiaTheme="minorEastAsia" w:hAnsiTheme="minorHAnsi" w:cstheme="minorBidi"/>
          <w:szCs w:val="24"/>
          <w:lang w:eastAsia="zh-CN"/>
        </w:rPr>
        <w:t xml:space="preserve"> mejorar las capacidades de protección integral y de recuperación rápida.</w:t>
      </w:r>
    </w:p>
    <w:p w14:paraId="6119B0EB" w14:textId="77777777" w:rsidR="00081E04" w:rsidRPr="0052117D" w:rsidRDefault="00081E04" w:rsidP="00BF2FBA">
      <w:pPr>
        <w:pStyle w:val="enumlev1"/>
        <w:jc w:val="both"/>
        <w:rPr>
          <w:rFonts w:eastAsiaTheme="minorEastAsia"/>
          <w:lang w:eastAsia="zh-CN"/>
        </w:rPr>
      </w:pPr>
      <w:r w:rsidRPr="0052117D">
        <w:rPr>
          <w:rFonts w:eastAsiaTheme="minorEastAsia"/>
          <w:bCs/>
          <w:lang w:eastAsia="zh-CN"/>
        </w:rPr>
        <w:t>6.4.1</w:t>
      </w:r>
      <w:r w:rsidRPr="0052117D">
        <w:rPr>
          <w:rFonts w:eastAsiaTheme="minorEastAsia"/>
          <w:bCs/>
          <w:lang w:eastAsia="zh-CN"/>
        </w:rPr>
        <w:tab/>
      </w:r>
      <w:r w:rsidRPr="0052117D">
        <w:rPr>
          <w:rFonts w:eastAsiaTheme="minorEastAsia"/>
          <w:lang w:eastAsia="zh-CN"/>
        </w:rPr>
        <w:t>Los enfoques normativos y reglamentarios deben abordar la resiliencia en todas las capas de infraestructura, con inclusión, entre otros aspectos, de la detección con fines de alerta temprana y la ciberseguridad.</w:t>
      </w:r>
    </w:p>
    <w:p w14:paraId="31A51764" w14:textId="77777777" w:rsidR="00081E04" w:rsidRPr="0052117D" w:rsidRDefault="00081E04" w:rsidP="00BF2FBA">
      <w:pPr>
        <w:pStyle w:val="enumlev1"/>
        <w:jc w:val="both"/>
        <w:rPr>
          <w:rFonts w:eastAsiaTheme="minorEastAsia"/>
          <w:lang w:eastAsia="zh-CN"/>
        </w:rPr>
      </w:pPr>
      <w:r w:rsidRPr="0052117D">
        <w:rPr>
          <w:rFonts w:eastAsiaTheme="minorEastAsia"/>
          <w:bCs/>
          <w:lang w:eastAsia="zh-CN"/>
        </w:rPr>
        <w:t>6.4.2</w:t>
      </w:r>
      <w:r w:rsidRPr="0052117D">
        <w:rPr>
          <w:rFonts w:eastAsiaTheme="minorEastAsia"/>
          <w:bCs/>
          <w:lang w:eastAsia="zh-CN"/>
        </w:rPr>
        <w:tab/>
      </w:r>
      <w:r w:rsidRPr="0052117D">
        <w:rPr>
          <w:rFonts w:eastAsiaTheme="minorEastAsia"/>
          <w:lang w:eastAsia="zh-CN"/>
        </w:rPr>
        <w:t>La creación de capacidad y el desarrollo de competencias resultan esenciales para aprovechar, mantener y proteger sistemas de comunicación complejos y de múltiples capas.</w:t>
      </w:r>
    </w:p>
    <w:p w14:paraId="257F2003" w14:textId="77777777" w:rsidR="00081E04" w:rsidRPr="0052117D" w:rsidRDefault="00081E04" w:rsidP="00BF2FBA">
      <w:pPr>
        <w:pStyle w:val="enumlev1"/>
        <w:jc w:val="both"/>
        <w:rPr>
          <w:rFonts w:eastAsiaTheme="minorEastAsia"/>
          <w:lang w:eastAsia="zh-CN"/>
        </w:rPr>
      </w:pPr>
      <w:r w:rsidRPr="0052117D">
        <w:rPr>
          <w:rFonts w:eastAsiaTheme="minorEastAsia"/>
          <w:bCs/>
          <w:lang w:eastAsia="zh-CN"/>
        </w:rPr>
        <w:t>6.4.3</w:t>
      </w:r>
      <w:r w:rsidRPr="0052117D">
        <w:rPr>
          <w:rFonts w:eastAsiaTheme="minorEastAsia"/>
          <w:bCs/>
          <w:lang w:eastAsia="zh-CN"/>
        </w:rPr>
        <w:tab/>
      </w:r>
      <w:r w:rsidRPr="0052117D">
        <w:rPr>
          <w:rFonts w:eastAsiaTheme="minorEastAsia"/>
          <w:lang w:eastAsia="zh-CN"/>
        </w:rPr>
        <w:t>Los mecanismos de cooperación internacional refuerzan la resiliencia de las infraestructuras mundiales de telecomunicaciones mediante el intercambio de prácticas idóneas, el intercambio de información y la coordinación de las capacidades de respuesta.</w:t>
      </w:r>
    </w:p>
    <w:p w14:paraId="18FBCDE9"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6.5</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La construcción de infraestructuras de telecomunicaciones/TIC resilientes en regiones insuficientemente atendidas y propensas a las catástrofes exige abordar los mecanismos de financiación y los modelos de inversión que favorecen la sostenibilidad a largo plazo. La resiliencia debe trascender las infraestructuras físicas y abarcar las medidas de ciberseguridad, garantizando que las redes sigan operativas durante las crisis, cuando resultan más necesarias. </w:t>
      </w:r>
      <w:r w:rsidRPr="0052117D">
        <w:rPr>
          <w:rFonts w:eastAsiaTheme="minorEastAsia"/>
          <w:szCs w:val="24"/>
          <w:lang w:eastAsia="zh-CN"/>
        </w:rPr>
        <w:t>El diseño</w:t>
      </w:r>
      <w:r w:rsidRPr="0052117D">
        <w:rPr>
          <w:rFonts w:asciiTheme="minorHAnsi" w:eastAsiaTheme="minorEastAsia" w:hAnsiTheme="minorHAnsi" w:cstheme="minorBidi"/>
          <w:szCs w:val="24"/>
          <w:lang w:eastAsia="zh-CN"/>
        </w:rPr>
        <w:t xml:space="preserve"> de sistemas TIC resilientes debería dar prioridad a la accesibilidad para toda la población, incluidas las personas con discapacidad, las personas de edad y quienes residen en zonas remotas, a fin de garantizar que las comunicaciones de emergencia y los servicios digitales esenciales lleguen a todos durante las catástrofes y las labores de recuperación.</w:t>
      </w:r>
    </w:p>
    <w:p w14:paraId="0F172DAD"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6.6</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Dada la urgencia de estas cuestiones frente a un panorama en constante evolución de retos complejos y polifacéticos, los interrogantes que figuran a continuación tienen por objeto orientar a los responsables políticos y a las partes interesadas hacia herramientas significativas y productivas que contribuyan a construir infraestructuras y servicios de telecomunicaciones y TIC resilientes:</w:t>
      </w:r>
    </w:p>
    <w:p w14:paraId="07400B03"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6.6.1</w:t>
      </w:r>
      <w:r w:rsidRPr="0052117D">
        <w:rPr>
          <w:rFonts w:eastAsiaTheme="minorEastAsia"/>
          <w:bCs/>
          <w:szCs w:val="24"/>
          <w:lang w:eastAsia="zh-CN"/>
        </w:rPr>
        <w:tab/>
      </w:r>
      <w:r w:rsidRPr="0052117D">
        <w:rPr>
          <w:rFonts w:eastAsiaTheme="minorEastAsia"/>
          <w:szCs w:val="24"/>
          <w:lang w:eastAsia="zh-CN"/>
        </w:rPr>
        <w:t xml:space="preserve">¿Cómo pueden las tecnologías e innovaciones incipientes mejorar la resiliencia de las infraestructuras de telecomunicaciones y TIC, así como la interdependencia con otros sectores </w:t>
      </w:r>
      <w:r w:rsidRPr="00BF2FBA">
        <w:rPr>
          <w:rFonts w:eastAsiaTheme="minorEastAsia"/>
          <w:lang w:eastAsia="zh-CN"/>
        </w:rPr>
        <w:t>esenciales</w:t>
      </w:r>
      <w:r w:rsidRPr="0052117D">
        <w:rPr>
          <w:rFonts w:eastAsiaTheme="minorEastAsia"/>
          <w:szCs w:val="24"/>
          <w:lang w:eastAsia="zh-CN"/>
        </w:rPr>
        <w:t>, como la energía, la salud y el transporte, con objeto de atenuar los fallos en cascada durante las catástrofes?</w:t>
      </w:r>
    </w:p>
    <w:p w14:paraId="3EF3184E"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6.6.2</w:t>
      </w:r>
      <w:r w:rsidRPr="0052117D">
        <w:rPr>
          <w:rFonts w:eastAsiaTheme="minorEastAsia"/>
          <w:bCs/>
          <w:szCs w:val="24"/>
          <w:lang w:eastAsia="zh-CN"/>
        </w:rPr>
        <w:tab/>
      </w:r>
      <w:r w:rsidRPr="0052117D">
        <w:rPr>
          <w:rFonts w:eastAsiaTheme="minorEastAsia"/>
          <w:szCs w:val="24"/>
          <w:lang w:eastAsia="zh-CN"/>
        </w:rPr>
        <w:t xml:space="preserve">¿Qué </w:t>
      </w:r>
      <w:r w:rsidRPr="00BF2FBA">
        <w:rPr>
          <w:rFonts w:eastAsiaTheme="minorEastAsia"/>
          <w:lang w:eastAsia="zh-CN"/>
        </w:rPr>
        <w:t>marcos</w:t>
      </w:r>
      <w:r w:rsidRPr="0052117D">
        <w:rPr>
          <w:rFonts w:eastAsiaTheme="minorEastAsia"/>
          <w:szCs w:val="24"/>
          <w:lang w:eastAsia="zh-CN"/>
        </w:rPr>
        <w:t xml:space="preserve"> normativos y reglamentarios se necesitan para fomentar sistemas de </w:t>
      </w:r>
      <w:r w:rsidRPr="0052117D">
        <w:rPr>
          <w:rFonts w:asciiTheme="minorHAnsi" w:eastAsiaTheme="minorEastAsia" w:hAnsiTheme="minorHAnsi" w:cstheme="minorBidi"/>
          <w:szCs w:val="24"/>
          <w:lang w:eastAsia="zh-CN"/>
        </w:rPr>
        <w:t>servicios</w:t>
      </w:r>
      <w:r w:rsidRPr="0052117D">
        <w:rPr>
          <w:rFonts w:eastAsiaTheme="minorEastAsia"/>
          <w:szCs w:val="24"/>
          <w:lang w:eastAsia="zh-CN"/>
        </w:rPr>
        <w:t xml:space="preserve"> y tecnologías de telecomunicaciones/TIC resilientes?</w:t>
      </w:r>
    </w:p>
    <w:p w14:paraId="0EF8343E"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6.6.3</w:t>
      </w:r>
      <w:r w:rsidRPr="0052117D">
        <w:rPr>
          <w:rFonts w:eastAsiaTheme="minorEastAsia"/>
          <w:bCs/>
          <w:szCs w:val="24"/>
          <w:lang w:eastAsia="zh-CN"/>
        </w:rPr>
        <w:tab/>
      </w:r>
      <w:r w:rsidRPr="0052117D">
        <w:rPr>
          <w:rFonts w:eastAsiaTheme="minorEastAsia"/>
          <w:szCs w:val="24"/>
          <w:lang w:eastAsia="zh-CN"/>
        </w:rPr>
        <w:t>¿</w:t>
      </w:r>
      <w:r w:rsidRPr="0052117D">
        <w:rPr>
          <w:rFonts w:asciiTheme="minorHAnsi" w:eastAsiaTheme="minorEastAsia" w:hAnsiTheme="minorHAnsi" w:cstheme="minorBidi"/>
          <w:szCs w:val="24"/>
          <w:lang w:eastAsia="zh-CN"/>
        </w:rPr>
        <w:t>Cómo</w:t>
      </w:r>
      <w:r w:rsidRPr="0052117D">
        <w:rPr>
          <w:rFonts w:eastAsiaTheme="minorEastAsia"/>
          <w:szCs w:val="24"/>
          <w:lang w:eastAsia="zh-CN"/>
        </w:rPr>
        <w:t xml:space="preserve"> </w:t>
      </w:r>
      <w:r w:rsidRPr="00BF2FBA">
        <w:rPr>
          <w:rFonts w:eastAsiaTheme="minorEastAsia"/>
          <w:lang w:eastAsia="zh-CN"/>
        </w:rPr>
        <w:t>pueden</w:t>
      </w:r>
      <w:r w:rsidRPr="0052117D">
        <w:rPr>
          <w:rFonts w:eastAsiaTheme="minorEastAsia"/>
          <w:szCs w:val="24"/>
          <w:lang w:eastAsia="zh-CN"/>
        </w:rPr>
        <w:t xml:space="preserve"> la sensibilización y la preparación de la población contribuir a la resiliencia de los servicios y tecnologías de telecomunicaciones/TIC?</w:t>
      </w:r>
    </w:p>
    <w:p w14:paraId="62F8E213"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6.6.4</w:t>
      </w:r>
      <w:r w:rsidRPr="0052117D">
        <w:rPr>
          <w:rFonts w:eastAsiaTheme="minorEastAsia"/>
          <w:bCs/>
          <w:szCs w:val="24"/>
          <w:lang w:eastAsia="zh-CN"/>
        </w:rPr>
        <w:tab/>
      </w:r>
      <w:r w:rsidRPr="0052117D">
        <w:rPr>
          <w:rFonts w:eastAsiaTheme="minorEastAsia"/>
          <w:szCs w:val="24"/>
          <w:lang w:eastAsia="zh-CN"/>
        </w:rPr>
        <w:t xml:space="preserve">¿Qué iniciativas de creación de capacidad y desarrollo de competencias se precisan para </w:t>
      </w:r>
      <w:r w:rsidRPr="00BF2FBA">
        <w:rPr>
          <w:rFonts w:eastAsiaTheme="minorEastAsia"/>
          <w:lang w:eastAsia="zh-CN"/>
        </w:rPr>
        <w:t>respaldar</w:t>
      </w:r>
      <w:r w:rsidRPr="0052117D">
        <w:rPr>
          <w:rFonts w:eastAsiaTheme="minorEastAsia"/>
          <w:szCs w:val="24"/>
          <w:lang w:eastAsia="zh-CN"/>
        </w:rPr>
        <w:t xml:space="preserve"> la resiliencia de los servicios y tecnologías de telecomunicaciones/TIC?</w:t>
      </w:r>
    </w:p>
    <w:p w14:paraId="0105CB8C"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lastRenderedPageBreak/>
        <w:t>6.6.5</w:t>
      </w:r>
      <w:r w:rsidRPr="0052117D">
        <w:rPr>
          <w:rFonts w:eastAsiaTheme="minorEastAsia"/>
          <w:bCs/>
          <w:szCs w:val="24"/>
          <w:lang w:eastAsia="zh-CN"/>
        </w:rPr>
        <w:tab/>
      </w:r>
      <w:r w:rsidRPr="0052117D">
        <w:rPr>
          <w:rFonts w:eastAsiaTheme="minorEastAsia"/>
          <w:szCs w:val="24"/>
          <w:lang w:eastAsia="zh-CN"/>
        </w:rPr>
        <w:t>¿</w:t>
      </w:r>
      <w:r w:rsidRPr="0052117D">
        <w:rPr>
          <w:rFonts w:asciiTheme="minorHAnsi" w:eastAsiaTheme="minorEastAsia" w:hAnsiTheme="minorHAnsi" w:cstheme="minorBidi"/>
          <w:szCs w:val="24"/>
          <w:lang w:eastAsia="zh-CN"/>
        </w:rPr>
        <w:t>Cómo</w:t>
      </w:r>
      <w:r w:rsidRPr="0052117D">
        <w:rPr>
          <w:rFonts w:eastAsiaTheme="minorEastAsia"/>
          <w:szCs w:val="24"/>
          <w:lang w:eastAsia="zh-CN"/>
        </w:rPr>
        <w:t xml:space="preserve"> pueden la </w:t>
      </w:r>
      <w:r w:rsidRPr="00BF2FBA">
        <w:rPr>
          <w:rFonts w:eastAsiaTheme="minorEastAsia"/>
          <w:lang w:eastAsia="zh-CN"/>
        </w:rPr>
        <w:t>cooperación</w:t>
      </w:r>
      <w:r w:rsidRPr="0052117D">
        <w:rPr>
          <w:rFonts w:eastAsiaTheme="minorEastAsia"/>
          <w:szCs w:val="24"/>
          <w:lang w:eastAsia="zh-CN"/>
        </w:rPr>
        <w:t xml:space="preserve"> y la colaboración internacionales reforzar la resiliencia de los servicios y tecnologías de telecomunicaciones/TIC?</w:t>
      </w:r>
    </w:p>
    <w:p w14:paraId="565E68C3"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6.6.6</w:t>
      </w:r>
      <w:r w:rsidRPr="0052117D">
        <w:rPr>
          <w:rFonts w:eastAsiaTheme="minorEastAsia"/>
          <w:bCs/>
          <w:szCs w:val="24"/>
          <w:lang w:eastAsia="zh-CN"/>
        </w:rPr>
        <w:tab/>
      </w:r>
      <w:r w:rsidRPr="0052117D">
        <w:rPr>
          <w:rFonts w:eastAsiaTheme="minorEastAsia"/>
          <w:szCs w:val="24"/>
          <w:lang w:eastAsia="zh-CN"/>
        </w:rPr>
        <w:t xml:space="preserve">¿Cómo pueden las redes, incluidas las RNIE (redes nacionales de investigación y educación), </w:t>
      </w:r>
      <w:r w:rsidRPr="0052117D">
        <w:rPr>
          <w:rFonts w:asciiTheme="minorHAnsi" w:eastAsiaTheme="minorEastAsia" w:hAnsiTheme="minorHAnsi" w:cstheme="minorBidi"/>
          <w:szCs w:val="24"/>
          <w:lang w:eastAsia="zh-CN"/>
        </w:rPr>
        <w:t>movilizar</w:t>
      </w:r>
      <w:r w:rsidRPr="0052117D">
        <w:rPr>
          <w:rFonts w:eastAsiaTheme="minorEastAsia"/>
          <w:szCs w:val="24"/>
          <w:lang w:eastAsia="zh-CN"/>
        </w:rPr>
        <w:t xml:space="preserve"> las infraestructuras, tecnologías y activos comunitarios existentes para mejorar la resiliencia de las </w:t>
      </w:r>
      <w:r w:rsidRPr="00BF2FBA">
        <w:rPr>
          <w:rFonts w:eastAsiaTheme="minorEastAsia"/>
          <w:lang w:eastAsia="zh-CN"/>
        </w:rPr>
        <w:t>telecomunicaciones</w:t>
      </w:r>
      <w:r w:rsidRPr="0052117D">
        <w:rPr>
          <w:rFonts w:eastAsiaTheme="minorEastAsia"/>
          <w:szCs w:val="24"/>
          <w:lang w:eastAsia="zh-CN"/>
        </w:rPr>
        <w:t xml:space="preserve"> y de los servicios de telecomunicaciones/TIC?</w:t>
      </w:r>
    </w:p>
    <w:p w14:paraId="7EE5F5CD" w14:textId="77777777" w:rsidR="00081E04" w:rsidRPr="0052117D" w:rsidRDefault="00081E04" w:rsidP="00BF2FBA">
      <w:pPr>
        <w:pStyle w:val="enumlev1"/>
        <w:jc w:val="both"/>
        <w:rPr>
          <w:rFonts w:eastAsiaTheme="minorEastAsia"/>
          <w:lang w:eastAsia="zh-CN"/>
        </w:rPr>
      </w:pPr>
      <w:r w:rsidRPr="0052117D">
        <w:rPr>
          <w:rFonts w:eastAsiaTheme="minorEastAsia"/>
          <w:bCs/>
          <w:lang w:eastAsia="zh-CN"/>
        </w:rPr>
        <w:t>6.6.7</w:t>
      </w:r>
      <w:r w:rsidRPr="0052117D">
        <w:rPr>
          <w:rFonts w:eastAsiaTheme="minorEastAsia"/>
          <w:bCs/>
          <w:lang w:eastAsia="zh-CN"/>
        </w:rPr>
        <w:tab/>
      </w:r>
      <w:r w:rsidRPr="0052117D">
        <w:rPr>
          <w:rFonts w:eastAsiaTheme="minorEastAsia"/>
          <w:lang w:eastAsia="zh-CN"/>
        </w:rPr>
        <w:t>¿</w:t>
      </w:r>
      <w:r w:rsidRPr="0052117D">
        <w:rPr>
          <w:rFonts w:asciiTheme="minorHAnsi" w:eastAsiaTheme="minorEastAsia" w:hAnsiTheme="minorHAnsi" w:cstheme="minorBidi"/>
          <w:szCs w:val="24"/>
          <w:lang w:eastAsia="zh-CN"/>
        </w:rPr>
        <w:t>Cómo</w:t>
      </w:r>
      <w:r w:rsidRPr="0052117D">
        <w:rPr>
          <w:rFonts w:eastAsiaTheme="minorEastAsia"/>
          <w:lang w:eastAsia="zh-CN"/>
        </w:rPr>
        <w:t xml:space="preserve"> pueden reforzarse los servicios e infraestructuras de tecnologías de telecomunicaciones/TIC con objeto de garantizar un funcionamiento fiable en tiempos de crisis, incluidas las catástrofes naturales, respaldando así las labores oportunas de respuesta y recuperación?</w:t>
      </w:r>
    </w:p>
    <w:p w14:paraId="5713B388" w14:textId="77777777" w:rsidR="00081E04" w:rsidRPr="0052117D" w:rsidRDefault="00081E04" w:rsidP="00BF2FBA">
      <w:pPr>
        <w:pStyle w:val="enumlev1"/>
        <w:jc w:val="both"/>
        <w:rPr>
          <w:rFonts w:eastAsiaTheme="minorEastAsia"/>
          <w:lang w:eastAsia="zh-CN"/>
        </w:rPr>
      </w:pPr>
      <w:r w:rsidRPr="0052117D">
        <w:rPr>
          <w:rFonts w:eastAsiaTheme="minorEastAsia"/>
          <w:bCs/>
          <w:lang w:eastAsia="zh-CN"/>
        </w:rPr>
        <w:t>6.6.8</w:t>
      </w:r>
      <w:r w:rsidRPr="0052117D">
        <w:rPr>
          <w:rFonts w:eastAsiaTheme="minorEastAsia"/>
          <w:bCs/>
          <w:lang w:eastAsia="zh-CN"/>
        </w:rPr>
        <w:tab/>
      </w:r>
      <w:r w:rsidRPr="0052117D">
        <w:rPr>
          <w:rFonts w:eastAsiaTheme="minorEastAsia"/>
          <w:lang w:eastAsia="zh-CN"/>
        </w:rPr>
        <w:t xml:space="preserve">¿Cómo pueden los responsables políticos crear marcos para el seguimiento y la evaluación de la </w:t>
      </w:r>
      <w:r w:rsidRPr="0052117D">
        <w:rPr>
          <w:rFonts w:asciiTheme="minorHAnsi" w:eastAsiaTheme="minorEastAsia" w:hAnsiTheme="minorHAnsi" w:cstheme="minorBidi"/>
          <w:szCs w:val="24"/>
          <w:lang w:eastAsia="zh-CN"/>
        </w:rPr>
        <w:t>resiliencia</w:t>
      </w:r>
      <w:r w:rsidRPr="0052117D">
        <w:rPr>
          <w:rFonts w:eastAsiaTheme="minorEastAsia"/>
          <w:lang w:eastAsia="zh-CN"/>
        </w:rPr>
        <w:t xml:space="preserve"> de los servicios y tecnologías de telecomunicaciones/TIC?</w:t>
      </w:r>
    </w:p>
    <w:p w14:paraId="29DB3E33" w14:textId="77777777" w:rsidR="00081E04" w:rsidRPr="0052117D" w:rsidRDefault="00081E04" w:rsidP="00BF2FBA">
      <w:pPr>
        <w:pStyle w:val="enumlev1"/>
        <w:jc w:val="both"/>
        <w:rPr>
          <w:rFonts w:eastAsiaTheme="minorEastAsia"/>
          <w:lang w:eastAsia="zh-CN"/>
        </w:rPr>
      </w:pPr>
      <w:r w:rsidRPr="0052117D">
        <w:rPr>
          <w:rFonts w:eastAsiaTheme="minorEastAsia"/>
          <w:bCs/>
          <w:lang w:eastAsia="zh-CN"/>
        </w:rPr>
        <w:t>6.6.9</w:t>
      </w:r>
      <w:r w:rsidRPr="0052117D">
        <w:rPr>
          <w:rFonts w:eastAsiaTheme="minorEastAsia"/>
          <w:bCs/>
          <w:lang w:eastAsia="zh-CN"/>
        </w:rPr>
        <w:tab/>
      </w:r>
      <w:r w:rsidRPr="0052117D">
        <w:rPr>
          <w:rFonts w:eastAsiaTheme="minorEastAsia"/>
        </w:rPr>
        <w:t xml:space="preserve">¿Qué modelos de financiación, estrategias de inversión y asociaciones público-privadas pueden respaldar el </w:t>
      </w:r>
      <w:r w:rsidRPr="0052117D">
        <w:rPr>
          <w:rFonts w:eastAsiaTheme="minorEastAsia"/>
          <w:lang w:eastAsia="zh-CN"/>
        </w:rPr>
        <w:t>desarrollo</w:t>
      </w:r>
      <w:r w:rsidRPr="0052117D">
        <w:rPr>
          <w:rFonts w:eastAsiaTheme="minorEastAsia"/>
        </w:rPr>
        <w:t xml:space="preserve"> de infraestructuras TIC resilientes, en particular en las regiones insuficientemente atendidas y propensas a las catástrofes?</w:t>
      </w:r>
    </w:p>
    <w:p w14:paraId="5AEE038A"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eastAsiaTheme="minorEastAsia"/>
          <w:b/>
          <w:sz w:val="28"/>
          <w:lang w:eastAsia="zh-CN"/>
        </w:rPr>
      </w:pPr>
      <w:r w:rsidRPr="0052117D">
        <w:br w:type="page"/>
      </w:r>
    </w:p>
    <w:p w14:paraId="780ABD3D" w14:textId="77777777" w:rsidR="00081E04" w:rsidRPr="0052117D" w:rsidRDefault="00081E04" w:rsidP="003F5F9B">
      <w:pPr>
        <w:pStyle w:val="Heading1"/>
      </w:pPr>
      <w:r w:rsidRPr="0052117D">
        <w:lastRenderedPageBreak/>
        <w:t>7</w:t>
      </w:r>
      <w:r w:rsidRPr="0052117D">
        <w:tab/>
        <w:t>La conectividad espacial</w:t>
      </w:r>
    </w:p>
    <w:p w14:paraId="4F0AD3E1"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noProof/>
          <w:szCs w:val="24"/>
          <w:lang w:val="en-US"/>
        </w:rPr>
        <mc:AlternateContent>
          <mc:Choice Requires="wps">
            <w:drawing>
              <wp:anchor distT="0" distB="0" distL="114300" distR="114300" simplePos="0" relativeHeight="251664384" behindDoc="0" locked="0" layoutInCell="1" allowOverlap="1" wp14:anchorId="0D8CEF04" wp14:editId="72BA276B">
                <wp:simplePos x="0" y="0"/>
                <wp:positionH relativeFrom="column">
                  <wp:posOffset>3542665</wp:posOffset>
                </wp:positionH>
                <wp:positionV relativeFrom="paragraph">
                  <wp:posOffset>689610</wp:posOffset>
                </wp:positionV>
                <wp:extent cx="2644140" cy="3699510"/>
                <wp:effectExtent l="0" t="0" r="22860" b="15240"/>
                <wp:wrapSquare wrapText="bothSides"/>
                <wp:docPr id="194197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3699510"/>
                        </a:xfrm>
                        <a:prstGeom prst="rect">
                          <a:avLst/>
                        </a:prstGeom>
                        <a:solidFill>
                          <a:srgbClr val="FFFFFF"/>
                        </a:solidFill>
                        <a:ln w="12700">
                          <a:solidFill>
                            <a:srgbClr val="4F81BD">
                              <a:lumMod val="100000"/>
                              <a:lumOff val="0"/>
                            </a:srgbClr>
                          </a:solidFill>
                          <a:miter lim="800000"/>
                          <a:headEnd/>
                          <a:tailEnd/>
                        </a:ln>
                      </wps:spPr>
                      <wps:txbx>
                        <w:txbxContent>
                          <w:p w14:paraId="7519C6C1" w14:textId="77777777" w:rsidR="00387BBE" w:rsidRPr="00494741" w:rsidRDefault="00387BBE" w:rsidP="00081E04">
                            <w:pPr>
                              <w:rPr>
                                <w:color w:val="4F81BD" w:themeColor="accent1"/>
                                <w:sz w:val="22"/>
                              </w:rPr>
                            </w:pPr>
                            <w:r w:rsidRPr="00494741">
                              <w:rPr>
                                <w:color w:val="4F81BD" w:themeColor="accent1"/>
                                <w:sz w:val="22"/>
                              </w:rPr>
                              <w:t>Comprender el ámbito espacial:</w:t>
                            </w:r>
                          </w:p>
                          <w:p w14:paraId="78EAC09D" w14:textId="77777777" w:rsidR="00387BBE" w:rsidRPr="00494741" w:rsidRDefault="00387BBE" w:rsidP="00081E04">
                            <w:pPr>
                              <w:jc w:val="both"/>
                              <w:rPr>
                                <w:sz w:val="22"/>
                              </w:rPr>
                            </w:pPr>
                            <w:r w:rsidRPr="00494741">
                              <w:rPr>
                                <w:sz w:val="22"/>
                              </w:rPr>
                              <w:t>La economía espacial presenta un potencial de crecimiento considerable: las previsiones indican que alcanzará 1,8</w:t>
                            </w:r>
                            <w:r>
                              <w:rPr>
                                <w:sz w:val="22"/>
                              </w:rPr>
                              <w:t> b</w:t>
                            </w:r>
                            <w:r w:rsidRPr="00494741">
                              <w:rPr>
                                <w:sz w:val="22"/>
                              </w:rPr>
                              <w:t>illones de USD de aquí a 2035, con un crecimiento medio del 9</w:t>
                            </w:r>
                            <w:r>
                              <w:rPr>
                                <w:sz w:val="22"/>
                              </w:rPr>
                              <w:t xml:space="preserve"> % </w:t>
                            </w:r>
                            <w:r w:rsidRPr="00494741">
                              <w:rPr>
                                <w:sz w:val="22"/>
                              </w:rPr>
                              <w:t>anual. Este crecimiento se sustentará en gran medida en tecnologías espaciales o posibilitadas por el espacio, tales como las comunicaciones; el posicionamiento, la navegación y la sincronización</w:t>
                            </w:r>
                            <w:r>
                              <w:rPr>
                                <w:sz w:val="22"/>
                              </w:rPr>
                              <w:t>,</w:t>
                            </w:r>
                            <w:r w:rsidRPr="00494741">
                              <w:rPr>
                                <w:sz w:val="22"/>
                              </w:rPr>
                              <w:t xml:space="preserve"> y la observación de la Tierra.</w:t>
                            </w:r>
                          </w:p>
                          <w:p w14:paraId="60EC3374" w14:textId="77777777" w:rsidR="00387BBE" w:rsidRPr="00494741" w:rsidRDefault="00387BBE" w:rsidP="00081E04">
                            <w:pPr>
                              <w:jc w:val="both"/>
                              <w:rPr>
                                <w:i/>
                                <w:iCs/>
                                <w:sz w:val="18"/>
                                <w:szCs w:val="18"/>
                              </w:rPr>
                            </w:pPr>
                            <w:r w:rsidRPr="00494741">
                              <w:rPr>
                                <w:i/>
                                <w:iCs/>
                                <w:sz w:val="18"/>
                                <w:szCs w:val="18"/>
                              </w:rPr>
                              <w:t xml:space="preserve">Fuente: </w:t>
                            </w:r>
                            <w:r>
                              <w:rPr>
                                <w:i/>
                                <w:iCs/>
                                <w:sz w:val="18"/>
                                <w:szCs w:val="18"/>
                              </w:rPr>
                              <w:t>"</w:t>
                            </w:r>
                            <w:r w:rsidRPr="00494741">
                              <w:rPr>
                                <w:i/>
                                <w:iCs/>
                                <w:sz w:val="18"/>
                                <w:szCs w:val="18"/>
                              </w:rPr>
                              <w:t xml:space="preserve">Space: The $1.8 Trillion </w:t>
                            </w:r>
                            <w:proofErr w:type="spellStart"/>
                            <w:r w:rsidRPr="00494741">
                              <w:rPr>
                                <w:i/>
                                <w:iCs/>
                                <w:sz w:val="18"/>
                                <w:szCs w:val="18"/>
                              </w:rPr>
                              <w:t>Opportunity</w:t>
                            </w:r>
                            <w:proofErr w:type="spellEnd"/>
                            <w:r w:rsidRPr="00494741">
                              <w:rPr>
                                <w:i/>
                                <w:iCs/>
                                <w:sz w:val="18"/>
                                <w:szCs w:val="18"/>
                              </w:rPr>
                              <w:t xml:space="preserve"> for Global </w:t>
                            </w:r>
                            <w:proofErr w:type="spellStart"/>
                            <w:r w:rsidRPr="00494741">
                              <w:rPr>
                                <w:i/>
                                <w:iCs/>
                                <w:sz w:val="18"/>
                                <w:szCs w:val="18"/>
                              </w:rPr>
                              <w:t>Economic</w:t>
                            </w:r>
                            <w:proofErr w:type="spellEnd"/>
                            <w:r w:rsidRPr="00494741">
                              <w:rPr>
                                <w:i/>
                                <w:iCs/>
                                <w:sz w:val="18"/>
                                <w:szCs w:val="18"/>
                              </w:rPr>
                              <w:t xml:space="preserve"> </w:t>
                            </w:r>
                            <w:proofErr w:type="spellStart"/>
                            <w:r w:rsidRPr="00494741">
                              <w:rPr>
                                <w:i/>
                                <w:iCs/>
                                <w:sz w:val="18"/>
                                <w:szCs w:val="18"/>
                              </w:rPr>
                              <w:t>Growth</w:t>
                            </w:r>
                            <w:proofErr w:type="spellEnd"/>
                            <w:r>
                              <w:rPr>
                                <w:i/>
                                <w:iCs/>
                                <w:sz w:val="18"/>
                                <w:szCs w:val="18"/>
                              </w:rPr>
                              <w:t>"</w:t>
                            </w:r>
                            <w:r w:rsidRPr="00494741">
                              <w:rPr>
                                <w:i/>
                                <w:iCs/>
                                <w:sz w:val="18"/>
                                <w:szCs w:val="18"/>
                              </w:rPr>
                              <w:t xml:space="preserve"> (El espacio: una oportunidad de 1,8 billones de USD para el crecimiento económico mundial), Foro Económico Mundial, abril de 2024, y </w:t>
                            </w:r>
                            <w:r>
                              <w:rPr>
                                <w:i/>
                                <w:iCs/>
                                <w:sz w:val="18"/>
                                <w:szCs w:val="18"/>
                              </w:rPr>
                              <w:t>"</w:t>
                            </w:r>
                            <w:r w:rsidRPr="00494741">
                              <w:rPr>
                                <w:i/>
                                <w:iCs/>
                                <w:sz w:val="18"/>
                                <w:szCs w:val="18"/>
                              </w:rPr>
                              <w:t xml:space="preserve">The State of </w:t>
                            </w:r>
                            <w:proofErr w:type="spellStart"/>
                            <w:r w:rsidRPr="00494741">
                              <w:rPr>
                                <w:i/>
                                <w:iCs/>
                                <w:sz w:val="18"/>
                                <w:szCs w:val="18"/>
                              </w:rPr>
                              <w:t>Satellite</w:t>
                            </w:r>
                            <w:proofErr w:type="spellEnd"/>
                            <w:r w:rsidRPr="00494741">
                              <w:rPr>
                                <w:i/>
                                <w:iCs/>
                                <w:sz w:val="18"/>
                                <w:szCs w:val="18"/>
                              </w:rPr>
                              <w:t xml:space="preserve"> </w:t>
                            </w:r>
                            <w:proofErr w:type="spellStart"/>
                            <w:r w:rsidRPr="00494741">
                              <w:rPr>
                                <w:i/>
                                <w:iCs/>
                                <w:sz w:val="18"/>
                                <w:szCs w:val="18"/>
                              </w:rPr>
                              <w:t>Broadband</w:t>
                            </w:r>
                            <w:proofErr w:type="spellEnd"/>
                            <w:r>
                              <w:rPr>
                                <w:i/>
                                <w:iCs/>
                                <w:sz w:val="18"/>
                                <w:szCs w:val="18"/>
                              </w:rPr>
                              <w:t>"</w:t>
                            </w:r>
                            <w:r w:rsidRPr="00494741">
                              <w:rPr>
                                <w:i/>
                                <w:iCs/>
                                <w:sz w:val="18"/>
                                <w:szCs w:val="18"/>
                              </w:rPr>
                              <w:t xml:space="preserve"> (Situación de la banda ancha por satélite), Unión Internacional de Telecomunicaciones y Organización de las Naciones Unidas para la Educación, la Ciencia y la Cultura,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D8CEF04" id="_x0000_s1035" type="#_x0000_t202" style="position:absolute;left:0;text-align:left;margin-left:278.95pt;margin-top:54.3pt;width:208.2pt;height:29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" strokecolor="#4f81bd" strokeweight="1pt">
                <v:textbox>
                  <w:txbxContent>
                    <w:p w14:paraId="7519C6C1" w14:textId="77777777" w:rsidR="00387BBE" w:rsidRPr="00494741" w:rsidRDefault="00387BBE" w:rsidP="00081E04">
                      <w:pPr>
                        <w:rPr>
                          <w:color w:val="4F81BD" w:themeColor="accent1"/>
                          <w:sz w:val="22"/>
                        </w:rPr>
                      </w:pPr>
                      <w:r w:rsidRPr="00494741">
                        <w:rPr>
                          <w:color w:val="4F81BD" w:themeColor="accent1"/>
                          <w:sz w:val="22"/>
                        </w:rPr>
                        <w:t>Comprender el ámbito espacial:</w:t>
                      </w:r>
                    </w:p>
                    <w:p w14:paraId="78EAC09D" w14:textId="77777777" w:rsidR="00387BBE" w:rsidRPr="00494741" w:rsidRDefault="00387BBE" w:rsidP="00081E04">
                      <w:pPr>
                        <w:jc w:val="both"/>
                        <w:rPr>
                          <w:sz w:val="22"/>
                        </w:rPr>
                      </w:pPr>
                      <w:r w:rsidRPr="00494741">
                        <w:rPr>
                          <w:sz w:val="22"/>
                        </w:rPr>
                        <w:t>La economía espacial presenta un potencial de crecimiento considerable: las previsiones indican que alcanzará 1,8</w:t>
                      </w:r>
                      <w:r>
                        <w:rPr>
                          <w:sz w:val="22"/>
                        </w:rPr>
                        <w:t> b</w:t>
                      </w:r>
                      <w:r w:rsidRPr="00494741">
                        <w:rPr>
                          <w:sz w:val="22"/>
                        </w:rPr>
                        <w:t>illones de USD de aquí a 2035, con un crecimiento medio del 9</w:t>
                      </w:r>
                      <w:r>
                        <w:rPr>
                          <w:sz w:val="22"/>
                        </w:rPr>
                        <w:t xml:space="preserve"> % </w:t>
                      </w:r>
                      <w:r w:rsidRPr="00494741">
                        <w:rPr>
                          <w:sz w:val="22"/>
                        </w:rPr>
                        <w:t>anual. Este crecimiento se sustentará en gran medida en tecnologías espaciales o posibilitadas por el espacio, tales como las comunicaciones; el posicionamiento, la navegación y la sincronización</w:t>
                      </w:r>
                      <w:r>
                        <w:rPr>
                          <w:sz w:val="22"/>
                        </w:rPr>
                        <w:t>,</w:t>
                      </w:r>
                      <w:r w:rsidRPr="00494741">
                        <w:rPr>
                          <w:sz w:val="22"/>
                        </w:rPr>
                        <w:t xml:space="preserve"> y la observación de la Tierra.</w:t>
                      </w:r>
                    </w:p>
                    <w:p w14:paraId="60EC3374" w14:textId="77777777" w:rsidR="00387BBE" w:rsidRPr="00494741" w:rsidRDefault="00387BBE" w:rsidP="00081E04">
                      <w:pPr>
                        <w:jc w:val="both"/>
                        <w:rPr>
                          <w:i/>
                          <w:iCs/>
                          <w:sz w:val="18"/>
                          <w:szCs w:val="18"/>
                        </w:rPr>
                      </w:pPr>
                      <w:r w:rsidRPr="00494741">
                        <w:rPr>
                          <w:i/>
                          <w:iCs/>
                          <w:sz w:val="18"/>
                          <w:szCs w:val="18"/>
                        </w:rPr>
                        <w:t xml:space="preserve">Fuente: </w:t>
                      </w:r>
                      <w:r>
                        <w:rPr>
                          <w:i/>
                          <w:iCs/>
                          <w:sz w:val="18"/>
                          <w:szCs w:val="18"/>
                        </w:rPr>
                        <w:t>"</w:t>
                      </w:r>
                      <w:r w:rsidRPr="00494741">
                        <w:rPr>
                          <w:i/>
                          <w:iCs/>
                          <w:sz w:val="18"/>
                          <w:szCs w:val="18"/>
                        </w:rPr>
                        <w:t xml:space="preserve">Space: The $1.8 Trillion </w:t>
                      </w:r>
                      <w:proofErr w:type="spellStart"/>
                      <w:r w:rsidRPr="00494741">
                        <w:rPr>
                          <w:i/>
                          <w:iCs/>
                          <w:sz w:val="18"/>
                          <w:szCs w:val="18"/>
                        </w:rPr>
                        <w:t>Opportunity</w:t>
                      </w:r>
                      <w:proofErr w:type="spellEnd"/>
                      <w:r w:rsidRPr="00494741">
                        <w:rPr>
                          <w:i/>
                          <w:iCs/>
                          <w:sz w:val="18"/>
                          <w:szCs w:val="18"/>
                        </w:rPr>
                        <w:t xml:space="preserve"> for Global </w:t>
                      </w:r>
                      <w:proofErr w:type="spellStart"/>
                      <w:r w:rsidRPr="00494741">
                        <w:rPr>
                          <w:i/>
                          <w:iCs/>
                          <w:sz w:val="18"/>
                          <w:szCs w:val="18"/>
                        </w:rPr>
                        <w:t>Economic</w:t>
                      </w:r>
                      <w:proofErr w:type="spellEnd"/>
                      <w:r w:rsidRPr="00494741">
                        <w:rPr>
                          <w:i/>
                          <w:iCs/>
                          <w:sz w:val="18"/>
                          <w:szCs w:val="18"/>
                        </w:rPr>
                        <w:t xml:space="preserve"> </w:t>
                      </w:r>
                      <w:proofErr w:type="spellStart"/>
                      <w:r w:rsidRPr="00494741">
                        <w:rPr>
                          <w:i/>
                          <w:iCs/>
                          <w:sz w:val="18"/>
                          <w:szCs w:val="18"/>
                        </w:rPr>
                        <w:t>Growth</w:t>
                      </w:r>
                      <w:proofErr w:type="spellEnd"/>
                      <w:r>
                        <w:rPr>
                          <w:i/>
                          <w:iCs/>
                          <w:sz w:val="18"/>
                          <w:szCs w:val="18"/>
                        </w:rPr>
                        <w:t>"</w:t>
                      </w:r>
                      <w:r w:rsidRPr="00494741">
                        <w:rPr>
                          <w:i/>
                          <w:iCs/>
                          <w:sz w:val="18"/>
                          <w:szCs w:val="18"/>
                        </w:rPr>
                        <w:t xml:space="preserve"> (El espacio: una oportunidad de 1,8 billones de USD para el crecimiento económico mundial), Foro Económico Mundial, abril de 2024, y </w:t>
                      </w:r>
                      <w:r>
                        <w:rPr>
                          <w:i/>
                          <w:iCs/>
                          <w:sz w:val="18"/>
                          <w:szCs w:val="18"/>
                        </w:rPr>
                        <w:t>"</w:t>
                      </w:r>
                      <w:r w:rsidRPr="00494741">
                        <w:rPr>
                          <w:i/>
                          <w:iCs/>
                          <w:sz w:val="18"/>
                          <w:szCs w:val="18"/>
                        </w:rPr>
                        <w:t xml:space="preserve">The State of </w:t>
                      </w:r>
                      <w:proofErr w:type="spellStart"/>
                      <w:r w:rsidRPr="00494741">
                        <w:rPr>
                          <w:i/>
                          <w:iCs/>
                          <w:sz w:val="18"/>
                          <w:szCs w:val="18"/>
                        </w:rPr>
                        <w:t>Satellite</w:t>
                      </w:r>
                      <w:proofErr w:type="spellEnd"/>
                      <w:r w:rsidRPr="00494741">
                        <w:rPr>
                          <w:i/>
                          <w:iCs/>
                          <w:sz w:val="18"/>
                          <w:szCs w:val="18"/>
                        </w:rPr>
                        <w:t xml:space="preserve"> </w:t>
                      </w:r>
                      <w:proofErr w:type="spellStart"/>
                      <w:r w:rsidRPr="00494741">
                        <w:rPr>
                          <w:i/>
                          <w:iCs/>
                          <w:sz w:val="18"/>
                          <w:szCs w:val="18"/>
                        </w:rPr>
                        <w:t>Broadband</w:t>
                      </w:r>
                      <w:proofErr w:type="spellEnd"/>
                      <w:r>
                        <w:rPr>
                          <w:i/>
                          <w:iCs/>
                          <w:sz w:val="18"/>
                          <w:szCs w:val="18"/>
                        </w:rPr>
                        <w:t>"</w:t>
                      </w:r>
                      <w:r w:rsidRPr="00494741">
                        <w:rPr>
                          <w:i/>
                          <w:iCs/>
                          <w:sz w:val="18"/>
                          <w:szCs w:val="18"/>
                        </w:rPr>
                        <w:t xml:space="preserve"> (Situación de la banda ancha por satélite), Unión Internacional de Telecomunicaciones y Organización de las Naciones Unidas para la Educación, la Ciencia y la Cultura, 2025</w:t>
                      </w:r>
                    </w:p>
                  </w:txbxContent>
                </v:textbox>
                <w10:wrap type="square"/>
              </v:shape>
            </w:pict>
          </mc:Fallback>
        </mc:AlternateContent>
      </w:r>
      <w:r w:rsidRPr="0052117D">
        <w:rPr>
          <w:rFonts w:asciiTheme="minorHAnsi" w:eastAsiaTheme="minorEastAsia" w:hAnsiTheme="minorHAnsi" w:cstheme="minorBidi"/>
          <w:spacing w:val="-4"/>
          <w:szCs w:val="24"/>
          <w:lang w:eastAsia="zh-CN"/>
        </w:rPr>
        <w:t>7.1</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La conectividad espacial se ha convertido en un elemento fundamental para lograr la inclusión digital a escala mundial. Las tecnologías de satélite desempeñan una función transformadora en la prestación de una conectividad universal, en particular en las zonas no atendidas e insuficientemente atendidas, donde el despliegue de infraestructuras terrenales choca con dificultades geográficas, técnicas y/o económicas.</w:t>
      </w:r>
    </w:p>
    <w:p w14:paraId="6D6F4F5A"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7.2</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El panorama de la conectividad espacial evoluciona con rapidez merced al despliegue de satélites de muy alta capacidad en la órbita de los satélites geoestacionarios (</w:t>
      </w:r>
      <w:proofErr w:type="spellStart"/>
      <w:r w:rsidRPr="0052117D">
        <w:rPr>
          <w:rFonts w:asciiTheme="minorHAnsi" w:eastAsiaTheme="minorEastAsia" w:hAnsiTheme="minorHAnsi" w:cstheme="minorBidi"/>
          <w:szCs w:val="24"/>
          <w:lang w:eastAsia="zh-CN"/>
        </w:rPr>
        <w:t>OSG</w:t>
      </w:r>
      <w:proofErr w:type="spellEnd"/>
      <w:r w:rsidRPr="0052117D">
        <w:rPr>
          <w:rFonts w:asciiTheme="minorHAnsi" w:eastAsiaTheme="minorEastAsia" w:hAnsiTheme="minorHAnsi" w:cstheme="minorBidi"/>
          <w:szCs w:val="24"/>
          <w:lang w:eastAsia="zh-CN"/>
        </w:rPr>
        <w:t xml:space="preserve">), a los avances en las constelaciones de satélites no geoestacionarios (no </w:t>
      </w:r>
      <w:proofErr w:type="spellStart"/>
      <w:r w:rsidRPr="0052117D">
        <w:rPr>
          <w:rFonts w:asciiTheme="minorHAnsi" w:eastAsiaTheme="minorEastAsia" w:hAnsiTheme="minorHAnsi" w:cstheme="minorBidi"/>
          <w:szCs w:val="24"/>
          <w:lang w:eastAsia="zh-CN"/>
        </w:rPr>
        <w:t>OSG</w:t>
      </w:r>
      <w:proofErr w:type="spellEnd"/>
      <w:r w:rsidRPr="0052117D">
        <w:rPr>
          <w:rFonts w:asciiTheme="minorHAnsi" w:eastAsiaTheme="minorEastAsia" w:hAnsiTheme="minorHAnsi" w:cstheme="minorBidi"/>
          <w:szCs w:val="24"/>
          <w:lang w:eastAsia="zh-CN"/>
        </w:rPr>
        <w:t>), incluidas las situadas en la órbita terrestre baja (LEO) y en la órbita terrestre media (MEO), y a las alianzas empresariales innovadoras entre proveedores de servicios por satélite y proveedores de telecomunicaciones terrenales.</w:t>
      </w:r>
    </w:p>
    <w:p w14:paraId="6244301F"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7.3</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La integración de las redes de satélite y terrenales está generando nuevas posibilidades de conectividad. </w:t>
      </w:r>
      <w:r w:rsidRPr="0052117D">
        <w:rPr>
          <w:rFonts w:eastAsiaTheme="minorEastAsia"/>
          <w:szCs w:val="24"/>
        </w:rPr>
        <w:t xml:space="preserve">Dicha integración reviste </w:t>
      </w:r>
      <w:r w:rsidRPr="0052117D">
        <w:rPr>
          <w:rFonts w:asciiTheme="minorHAnsi" w:eastAsiaTheme="minorEastAsia" w:hAnsiTheme="minorHAnsi" w:cstheme="minorBidi"/>
          <w:szCs w:val="24"/>
          <w:lang w:eastAsia="zh-CN"/>
        </w:rPr>
        <w:t xml:space="preserve">especial importancia por cuanto </w:t>
      </w:r>
      <w:r w:rsidRPr="0052117D">
        <w:rPr>
          <w:rFonts w:eastAsiaTheme="minorEastAsia"/>
          <w:szCs w:val="24"/>
        </w:rPr>
        <w:t xml:space="preserve">posibilita </w:t>
      </w:r>
      <w:r w:rsidRPr="0052117D">
        <w:rPr>
          <w:rFonts w:asciiTheme="minorHAnsi" w:eastAsiaTheme="minorEastAsia" w:hAnsiTheme="minorHAnsi" w:cstheme="minorBidi"/>
          <w:szCs w:val="24"/>
          <w:lang w:eastAsia="zh-CN"/>
        </w:rPr>
        <w:t>comunicaciones fiables y rentables en zonas en las que el despliegue de infraestructuras terrenales ha planteado dificultades geográficas, técnicas y/o económicas.</w:t>
      </w:r>
    </w:p>
    <w:p w14:paraId="6CF6FBFC"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7.4</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Los países adoptan cada vez en mayor medida marcos reglamentarios con visión de futuro que abordan diversos aspectos, entre ellos:</w:t>
      </w:r>
    </w:p>
    <w:p w14:paraId="5A2DF3DF"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t>–</w:t>
      </w:r>
      <w:r w:rsidRPr="0052117D">
        <w:rPr>
          <w:rFonts w:eastAsiaTheme="minorEastAsia"/>
          <w:lang w:eastAsia="zh-CN"/>
        </w:rPr>
        <w:tab/>
        <w:t xml:space="preserve">procesos eficientes de autorización tanto para los sistemas </w:t>
      </w:r>
      <w:proofErr w:type="spellStart"/>
      <w:r w:rsidRPr="0052117D">
        <w:rPr>
          <w:rFonts w:eastAsiaTheme="minorEastAsia"/>
          <w:lang w:eastAsia="zh-CN"/>
        </w:rPr>
        <w:t>OSG</w:t>
      </w:r>
      <w:proofErr w:type="spellEnd"/>
      <w:r w:rsidRPr="0052117D">
        <w:rPr>
          <w:rFonts w:eastAsiaTheme="minorEastAsia"/>
          <w:lang w:eastAsia="zh-CN"/>
        </w:rPr>
        <w:t xml:space="preserve"> como para los no </w:t>
      </w:r>
      <w:proofErr w:type="spellStart"/>
      <w:r w:rsidRPr="0052117D">
        <w:rPr>
          <w:rFonts w:eastAsiaTheme="minorEastAsia"/>
          <w:lang w:eastAsia="zh-CN"/>
        </w:rPr>
        <w:t>OSG</w:t>
      </w:r>
      <w:proofErr w:type="spellEnd"/>
      <w:r w:rsidRPr="0052117D">
        <w:rPr>
          <w:rFonts w:eastAsiaTheme="minorEastAsia"/>
          <w:lang w:eastAsia="zh-CN"/>
        </w:rPr>
        <w:t>, y mecanismos de fomento de la inversión en infraestructuras espaciales;</w:t>
      </w:r>
    </w:p>
    <w:p w14:paraId="2FF19FA2"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t>–</w:t>
      </w:r>
      <w:r w:rsidRPr="0052117D">
        <w:rPr>
          <w:rFonts w:eastAsiaTheme="minorEastAsia"/>
          <w:lang w:eastAsia="zh-CN"/>
        </w:rPr>
        <w:tab/>
        <w:t>requisitos relativos a las disposiciones en materia de seguridad y protección de datos aplicables a las alianzas y colaboraciones de la industria;</w:t>
      </w:r>
    </w:p>
    <w:p w14:paraId="6385D9B9" w14:textId="77777777" w:rsidR="00081E04" w:rsidRPr="0052117D" w:rsidRDefault="00081E04" w:rsidP="00081E04">
      <w:pPr>
        <w:pStyle w:val="enumlev1"/>
        <w:jc w:val="both"/>
        <w:rPr>
          <w:rFonts w:eastAsiaTheme="minorEastAsia"/>
          <w:lang w:eastAsia="zh-CN"/>
        </w:rPr>
      </w:pPr>
      <w:r w:rsidRPr="0052117D">
        <w:rPr>
          <w:rFonts w:eastAsiaTheme="minorEastAsia"/>
          <w:lang w:eastAsia="zh-CN"/>
        </w:rPr>
        <w:t>–</w:t>
      </w:r>
      <w:r w:rsidRPr="0052117D">
        <w:rPr>
          <w:rFonts w:eastAsiaTheme="minorEastAsia"/>
          <w:lang w:eastAsia="zh-CN"/>
        </w:rPr>
        <w:tab/>
        <w:t xml:space="preserve">medidas destinadas a </w:t>
      </w:r>
      <w:r w:rsidRPr="0052117D">
        <w:rPr>
          <w:rFonts w:eastAsiaTheme="minorEastAsia"/>
        </w:rPr>
        <w:t xml:space="preserve">proteger y </w:t>
      </w:r>
      <w:r w:rsidRPr="0052117D">
        <w:rPr>
          <w:rFonts w:eastAsiaTheme="minorEastAsia"/>
          <w:lang w:eastAsia="zh-CN"/>
        </w:rPr>
        <w:t>optimizar las redes existentes, posibilitando al mismo tiempo nuevos servicios y tecnologías de telecomunicaciones/TIC relacionados con la conectividad.</w:t>
      </w:r>
    </w:p>
    <w:p w14:paraId="20FE802D"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7.5</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Los avances </w:t>
      </w:r>
      <w:r w:rsidRPr="0052117D">
        <w:rPr>
          <w:rFonts w:eastAsiaTheme="minorEastAsia"/>
          <w:szCs w:val="24"/>
        </w:rPr>
        <w:t>en la conectividad espacial</w:t>
      </w:r>
      <w:r w:rsidRPr="0052117D">
        <w:rPr>
          <w:rFonts w:asciiTheme="minorHAnsi" w:eastAsiaTheme="minorEastAsia" w:hAnsiTheme="minorHAnsi" w:cstheme="minorBidi"/>
          <w:szCs w:val="24"/>
          <w:lang w:eastAsia="zh-CN"/>
        </w:rPr>
        <w:t xml:space="preserve"> deben </w:t>
      </w:r>
      <w:r w:rsidRPr="0052117D">
        <w:rPr>
          <w:rFonts w:eastAsiaTheme="minorEastAsia"/>
          <w:szCs w:val="24"/>
        </w:rPr>
        <w:t xml:space="preserve">respaldar asimismo </w:t>
      </w:r>
      <w:r w:rsidRPr="0052117D">
        <w:rPr>
          <w:rFonts w:asciiTheme="minorHAnsi" w:eastAsiaTheme="minorEastAsia" w:hAnsiTheme="minorHAnsi" w:cstheme="minorBidi"/>
          <w:szCs w:val="24"/>
          <w:lang w:eastAsia="zh-CN"/>
        </w:rPr>
        <w:t>la sostenibilidad en ese ámbito, con objeto de garantizar la accesibilidad a largo plazo de los recursos orbitales.</w:t>
      </w:r>
    </w:p>
    <w:p w14:paraId="5E87FC63"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7.6</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La conectividad espacial </w:t>
      </w:r>
      <w:r w:rsidRPr="0052117D">
        <w:rPr>
          <w:rFonts w:eastAsiaTheme="minorEastAsia"/>
          <w:szCs w:val="24"/>
        </w:rPr>
        <w:t>desempeña</w:t>
      </w:r>
      <w:r w:rsidRPr="0052117D">
        <w:rPr>
          <w:rFonts w:asciiTheme="minorHAnsi" w:eastAsiaTheme="minorEastAsia" w:hAnsiTheme="minorHAnsi" w:cstheme="minorBidi"/>
          <w:szCs w:val="24"/>
          <w:lang w:eastAsia="zh-CN"/>
        </w:rPr>
        <w:t xml:space="preserve"> una función vital en la preparación para casos de catástrofe, los sistemas de alerta temprana y el seguimiento del clima, en particular en regiones que carecen de infraestructuras terrenales sólidas. El refuerzo del intercambio voluntario de datos sobre información medioambiental y relativa a catástrofes, en el ámbito de las actividades de conectividad espacial, puede mejorar la resiliencia y la cooperación mundial.</w:t>
      </w:r>
    </w:p>
    <w:p w14:paraId="21EA4B17"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7.7</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A medida que se amplía la conectividad espacial, el fomento de la confianza, la transparencia y la cooperación pacífica entre los actores resulta esencial para garantizar que las nuevas tecnologías contribuyan a un desarrollo inclusivo y sostenible.</w:t>
      </w:r>
    </w:p>
    <w:p w14:paraId="344F8520"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lastRenderedPageBreak/>
        <w:t>7.8</w:t>
      </w:r>
      <w:r w:rsidRPr="0052117D">
        <w:rPr>
          <w:rFonts w:asciiTheme="minorHAnsi" w:eastAsiaTheme="minorEastAsia" w:hAnsiTheme="minorHAnsi" w:cstheme="minorBidi"/>
          <w:spacing w:val="-4"/>
          <w:szCs w:val="24"/>
          <w:lang w:eastAsia="zh-CN"/>
        </w:rPr>
        <w:tab/>
      </w:r>
      <w:r w:rsidRPr="0052117D">
        <w:rPr>
          <w:szCs w:val="24"/>
        </w:rPr>
        <w:t xml:space="preserve">Durante el debate sobre la conectividad espacial, los miembros del GIE abordaron la confluencia entre la conectividad espacial y los marcos reglamentarios nacionales, y se pusieron de manifiesto opiniones divergentes sobre la inclusión de formulaciones relativas a la seguridad. Algunos miembros del GIE subrayaron que el rápido despliegue de constelaciones de satélites no </w:t>
      </w:r>
      <w:proofErr w:type="spellStart"/>
      <w:r w:rsidRPr="0052117D">
        <w:rPr>
          <w:szCs w:val="24"/>
        </w:rPr>
        <w:t>OSG</w:t>
      </w:r>
      <w:proofErr w:type="spellEnd"/>
      <w:r w:rsidRPr="0052117D">
        <w:rPr>
          <w:szCs w:val="24"/>
        </w:rPr>
        <w:t xml:space="preserve"> comporta consideraciones de seguridad nacional y requisitos de seguridad de los datos que deberían reconocerse a fin de </w:t>
      </w:r>
      <w:r w:rsidRPr="0052117D">
        <w:rPr>
          <w:rFonts w:asciiTheme="minorHAnsi" w:eastAsiaTheme="minorEastAsia" w:hAnsiTheme="minorHAnsi" w:cstheme="minorBidi"/>
          <w:szCs w:val="24"/>
          <w:lang w:eastAsia="zh-CN"/>
        </w:rPr>
        <w:t>garantizar</w:t>
      </w:r>
      <w:r w:rsidRPr="0052117D">
        <w:rPr>
          <w:szCs w:val="24"/>
        </w:rPr>
        <w:t xml:space="preserve"> un enfoque reglamentario equilibrado. Por el contrario, algunos miembros del GIE se opusieron a la inclusión de aspectos relativos a la seguridad y a la protección de datos, aduciendo que tales cuestiones quedaban fuera del mandato técnico de la UIT y eran materia de política soberana. Este debate se hizo extensivo a la afirmación de los derechos soberanos en la autorización de servicios por satélite, ámbito en el que algunos miembros del GIE consideraron redundantes tales referencias, mientras que otros miembros del GIE sostuvieron que era necesaria una referencia explícita para salvaguardar el principio de soberanía en el contexto de las tecnologías espaciales incipientes. Se dejan aquí constancia de estas perspectivas divergentes.</w:t>
      </w:r>
    </w:p>
    <w:p w14:paraId="69B2F94F"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7.9</w:t>
      </w:r>
      <w:r w:rsidRPr="0052117D">
        <w:rPr>
          <w:rFonts w:asciiTheme="minorHAnsi" w:eastAsiaTheme="minorEastAsia" w:hAnsiTheme="minorHAnsi" w:cstheme="minorBidi"/>
          <w:spacing w:val="-4"/>
          <w:szCs w:val="24"/>
          <w:lang w:eastAsia="zh-CN"/>
        </w:rPr>
        <w:tab/>
      </w:r>
      <w:r w:rsidRPr="0052117D">
        <w:rPr>
          <w:szCs w:val="24"/>
        </w:rPr>
        <w:t>Los miembros del GIE expresaron opiniones divergentes sobre la necesidad de incluir referencias específicas al acceso no discriminatorio y equitativo a los recursos orbitales y de espectro, así como a los residuos orbitales y a la atenuación de sus efectos.</w:t>
      </w:r>
    </w:p>
    <w:p w14:paraId="12133FFE"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7.10</w:t>
      </w:r>
      <w:r w:rsidRPr="0052117D">
        <w:rPr>
          <w:rFonts w:asciiTheme="minorHAnsi" w:eastAsiaTheme="minorEastAsia" w:hAnsiTheme="minorHAnsi" w:cstheme="minorBidi"/>
          <w:spacing w:val="-4"/>
          <w:szCs w:val="24"/>
          <w:lang w:eastAsia="zh-CN"/>
        </w:rPr>
        <w:tab/>
      </w:r>
      <w:r w:rsidRPr="0052117D">
        <w:rPr>
          <w:szCs w:val="24"/>
        </w:rPr>
        <w:t xml:space="preserve">Los miembros del GIE </w:t>
      </w:r>
      <w:r w:rsidRPr="0052117D">
        <w:rPr>
          <w:rFonts w:asciiTheme="minorHAnsi" w:eastAsiaTheme="minorEastAsia" w:hAnsiTheme="minorHAnsi" w:cstheme="minorBidi"/>
          <w:szCs w:val="24"/>
          <w:lang w:eastAsia="zh-CN"/>
        </w:rPr>
        <w:t>abordaron asimismo</w:t>
      </w:r>
      <w:r w:rsidRPr="0052117D">
        <w:rPr>
          <w:szCs w:val="24"/>
        </w:rPr>
        <w:t xml:space="preserve"> la función de la transferencia de tecnología en el apoyo al desarrollo de las infraestructuras de satélite y de telecomunicaciones, con opiniones divergentes acerca de la formulación relativa a la transferencia de tecnología.</w:t>
      </w:r>
    </w:p>
    <w:p w14:paraId="078AA328" w14:textId="77777777" w:rsidR="00081E04" w:rsidRPr="0052117D" w:rsidRDefault="00081E04" w:rsidP="00B3348D">
      <w:pPr>
        <w:jc w:val="center"/>
        <w:rPr>
          <w:rFonts w:eastAsiaTheme="minorEastAsia"/>
          <w:lang w:eastAsia="zh-CN"/>
        </w:rPr>
      </w:pPr>
      <w:r w:rsidRPr="0052117D">
        <w:rPr>
          <w:rFonts w:eastAsiaTheme="minorEastAsia"/>
          <w:noProof/>
          <w:lang w:val="en-US"/>
        </w:rPr>
        <mc:AlternateContent>
          <mc:Choice Requires="wps">
            <w:drawing>
              <wp:inline distT="0" distB="0" distL="0" distR="0" wp14:anchorId="6A873233" wp14:editId="5F9DB1F5">
                <wp:extent cx="5580000" cy="1854200"/>
                <wp:effectExtent l="0" t="0" r="20955" b="12700"/>
                <wp:docPr id="12499387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1854200"/>
                        </a:xfrm>
                        <a:prstGeom prst="rect">
                          <a:avLst/>
                        </a:prstGeom>
                        <a:solidFill>
                          <a:srgbClr val="FFFFFF"/>
                        </a:solidFill>
                        <a:ln w="12700">
                          <a:solidFill>
                            <a:srgbClr val="9BBB59"/>
                          </a:solidFill>
                          <a:miter lim="800000"/>
                          <a:headEnd/>
                          <a:tailEnd/>
                        </a:ln>
                      </wps:spPr>
                      <wps:txbx>
                        <w:txbxContent>
                          <w:p w14:paraId="7ED93180" w14:textId="77777777" w:rsidR="00387BBE" w:rsidRPr="00494741" w:rsidRDefault="00387BBE" w:rsidP="00081E04">
                            <w:pPr>
                              <w:rPr>
                                <w:color w:val="9BBB59" w:themeColor="accent3"/>
                                <w:sz w:val="22"/>
                              </w:rPr>
                            </w:pPr>
                            <w:r w:rsidRPr="00494741">
                              <w:rPr>
                                <w:color w:val="9BBB59" w:themeColor="accent3"/>
                                <w:sz w:val="22"/>
                              </w:rPr>
                              <w:t>Estudio de caso: Foro sobre la Sostenibilidad del Espacio</w:t>
                            </w:r>
                          </w:p>
                          <w:p w14:paraId="6D4CFC26" w14:textId="77777777" w:rsidR="00387BBE" w:rsidRPr="00494741" w:rsidRDefault="00387BBE" w:rsidP="00081E04">
                            <w:pPr>
                              <w:jc w:val="both"/>
                              <w:rPr>
                                <w:sz w:val="22"/>
                              </w:rPr>
                            </w:pPr>
                            <w:r w:rsidRPr="00494741">
                              <w:rPr>
                                <w:sz w:val="22"/>
                              </w:rPr>
                              <w:t xml:space="preserve">El </w:t>
                            </w:r>
                            <w:hyperlink r:id="rId27" w:history="1">
                              <w:r w:rsidRPr="00494741">
                                <w:rPr>
                                  <w:rStyle w:val="Hyperlink"/>
                                  <w:sz w:val="22"/>
                                </w:rPr>
                                <w:t>Foro sobre la Sostenibilidad del Espacio</w:t>
                              </w:r>
                            </w:hyperlink>
                            <w:r w:rsidRPr="00494741">
                              <w:rPr>
                                <w:sz w:val="22"/>
                              </w:rPr>
                              <w:t xml:space="preserve"> ha reunido a los máximos dirigentes y a expertos en la materia procedentes de las industrias del satélite y del espacio, de los organismos espaciales y de telecomunicaciones, de los gobiernos y de otras partes interesadas del ámbito espacial comprometidas con la utilización responsable del espacio ultraterrestre. A lo largo de sus dos ediciones, el Foro ha ofrecido una plataforma para debatir y estudiar las políticas, prácticas idóneas, directrices y estrategias necesarias para garantizar que el espacio siga siendo accesible y sostenible para la creciente gama de actividades espaciales previstas en la actualidad y en el futuro.</w:t>
                            </w:r>
                          </w:p>
                        </w:txbxContent>
                      </wps:txbx>
                      <wps:bodyPr rot="0" vert="horz" wrap="square" lIns="91440" tIns="45720" rIns="91440" bIns="45720" anchor="t" anchorCtr="0" upright="1">
                        <a:noAutofit/>
                      </wps:bodyPr>
                    </wps:wsp>
                  </a:graphicData>
                </a:graphic>
              </wp:inline>
            </w:drawing>
          </mc:Choice>
          <mc:Fallback>
            <w:pict>
              <v:shape w14:anchorId="6A873233" id="_x0000_s1036" type="#_x0000_t202" style="width:439.3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" strokecolor="#9bbb59" strokeweight="1pt">
                <v:textbox>
                  <w:txbxContent>
                    <w:p w14:paraId="7ED93180" w14:textId="77777777" w:rsidR="00387BBE" w:rsidRPr="00494741" w:rsidRDefault="00387BBE" w:rsidP="00081E04">
                      <w:pPr>
                        <w:rPr>
                          <w:color w:val="9BBB59" w:themeColor="accent3"/>
                          <w:sz w:val="22"/>
                        </w:rPr>
                      </w:pPr>
                      <w:r w:rsidRPr="00494741">
                        <w:rPr>
                          <w:color w:val="9BBB59" w:themeColor="accent3"/>
                          <w:sz w:val="22"/>
                        </w:rPr>
                        <w:t>Estudio de caso: Foro sobre la Sostenibilidad del Espacio</w:t>
                      </w:r>
                    </w:p>
                    <w:p w14:paraId="6D4CFC26" w14:textId="77777777" w:rsidR="00387BBE" w:rsidRPr="00494741" w:rsidRDefault="00387BBE" w:rsidP="00081E04">
                      <w:pPr>
                        <w:jc w:val="both"/>
                        <w:rPr>
                          <w:sz w:val="22"/>
                        </w:rPr>
                      </w:pPr>
                      <w:r w:rsidRPr="00494741">
                        <w:rPr>
                          <w:sz w:val="22"/>
                        </w:rPr>
                        <w:t xml:space="preserve">El </w:t>
                      </w:r>
                      <w:hyperlink r:id="rId28" w:history="1">
                        <w:r w:rsidRPr="00494741">
                          <w:rPr>
                            <w:rStyle w:val="Hyperlink"/>
                            <w:sz w:val="22"/>
                          </w:rPr>
                          <w:t>Foro sobre la Sostenibilidad del Espacio</w:t>
                        </w:r>
                      </w:hyperlink>
                      <w:r w:rsidRPr="00494741">
                        <w:rPr>
                          <w:sz w:val="22"/>
                        </w:rPr>
                        <w:t xml:space="preserve"> ha reunido a los máximos dirigentes y a expertos en la materia procedentes de las industrias del satélite y del espacio, de los organismos espaciales y de telecomunicaciones, de los gobiernos y de otras partes interesadas del ámbito espacial comprometidas con la utilización responsable del espacio ultraterrestre. A lo largo de sus dos ediciones, el Foro ha ofrecido una plataforma para debatir y estudiar las políticas, prácticas idóneas, directrices y estrategias necesarias para garantizar que el espacio siga siendo accesible y sostenible para la creciente gama de actividades espaciales previstas en la actualidad y en el futuro.</w:t>
                      </w:r>
                    </w:p>
                  </w:txbxContent>
                </v:textbox>
                <w10:anchorlock/>
              </v:shape>
            </w:pict>
          </mc:Fallback>
        </mc:AlternateContent>
      </w:r>
    </w:p>
    <w:p w14:paraId="6CA1EBA1"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7.11</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A medida que el sector de la conectividad espacial prosigue su rápida evolución, </w:t>
      </w:r>
      <w:r w:rsidRPr="0052117D">
        <w:rPr>
          <w:szCs w:val="24"/>
        </w:rPr>
        <w:t>se plantean</w:t>
      </w:r>
      <w:r w:rsidRPr="0052117D">
        <w:rPr>
          <w:rFonts w:asciiTheme="minorHAnsi" w:eastAsiaTheme="minorEastAsia" w:hAnsiTheme="minorHAnsi" w:cstheme="minorBidi"/>
          <w:szCs w:val="24"/>
          <w:lang w:eastAsia="zh-CN"/>
        </w:rPr>
        <w:t xml:space="preserve"> diversos aspectos importantes que cabe examinar en la confluencia entre el avance tecnológico, el acceso universal y unas operaciones espaciales sostenibles:</w:t>
      </w:r>
    </w:p>
    <w:p w14:paraId="1AD95EE0"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7.11.1</w:t>
      </w:r>
      <w:r w:rsidRPr="0052117D">
        <w:rPr>
          <w:rFonts w:eastAsiaTheme="minorEastAsia"/>
          <w:bCs/>
          <w:szCs w:val="24"/>
          <w:lang w:eastAsia="zh-CN"/>
        </w:rPr>
        <w:tab/>
      </w:r>
      <w:r w:rsidRPr="0052117D">
        <w:rPr>
          <w:rFonts w:eastAsiaTheme="minorEastAsia"/>
          <w:szCs w:val="24"/>
          <w:lang w:eastAsia="zh-CN"/>
        </w:rPr>
        <w:t xml:space="preserve">Las </w:t>
      </w:r>
      <w:r w:rsidRPr="00BF2FBA">
        <w:rPr>
          <w:rFonts w:eastAsiaTheme="minorEastAsia"/>
          <w:lang w:eastAsia="zh-CN"/>
        </w:rPr>
        <w:t>tendencias</w:t>
      </w:r>
      <w:r w:rsidRPr="0052117D">
        <w:rPr>
          <w:rFonts w:eastAsiaTheme="minorEastAsia"/>
          <w:szCs w:val="24"/>
          <w:lang w:eastAsia="zh-CN"/>
        </w:rPr>
        <w:t xml:space="preserve"> y novedades incipientes en materia de conectividad espacial se centran en la creación de soluciones innovadoras en favor de futuros digitales inclusivos y sostenibles.</w:t>
      </w:r>
    </w:p>
    <w:p w14:paraId="201973B2"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7.11.2</w:t>
      </w:r>
      <w:r w:rsidRPr="0052117D">
        <w:rPr>
          <w:rFonts w:eastAsiaTheme="minorEastAsia"/>
          <w:bCs/>
          <w:szCs w:val="24"/>
          <w:lang w:eastAsia="zh-CN"/>
        </w:rPr>
        <w:tab/>
      </w:r>
      <w:r w:rsidRPr="0052117D">
        <w:rPr>
          <w:rFonts w:eastAsiaTheme="minorEastAsia"/>
          <w:szCs w:val="24"/>
          <w:lang w:eastAsia="zh-CN"/>
        </w:rPr>
        <w:t xml:space="preserve">La </w:t>
      </w:r>
      <w:r w:rsidRPr="0052117D">
        <w:rPr>
          <w:rFonts w:asciiTheme="minorHAnsi" w:eastAsiaTheme="minorEastAsia" w:hAnsiTheme="minorHAnsi" w:cstheme="minorBidi"/>
          <w:szCs w:val="24"/>
          <w:lang w:eastAsia="zh-CN"/>
        </w:rPr>
        <w:t>reducción</w:t>
      </w:r>
      <w:r w:rsidRPr="0052117D">
        <w:rPr>
          <w:rFonts w:eastAsiaTheme="minorEastAsia"/>
          <w:szCs w:val="24"/>
          <w:lang w:eastAsia="zh-CN"/>
        </w:rPr>
        <w:t xml:space="preserve"> de la brecha digital mediante la conectividad espacial puede contribuir a </w:t>
      </w:r>
      <w:r w:rsidRPr="0052117D">
        <w:rPr>
          <w:rFonts w:eastAsiaTheme="minorEastAsia"/>
          <w:szCs w:val="24"/>
        </w:rPr>
        <w:t>atender</w:t>
      </w:r>
      <w:r w:rsidRPr="0052117D">
        <w:rPr>
          <w:rFonts w:eastAsiaTheme="minorEastAsia"/>
          <w:szCs w:val="24"/>
          <w:lang w:eastAsia="zh-CN"/>
        </w:rPr>
        <w:t xml:space="preserve"> las </w:t>
      </w:r>
      <w:r w:rsidRPr="00BF2FBA">
        <w:rPr>
          <w:rFonts w:eastAsiaTheme="minorEastAsia"/>
          <w:lang w:eastAsia="zh-CN"/>
        </w:rPr>
        <w:t>necesidades</w:t>
      </w:r>
      <w:r w:rsidRPr="0052117D">
        <w:rPr>
          <w:rFonts w:eastAsiaTheme="minorEastAsia"/>
          <w:szCs w:val="24"/>
          <w:lang w:eastAsia="zh-CN"/>
        </w:rPr>
        <w:t xml:space="preserve"> de las comunidades no atendidas e insuficientemente atendidas.</w:t>
      </w:r>
    </w:p>
    <w:p w14:paraId="0B782F9C"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7.11.3</w:t>
      </w:r>
      <w:r w:rsidRPr="0052117D">
        <w:rPr>
          <w:rFonts w:eastAsiaTheme="minorEastAsia"/>
          <w:bCs/>
          <w:szCs w:val="24"/>
          <w:lang w:eastAsia="zh-CN"/>
        </w:rPr>
        <w:tab/>
      </w:r>
      <w:r w:rsidRPr="0052117D">
        <w:rPr>
          <w:rFonts w:eastAsiaTheme="minorEastAsia"/>
          <w:szCs w:val="24"/>
          <w:lang w:eastAsia="zh-CN"/>
        </w:rPr>
        <w:t xml:space="preserve">Los marcos normativos y reglamentarios propicios respaldan el despliegue responsable y la </w:t>
      </w:r>
      <w:r w:rsidRPr="0052117D">
        <w:rPr>
          <w:rFonts w:asciiTheme="minorHAnsi" w:eastAsiaTheme="minorEastAsia" w:hAnsiTheme="minorHAnsi" w:cstheme="minorBidi"/>
          <w:szCs w:val="24"/>
          <w:lang w:eastAsia="zh-CN"/>
        </w:rPr>
        <w:t>utilización</w:t>
      </w:r>
      <w:r w:rsidRPr="0052117D">
        <w:rPr>
          <w:rFonts w:eastAsiaTheme="minorEastAsia"/>
          <w:szCs w:val="24"/>
          <w:lang w:eastAsia="zh-CN"/>
        </w:rPr>
        <w:t xml:space="preserve"> sostenible de los sistemas de conectividad espacial. Existe un amplio reconocimiento </w:t>
      </w:r>
      <w:r w:rsidRPr="00BF2FBA">
        <w:rPr>
          <w:rFonts w:eastAsiaTheme="minorEastAsia"/>
          <w:lang w:eastAsia="zh-CN"/>
        </w:rPr>
        <w:t>de</w:t>
      </w:r>
      <w:r w:rsidRPr="0052117D">
        <w:rPr>
          <w:rFonts w:eastAsiaTheme="minorEastAsia"/>
          <w:szCs w:val="24"/>
          <w:lang w:eastAsia="zh-CN"/>
        </w:rPr>
        <w:t xml:space="preserve"> que los temas relativos a la conectividad espacial son competencia de distintas entidades de las Naciones Unidas relacionadas con el espacio ultraterrestre, tales como la Oficina de Asuntos del Espacio Ultraterrestre de las Naciones Unidas (</w:t>
      </w:r>
      <w:proofErr w:type="spellStart"/>
      <w:r w:rsidRPr="0052117D">
        <w:rPr>
          <w:rFonts w:eastAsiaTheme="minorEastAsia"/>
          <w:szCs w:val="24"/>
          <w:lang w:eastAsia="zh-CN"/>
        </w:rPr>
        <w:t>UNOOSA</w:t>
      </w:r>
      <w:proofErr w:type="spellEnd"/>
      <w:r w:rsidRPr="0052117D">
        <w:rPr>
          <w:rFonts w:eastAsiaTheme="minorEastAsia"/>
          <w:szCs w:val="24"/>
          <w:lang w:eastAsia="zh-CN"/>
        </w:rPr>
        <w:t>), la Comisión sobre la Utilización del Espacio Ultraterrestre con Fines Pacíficos (</w:t>
      </w:r>
      <w:proofErr w:type="spellStart"/>
      <w:r w:rsidRPr="0052117D">
        <w:rPr>
          <w:rFonts w:eastAsiaTheme="minorEastAsia"/>
          <w:szCs w:val="24"/>
          <w:lang w:eastAsia="zh-CN"/>
        </w:rPr>
        <w:t>COPUOS</w:t>
      </w:r>
      <w:proofErr w:type="spellEnd"/>
      <w:r w:rsidRPr="0052117D">
        <w:rPr>
          <w:rFonts w:eastAsiaTheme="minorEastAsia"/>
          <w:szCs w:val="24"/>
          <w:lang w:eastAsia="zh-CN"/>
        </w:rPr>
        <w:t>) y la</w:t>
      </w:r>
      <w:r>
        <w:rPr>
          <w:rFonts w:eastAsiaTheme="minorEastAsia"/>
          <w:szCs w:val="24"/>
          <w:lang w:eastAsia="zh-CN"/>
        </w:rPr>
        <w:t> </w:t>
      </w:r>
      <w:r w:rsidRPr="0052117D">
        <w:rPr>
          <w:rFonts w:eastAsiaTheme="minorEastAsia"/>
          <w:szCs w:val="24"/>
          <w:lang w:eastAsia="zh-CN"/>
        </w:rPr>
        <w:t>UIT. En el seno de la UIT en particular, existen marcos reglamentarios mundiales consolidados que rigen dichos sectores, especialmente por conducto de las Conferencias Mundiales de Radiocomunicaciones.</w:t>
      </w:r>
    </w:p>
    <w:p w14:paraId="1CC73323" w14:textId="77777777" w:rsidR="00081E04" w:rsidRPr="0052117D" w:rsidRDefault="00081E04" w:rsidP="00BF2FBA">
      <w:pPr>
        <w:pStyle w:val="enumlev1"/>
        <w:jc w:val="both"/>
        <w:rPr>
          <w:rFonts w:eastAsiaTheme="minorEastAsia" w:cstheme="minorHAnsi"/>
          <w:szCs w:val="24"/>
          <w:lang w:eastAsia="zh-CN"/>
        </w:rPr>
      </w:pPr>
      <w:r w:rsidRPr="0052117D">
        <w:rPr>
          <w:rFonts w:eastAsiaTheme="minorEastAsia" w:cstheme="minorHAnsi"/>
          <w:bCs/>
          <w:szCs w:val="24"/>
          <w:lang w:eastAsia="zh-CN"/>
        </w:rPr>
        <w:lastRenderedPageBreak/>
        <w:t>7.11.4</w:t>
      </w:r>
      <w:r w:rsidRPr="0052117D">
        <w:rPr>
          <w:rFonts w:eastAsiaTheme="minorEastAsia" w:cstheme="minorHAnsi"/>
          <w:bCs/>
          <w:szCs w:val="24"/>
          <w:lang w:eastAsia="zh-CN"/>
        </w:rPr>
        <w:tab/>
      </w:r>
      <w:r w:rsidRPr="0052117D">
        <w:rPr>
          <w:rFonts w:eastAsiaTheme="minorEastAsia"/>
          <w:szCs w:val="24"/>
          <w:lang w:eastAsia="zh-CN"/>
        </w:rPr>
        <w:t xml:space="preserve">La </w:t>
      </w:r>
      <w:r w:rsidRPr="00BF2FBA">
        <w:rPr>
          <w:rFonts w:eastAsiaTheme="minorEastAsia"/>
          <w:lang w:eastAsia="zh-CN"/>
        </w:rPr>
        <w:t>complementariedad</w:t>
      </w:r>
      <w:r w:rsidRPr="0052117D">
        <w:rPr>
          <w:rFonts w:eastAsiaTheme="minorEastAsia"/>
          <w:szCs w:val="24"/>
          <w:lang w:eastAsia="zh-CN"/>
        </w:rPr>
        <w:t xml:space="preserve"> entre los distintos sistemas espaciales y las redes terrenales genera </w:t>
      </w:r>
      <w:r w:rsidRPr="0052117D">
        <w:rPr>
          <w:rFonts w:asciiTheme="minorHAnsi" w:eastAsiaTheme="minorEastAsia" w:hAnsiTheme="minorHAnsi" w:cstheme="minorBidi"/>
          <w:szCs w:val="24"/>
          <w:lang w:eastAsia="zh-CN"/>
        </w:rPr>
        <w:t>oportunidades</w:t>
      </w:r>
      <w:r w:rsidRPr="0052117D">
        <w:rPr>
          <w:rFonts w:eastAsiaTheme="minorEastAsia" w:cstheme="minorHAnsi"/>
          <w:szCs w:val="24"/>
          <w:lang w:eastAsia="zh-CN"/>
        </w:rPr>
        <w:t xml:space="preserve"> para mejorar las soluciones de conectividad.</w:t>
      </w:r>
    </w:p>
    <w:p w14:paraId="210199C9" w14:textId="77777777" w:rsidR="00081E04" w:rsidRPr="0052117D" w:rsidRDefault="00081E04" w:rsidP="00BF2FBA">
      <w:pPr>
        <w:pStyle w:val="enumlev1"/>
        <w:jc w:val="both"/>
        <w:rPr>
          <w:rFonts w:eastAsiaTheme="minorEastAsia" w:cstheme="minorHAnsi"/>
          <w:szCs w:val="24"/>
          <w:lang w:eastAsia="zh-CN"/>
        </w:rPr>
      </w:pPr>
      <w:r w:rsidRPr="0052117D">
        <w:rPr>
          <w:rFonts w:eastAsiaTheme="minorEastAsia" w:cstheme="minorHAnsi"/>
          <w:bCs/>
          <w:szCs w:val="24"/>
          <w:lang w:eastAsia="zh-CN"/>
        </w:rPr>
        <w:t>7.11.5</w:t>
      </w:r>
      <w:r w:rsidRPr="0052117D">
        <w:rPr>
          <w:rFonts w:eastAsiaTheme="minorEastAsia" w:cstheme="minorHAnsi"/>
          <w:bCs/>
          <w:szCs w:val="24"/>
          <w:lang w:eastAsia="zh-CN"/>
        </w:rPr>
        <w:tab/>
      </w:r>
      <w:r w:rsidRPr="0052117D">
        <w:rPr>
          <w:rFonts w:eastAsiaTheme="minorEastAsia" w:cstheme="minorHAnsi"/>
          <w:szCs w:val="24"/>
          <w:lang w:eastAsia="zh-CN"/>
        </w:rPr>
        <w:t xml:space="preserve">Habida cuenta de que el espectro y </w:t>
      </w:r>
      <w:r w:rsidRPr="0052117D">
        <w:rPr>
          <w:rFonts w:eastAsiaTheme="minorEastAsia" w:cstheme="minorHAnsi"/>
          <w:szCs w:val="24"/>
        </w:rPr>
        <w:t xml:space="preserve">las órbitas de satélite </w:t>
      </w:r>
      <w:r w:rsidRPr="0052117D">
        <w:rPr>
          <w:rFonts w:eastAsiaTheme="minorEastAsia" w:cstheme="minorHAnsi"/>
          <w:szCs w:val="24"/>
          <w:lang w:eastAsia="zh-CN"/>
        </w:rPr>
        <w:t xml:space="preserve">asociadas son limitados, es </w:t>
      </w:r>
      <w:r w:rsidRPr="0052117D">
        <w:rPr>
          <w:rFonts w:asciiTheme="minorHAnsi" w:eastAsiaTheme="minorEastAsia" w:hAnsiTheme="minorHAnsi" w:cstheme="minorBidi"/>
          <w:szCs w:val="24"/>
          <w:lang w:eastAsia="zh-CN"/>
        </w:rPr>
        <w:t>necesario</w:t>
      </w:r>
      <w:r w:rsidRPr="0052117D">
        <w:rPr>
          <w:rFonts w:eastAsiaTheme="minorEastAsia" w:cstheme="minorHAnsi"/>
          <w:szCs w:val="24"/>
          <w:lang w:eastAsia="zh-CN"/>
        </w:rPr>
        <w:t xml:space="preserve"> utilizarlos </w:t>
      </w:r>
      <w:r w:rsidRPr="0052117D">
        <w:rPr>
          <w:rFonts w:eastAsiaTheme="minorEastAsia" w:cstheme="minorHAnsi"/>
          <w:szCs w:val="24"/>
        </w:rPr>
        <w:t xml:space="preserve">de manera </w:t>
      </w:r>
      <w:r w:rsidRPr="0052117D">
        <w:rPr>
          <w:rFonts w:eastAsiaTheme="minorEastAsia" w:cstheme="minorHAnsi"/>
          <w:szCs w:val="24"/>
          <w:lang w:eastAsia="zh-CN"/>
        </w:rPr>
        <w:t xml:space="preserve">óptima </w:t>
      </w:r>
      <w:r w:rsidRPr="0052117D">
        <w:rPr>
          <w:rFonts w:eastAsiaTheme="minorEastAsia" w:cstheme="minorHAnsi"/>
          <w:szCs w:val="24"/>
        </w:rPr>
        <w:t xml:space="preserve">mediante la actualización de los marcos </w:t>
      </w:r>
      <w:r w:rsidRPr="00BF2FBA">
        <w:rPr>
          <w:rFonts w:eastAsiaTheme="minorEastAsia"/>
          <w:lang w:eastAsia="zh-CN"/>
        </w:rPr>
        <w:t>reglamentarios</w:t>
      </w:r>
      <w:r w:rsidRPr="0052117D">
        <w:rPr>
          <w:rFonts w:eastAsiaTheme="minorEastAsia" w:cstheme="minorHAnsi"/>
          <w:szCs w:val="24"/>
        </w:rPr>
        <w:t xml:space="preserve">, con objeto de maximizar la eficiencia espectral y emplear técnicas modernas de gestión del espectro, </w:t>
      </w:r>
      <w:r w:rsidRPr="0052117D">
        <w:rPr>
          <w:rFonts w:eastAsiaTheme="minorEastAsia" w:cstheme="minorHAnsi"/>
          <w:szCs w:val="24"/>
          <w:lang w:eastAsia="zh-CN"/>
        </w:rPr>
        <w:t xml:space="preserve">con un </w:t>
      </w:r>
      <w:r w:rsidRPr="0052117D">
        <w:rPr>
          <w:rFonts w:eastAsiaTheme="minorEastAsia" w:cstheme="minorHAnsi"/>
          <w:szCs w:val="24"/>
        </w:rPr>
        <w:t>acceso racional,</w:t>
      </w:r>
      <w:r w:rsidRPr="0052117D">
        <w:rPr>
          <w:rFonts w:eastAsiaTheme="minorEastAsia" w:cstheme="minorHAnsi"/>
          <w:szCs w:val="24"/>
          <w:lang w:eastAsia="zh-CN"/>
        </w:rPr>
        <w:t xml:space="preserve"> equitativo</w:t>
      </w:r>
      <w:r w:rsidRPr="0052117D">
        <w:rPr>
          <w:rFonts w:eastAsiaTheme="minorEastAsia" w:cstheme="minorHAnsi"/>
          <w:szCs w:val="24"/>
        </w:rPr>
        <w:t>, eficaz y económico</w:t>
      </w:r>
      <w:r w:rsidRPr="0052117D">
        <w:rPr>
          <w:rFonts w:eastAsiaTheme="minorEastAsia" w:cstheme="minorHAnsi"/>
          <w:szCs w:val="24"/>
          <w:lang w:eastAsia="zh-CN"/>
        </w:rPr>
        <w:t xml:space="preserve"> para todos los países, en especial los países en desarrollo.</w:t>
      </w:r>
    </w:p>
    <w:p w14:paraId="55758637" w14:textId="77777777" w:rsidR="00081E04" w:rsidRPr="0052117D" w:rsidRDefault="00081E04" w:rsidP="00BF2FBA">
      <w:pPr>
        <w:pStyle w:val="enumlev1"/>
        <w:jc w:val="both"/>
        <w:rPr>
          <w:rFonts w:eastAsiaTheme="minorEastAsia" w:cstheme="minorHAnsi"/>
          <w:szCs w:val="24"/>
          <w:lang w:eastAsia="zh-CN"/>
        </w:rPr>
      </w:pPr>
      <w:r w:rsidRPr="0052117D">
        <w:rPr>
          <w:rFonts w:eastAsiaTheme="minorEastAsia" w:cstheme="minorHAnsi"/>
          <w:bCs/>
          <w:szCs w:val="24"/>
          <w:lang w:eastAsia="zh-CN"/>
        </w:rPr>
        <w:t>7.11.6</w:t>
      </w:r>
      <w:r w:rsidRPr="0052117D">
        <w:rPr>
          <w:rFonts w:eastAsiaTheme="minorEastAsia" w:cstheme="minorHAnsi"/>
          <w:bCs/>
          <w:szCs w:val="24"/>
          <w:lang w:eastAsia="zh-CN"/>
        </w:rPr>
        <w:tab/>
      </w:r>
      <w:r w:rsidRPr="0052117D">
        <w:rPr>
          <w:rFonts w:eastAsiaTheme="minorEastAsia" w:cstheme="minorHAnsi"/>
          <w:szCs w:val="24"/>
          <w:lang w:eastAsia="zh-CN"/>
        </w:rPr>
        <w:t xml:space="preserve">Las asociaciones público-privadas y los incentivos económicos otorgados por los gobiernos pueden acelerar el despliegue de servicios y tecnologías de telecomunicaciones/TIC espaciales, lo que a su vez puede acelerar el acceso a la conectividad en las regiones </w:t>
      </w:r>
      <w:r w:rsidRPr="00BF2FBA">
        <w:rPr>
          <w:rFonts w:eastAsiaTheme="minorEastAsia"/>
          <w:lang w:eastAsia="zh-CN"/>
        </w:rPr>
        <w:t>insuficientemente</w:t>
      </w:r>
      <w:r w:rsidRPr="0052117D">
        <w:rPr>
          <w:rFonts w:eastAsiaTheme="minorEastAsia" w:cstheme="minorHAnsi"/>
          <w:szCs w:val="24"/>
          <w:lang w:eastAsia="zh-CN"/>
        </w:rPr>
        <w:t xml:space="preserve"> atendidas y no atendidas.</w:t>
      </w:r>
    </w:p>
    <w:p w14:paraId="18AACFCA"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pacing w:val="-4"/>
          <w:szCs w:val="24"/>
          <w:lang w:eastAsia="zh-CN"/>
        </w:rPr>
        <w:t>7.12</w:t>
      </w:r>
      <w:r w:rsidRPr="0052117D">
        <w:rPr>
          <w:rFonts w:asciiTheme="minorHAnsi" w:eastAsiaTheme="minorEastAsia" w:hAnsiTheme="minorHAnsi" w:cstheme="minorHAnsi"/>
          <w:spacing w:val="-4"/>
          <w:szCs w:val="24"/>
          <w:lang w:eastAsia="zh-CN"/>
        </w:rPr>
        <w:tab/>
      </w:r>
      <w:r w:rsidRPr="0052117D">
        <w:rPr>
          <w:rFonts w:asciiTheme="minorHAnsi" w:eastAsiaTheme="minorEastAsia" w:hAnsiTheme="minorHAnsi" w:cstheme="minorHAnsi"/>
          <w:szCs w:val="24"/>
          <w:lang w:eastAsia="zh-CN"/>
        </w:rPr>
        <w:t>Habida cuenta de estas consideraciones relativas a la conectividad y la sostenibilidad de las telecomunicaciones/TIC espaciales, los responsables políticos y las partes interesadas deberían responder a los interrogantes siguientes con miras a garantizar un desarrollo responsable de los servicios y tecnologías de telecomunicaciones/TIC espaciales:</w:t>
      </w:r>
    </w:p>
    <w:p w14:paraId="6BF229C2"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7.12.1</w:t>
      </w:r>
      <w:r w:rsidRPr="0052117D">
        <w:rPr>
          <w:rFonts w:eastAsiaTheme="minorEastAsia"/>
          <w:bCs/>
          <w:szCs w:val="24"/>
          <w:lang w:eastAsia="zh-CN"/>
        </w:rPr>
        <w:tab/>
      </w:r>
      <w:r w:rsidRPr="0052117D">
        <w:rPr>
          <w:rFonts w:eastAsiaTheme="minorEastAsia"/>
          <w:szCs w:val="24"/>
          <w:lang w:eastAsia="zh-CN"/>
        </w:rPr>
        <w:t xml:space="preserve">¿Qué retos, tendencias y novedades en materia de conectividad de las telecomunicaciones/TIC espaciales contribuyen a un futuro digital inclusivo, sostenible, </w:t>
      </w:r>
      <w:r w:rsidRPr="00BF2FBA">
        <w:rPr>
          <w:rFonts w:eastAsiaTheme="minorEastAsia"/>
          <w:lang w:eastAsia="zh-CN"/>
        </w:rPr>
        <w:t>resiliente</w:t>
      </w:r>
      <w:r w:rsidRPr="0052117D">
        <w:rPr>
          <w:rFonts w:eastAsiaTheme="minorEastAsia"/>
          <w:szCs w:val="24"/>
          <w:lang w:eastAsia="zh-CN"/>
        </w:rPr>
        <w:t>, asequible e innovador? ¿Cómo pueden los gobiernos, el sector público, el sector privado y la sociedad civil, cada uno en su función respectiva, aprovechar dichas novedades?</w:t>
      </w:r>
    </w:p>
    <w:p w14:paraId="4438EC37"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7.12.2</w:t>
      </w:r>
      <w:r w:rsidRPr="0052117D">
        <w:rPr>
          <w:rFonts w:eastAsiaTheme="minorEastAsia"/>
          <w:bCs/>
          <w:szCs w:val="24"/>
          <w:lang w:eastAsia="zh-CN"/>
        </w:rPr>
        <w:tab/>
      </w:r>
      <w:r w:rsidRPr="0052117D">
        <w:rPr>
          <w:rFonts w:eastAsiaTheme="minorEastAsia"/>
          <w:szCs w:val="24"/>
          <w:lang w:eastAsia="zh-CN"/>
        </w:rPr>
        <w:t xml:space="preserve">¿Cómo puede la conectividad de las telecomunicaciones/TIC espaciales colmar las brechas </w:t>
      </w:r>
      <w:r w:rsidRPr="0052117D">
        <w:rPr>
          <w:rFonts w:asciiTheme="minorHAnsi" w:eastAsiaTheme="minorEastAsia" w:hAnsiTheme="minorHAnsi" w:cstheme="minorHAnsi"/>
          <w:szCs w:val="24"/>
          <w:lang w:eastAsia="zh-CN"/>
        </w:rPr>
        <w:t>digitales</w:t>
      </w:r>
      <w:r w:rsidRPr="0052117D">
        <w:rPr>
          <w:rFonts w:eastAsiaTheme="minorEastAsia"/>
          <w:szCs w:val="24"/>
          <w:lang w:eastAsia="zh-CN"/>
        </w:rPr>
        <w:t xml:space="preserve"> y contribuir al desarrollo sostenible, en particular en las comunidades </w:t>
      </w:r>
      <w:r w:rsidRPr="00BF2FBA">
        <w:rPr>
          <w:rFonts w:eastAsiaTheme="minorEastAsia"/>
          <w:lang w:eastAsia="zh-CN"/>
        </w:rPr>
        <w:t>históricamente</w:t>
      </w:r>
      <w:r w:rsidRPr="0052117D">
        <w:rPr>
          <w:rFonts w:eastAsiaTheme="minorEastAsia"/>
          <w:szCs w:val="24"/>
          <w:lang w:eastAsia="zh-CN"/>
        </w:rPr>
        <w:t xml:space="preserve"> insuficientemente atendidas y no atendidas, atendiendo al mismo tiempo a las diversas prioridades de las partes interesadas, entre ellas la accesibilidad, la asequibilidad y la resiliencia de las comunicaciones?</w:t>
      </w:r>
    </w:p>
    <w:p w14:paraId="56CAD3D2"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7.12.3</w:t>
      </w:r>
      <w:r w:rsidRPr="0052117D">
        <w:rPr>
          <w:rFonts w:eastAsiaTheme="minorEastAsia"/>
          <w:bCs/>
          <w:szCs w:val="24"/>
          <w:lang w:eastAsia="zh-CN"/>
        </w:rPr>
        <w:tab/>
      </w:r>
      <w:r w:rsidRPr="0052117D">
        <w:rPr>
          <w:rFonts w:eastAsiaTheme="minorEastAsia"/>
          <w:szCs w:val="24"/>
          <w:lang w:eastAsia="zh-CN"/>
        </w:rPr>
        <w:t>¿</w:t>
      </w:r>
      <w:r w:rsidRPr="00BF2FBA">
        <w:rPr>
          <w:rFonts w:eastAsiaTheme="minorEastAsia"/>
          <w:lang w:eastAsia="zh-CN"/>
        </w:rPr>
        <w:t>Cómo</w:t>
      </w:r>
      <w:r w:rsidRPr="0052117D">
        <w:rPr>
          <w:rFonts w:eastAsiaTheme="minorEastAsia"/>
          <w:szCs w:val="24"/>
          <w:lang w:eastAsia="zh-CN"/>
        </w:rPr>
        <w:t xml:space="preserve"> pueden actuar las administraciones a escala nacional, regional e internacional para crear un entorno normativo y reglamentario propicio al despliegue y la utilización de la </w:t>
      </w:r>
      <w:r w:rsidRPr="0052117D">
        <w:rPr>
          <w:rFonts w:asciiTheme="minorHAnsi" w:eastAsiaTheme="minorEastAsia" w:hAnsiTheme="minorHAnsi" w:cstheme="minorHAnsi"/>
          <w:szCs w:val="24"/>
          <w:lang w:eastAsia="zh-CN"/>
        </w:rPr>
        <w:t>conectividad</w:t>
      </w:r>
      <w:r w:rsidRPr="0052117D">
        <w:rPr>
          <w:rFonts w:eastAsiaTheme="minorEastAsia"/>
          <w:szCs w:val="24"/>
          <w:lang w:eastAsia="zh-CN"/>
        </w:rPr>
        <w:t xml:space="preserve"> de las telecomunicaciones/TIC espaciales? ¿Cómo pueden armonizarse los marcos reglamentarios entre los distintos países a fin de facilitar el despliegue y la explotación de los sistemas de conectividad de telecomunicaciones/TIC espaciales?</w:t>
      </w:r>
    </w:p>
    <w:p w14:paraId="3E2CF0F6" w14:textId="77777777" w:rsidR="00081E04" w:rsidRPr="0052117D" w:rsidRDefault="00081E04" w:rsidP="00BF2FBA">
      <w:pPr>
        <w:pStyle w:val="enumlev1"/>
        <w:jc w:val="both"/>
        <w:rPr>
          <w:rFonts w:eastAsiaTheme="minorEastAsia"/>
          <w:szCs w:val="24"/>
        </w:rPr>
      </w:pPr>
      <w:r w:rsidRPr="0052117D">
        <w:rPr>
          <w:rFonts w:eastAsiaTheme="minorEastAsia"/>
          <w:bCs/>
          <w:szCs w:val="24"/>
        </w:rPr>
        <w:t>7.12.4</w:t>
      </w:r>
      <w:r w:rsidRPr="0052117D">
        <w:rPr>
          <w:rFonts w:eastAsiaTheme="minorEastAsia"/>
          <w:bCs/>
          <w:szCs w:val="24"/>
        </w:rPr>
        <w:tab/>
      </w:r>
      <w:r w:rsidRPr="0052117D">
        <w:rPr>
          <w:rFonts w:eastAsiaTheme="minorEastAsia"/>
          <w:szCs w:val="24"/>
          <w:lang w:eastAsia="zh-CN"/>
        </w:rPr>
        <w:t xml:space="preserve">¿Cómo pueden las complementariedades entre los distintos sistemas de conectividad de </w:t>
      </w:r>
      <w:r w:rsidRPr="00BF2FBA">
        <w:rPr>
          <w:rFonts w:eastAsiaTheme="minorEastAsia"/>
          <w:lang w:eastAsia="zh-CN"/>
        </w:rPr>
        <w:t>telecomunicaciones</w:t>
      </w:r>
      <w:r w:rsidRPr="0052117D">
        <w:rPr>
          <w:rFonts w:eastAsiaTheme="minorEastAsia"/>
          <w:szCs w:val="24"/>
          <w:lang w:eastAsia="zh-CN"/>
        </w:rPr>
        <w:t xml:space="preserve">/TIC espaciales, y entre dichos sistemas y las redes terrenales, </w:t>
      </w:r>
      <w:r w:rsidRPr="0052117D">
        <w:rPr>
          <w:rFonts w:asciiTheme="minorHAnsi" w:eastAsiaTheme="minorEastAsia" w:hAnsiTheme="minorHAnsi" w:cstheme="minorHAnsi"/>
          <w:szCs w:val="24"/>
          <w:lang w:eastAsia="zh-CN"/>
        </w:rPr>
        <w:t>contribuir</w:t>
      </w:r>
      <w:r w:rsidRPr="0052117D">
        <w:rPr>
          <w:rFonts w:eastAsiaTheme="minorEastAsia"/>
          <w:szCs w:val="24"/>
          <w:lang w:eastAsia="zh-CN"/>
        </w:rPr>
        <w:t xml:space="preserve"> a un futuro digital inclusivo e innovador? ¿Cómo pueden los responsables políticos contribuir a posibilitar los </w:t>
      </w:r>
      <w:r w:rsidRPr="0052117D">
        <w:rPr>
          <w:rFonts w:eastAsiaTheme="minorEastAsia"/>
          <w:szCs w:val="24"/>
        </w:rPr>
        <w:t>servicios de conectividad</w:t>
      </w:r>
      <w:r w:rsidRPr="0052117D">
        <w:rPr>
          <w:rFonts w:eastAsiaTheme="minorEastAsia"/>
          <w:szCs w:val="24"/>
          <w:lang w:eastAsia="zh-CN"/>
        </w:rPr>
        <w:t xml:space="preserve"> que se derivan de tales complementariedades, y qué mecanismos reglamentarios pueden establecerse </w:t>
      </w:r>
      <w:r w:rsidRPr="0052117D">
        <w:rPr>
          <w:rFonts w:eastAsiaTheme="minorEastAsia"/>
          <w:szCs w:val="24"/>
        </w:rPr>
        <w:t xml:space="preserve">para fomentar la colaboración? </w:t>
      </w:r>
    </w:p>
    <w:p w14:paraId="5D24E6C1" w14:textId="77777777" w:rsidR="00081E04" w:rsidRPr="0052117D" w:rsidRDefault="00081E04" w:rsidP="00BF2FBA">
      <w:pPr>
        <w:pStyle w:val="enumlev1"/>
        <w:jc w:val="both"/>
        <w:rPr>
          <w:rFonts w:eastAsiaTheme="minorEastAsia" w:cstheme="minorBidi"/>
          <w:szCs w:val="24"/>
          <w:lang w:eastAsia="zh-CN"/>
        </w:rPr>
      </w:pPr>
      <w:r w:rsidRPr="0052117D">
        <w:rPr>
          <w:rFonts w:eastAsiaTheme="minorEastAsia" w:cstheme="minorBidi"/>
          <w:bCs/>
          <w:szCs w:val="24"/>
          <w:lang w:eastAsia="zh-CN"/>
        </w:rPr>
        <w:t>7.12.5</w:t>
      </w:r>
      <w:r w:rsidRPr="0052117D">
        <w:rPr>
          <w:rFonts w:eastAsiaTheme="minorEastAsia" w:cstheme="minorBidi"/>
          <w:bCs/>
          <w:szCs w:val="24"/>
          <w:lang w:eastAsia="zh-CN"/>
        </w:rPr>
        <w:tab/>
      </w:r>
      <w:r w:rsidRPr="0052117D">
        <w:rPr>
          <w:rFonts w:eastAsiaTheme="minorEastAsia"/>
          <w:szCs w:val="24"/>
          <w:lang w:eastAsia="zh-CN"/>
        </w:rPr>
        <w:t xml:space="preserve">Reconociendo el mandato de la UIT, así como su marco reglamentario y sus Sectores, en particular </w:t>
      </w:r>
      <w:r w:rsidRPr="0052117D">
        <w:rPr>
          <w:rFonts w:eastAsiaTheme="minorEastAsia" w:cstheme="minorBidi"/>
          <w:szCs w:val="24"/>
          <w:lang w:eastAsia="zh-CN"/>
        </w:rPr>
        <w:t xml:space="preserve">las Conferencias Mundiales de Radiocomunicaciones, ¿cómo pueden mejorarse la </w:t>
      </w:r>
      <w:r w:rsidRPr="0052117D">
        <w:rPr>
          <w:rFonts w:asciiTheme="minorHAnsi" w:eastAsiaTheme="minorEastAsia" w:hAnsiTheme="minorHAnsi" w:cstheme="minorHAnsi"/>
          <w:szCs w:val="24"/>
          <w:lang w:eastAsia="zh-CN"/>
        </w:rPr>
        <w:t>coordinación</w:t>
      </w:r>
      <w:r w:rsidRPr="0052117D">
        <w:rPr>
          <w:rFonts w:eastAsiaTheme="minorEastAsia" w:cstheme="minorBidi"/>
          <w:szCs w:val="24"/>
          <w:lang w:eastAsia="zh-CN"/>
        </w:rPr>
        <w:t xml:space="preserve"> y la colaboración internacionales con miras a gestionar la utilización del espectro de frecuencias radioeléctricas para los servicios de telecomunicaciones/TIC espaciales, garantizando un acceso equitativo a los recursos espaciales para todos los países?</w:t>
      </w:r>
    </w:p>
    <w:p w14:paraId="6BB56EB3" w14:textId="77777777" w:rsidR="00081E04" w:rsidRPr="0052117D" w:rsidRDefault="00081E04" w:rsidP="00BF2FBA">
      <w:pPr>
        <w:pStyle w:val="enumlev1"/>
        <w:jc w:val="both"/>
        <w:rPr>
          <w:rFonts w:eastAsiaTheme="minorEastAsia" w:cstheme="minorBidi"/>
          <w:szCs w:val="24"/>
          <w:lang w:eastAsia="zh-CN"/>
        </w:rPr>
      </w:pPr>
      <w:r w:rsidRPr="0052117D">
        <w:rPr>
          <w:rFonts w:eastAsiaTheme="minorEastAsia" w:cstheme="minorBidi"/>
          <w:bCs/>
          <w:szCs w:val="24"/>
          <w:lang w:eastAsia="zh-CN"/>
        </w:rPr>
        <w:t>7.12.6</w:t>
      </w:r>
      <w:r w:rsidRPr="0052117D">
        <w:rPr>
          <w:rFonts w:eastAsiaTheme="minorEastAsia" w:cstheme="minorBidi"/>
          <w:bCs/>
          <w:szCs w:val="24"/>
          <w:lang w:eastAsia="zh-CN"/>
        </w:rPr>
        <w:tab/>
      </w:r>
      <w:r w:rsidRPr="0052117D">
        <w:rPr>
          <w:rFonts w:eastAsiaTheme="minorEastAsia" w:cstheme="minorBidi"/>
          <w:szCs w:val="24"/>
          <w:lang w:eastAsia="zh-CN"/>
        </w:rPr>
        <w:t xml:space="preserve">¿Qué marcos reglamentarios es preciso establecer para garantizar la coordinación del </w:t>
      </w:r>
      <w:r w:rsidRPr="0052117D">
        <w:rPr>
          <w:rFonts w:asciiTheme="minorHAnsi" w:eastAsiaTheme="minorEastAsia" w:hAnsiTheme="minorHAnsi" w:cstheme="minorHAnsi"/>
          <w:szCs w:val="24"/>
          <w:lang w:eastAsia="zh-CN"/>
        </w:rPr>
        <w:t>tráfico</w:t>
      </w:r>
      <w:r w:rsidRPr="0052117D">
        <w:rPr>
          <w:rFonts w:eastAsiaTheme="minorEastAsia" w:cstheme="minorBidi"/>
          <w:szCs w:val="24"/>
          <w:lang w:eastAsia="zh-CN"/>
        </w:rPr>
        <w:t xml:space="preserve"> </w:t>
      </w:r>
      <w:r w:rsidRPr="00BF2FBA">
        <w:rPr>
          <w:rFonts w:eastAsiaTheme="minorEastAsia"/>
          <w:szCs w:val="24"/>
          <w:lang w:eastAsia="zh-CN"/>
        </w:rPr>
        <w:t>espacial</w:t>
      </w:r>
      <w:r w:rsidRPr="0052117D">
        <w:rPr>
          <w:rFonts w:eastAsiaTheme="minorEastAsia" w:cstheme="minorBidi"/>
          <w:szCs w:val="24"/>
          <w:lang w:eastAsia="zh-CN"/>
        </w:rPr>
        <w:t xml:space="preserve"> (</w:t>
      </w:r>
      <w:proofErr w:type="spellStart"/>
      <w:r w:rsidRPr="0052117D">
        <w:rPr>
          <w:rFonts w:eastAsiaTheme="minorEastAsia" w:cstheme="minorBidi"/>
          <w:szCs w:val="24"/>
          <w:lang w:eastAsia="zh-CN"/>
        </w:rPr>
        <w:t>STC</w:t>
      </w:r>
      <w:proofErr w:type="spellEnd"/>
      <w:r w:rsidRPr="0052117D">
        <w:rPr>
          <w:rFonts w:eastAsiaTheme="minorEastAsia" w:cstheme="minorBidi"/>
          <w:szCs w:val="24"/>
          <w:lang w:eastAsia="zh-CN"/>
        </w:rPr>
        <w:t xml:space="preserve">) y posibilitar una utilización eficiente de las órbitas? ¿Cómo pueden </w:t>
      </w:r>
      <w:r w:rsidRPr="0052117D">
        <w:rPr>
          <w:rFonts w:eastAsiaTheme="minorEastAsia" w:cstheme="minorBidi"/>
          <w:szCs w:val="24"/>
          <w:lang w:eastAsia="zh-CN"/>
        </w:rPr>
        <w:lastRenderedPageBreak/>
        <w:t>colaborar los países para desarrollar y aplicar sistemas de coordinación del tráfico espacial que garanticen la seguridad y la sostenibilidad de las actividades de conectividad espacial?</w:t>
      </w:r>
    </w:p>
    <w:p w14:paraId="2A64BB25" w14:textId="187FC2FF" w:rsidR="00081E04" w:rsidRPr="0052117D" w:rsidRDefault="00081E04" w:rsidP="00BF2FBA">
      <w:pPr>
        <w:pStyle w:val="enumlev1"/>
        <w:jc w:val="both"/>
        <w:rPr>
          <w:rFonts w:eastAsiaTheme="minorEastAsia" w:cstheme="minorBidi"/>
          <w:szCs w:val="24"/>
          <w:lang w:eastAsia="zh-CN"/>
        </w:rPr>
      </w:pPr>
      <w:r w:rsidRPr="0052117D">
        <w:rPr>
          <w:rFonts w:eastAsiaTheme="minorEastAsia" w:cstheme="minorBidi"/>
          <w:bCs/>
          <w:szCs w:val="24"/>
          <w:lang w:eastAsia="zh-CN"/>
        </w:rPr>
        <w:t>7.12.7</w:t>
      </w:r>
      <w:r w:rsidRPr="0052117D">
        <w:rPr>
          <w:rFonts w:eastAsiaTheme="minorEastAsia" w:cstheme="minorBidi"/>
          <w:bCs/>
          <w:szCs w:val="24"/>
          <w:lang w:eastAsia="zh-CN"/>
        </w:rPr>
        <w:tab/>
      </w:r>
      <w:r w:rsidRPr="0052117D">
        <w:rPr>
          <w:rFonts w:eastAsiaTheme="minorEastAsia" w:cstheme="minorBidi"/>
          <w:szCs w:val="24"/>
          <w:lang w:eastAsia="zh-CN"/>
        </w:rPr>
        <w:t xml:space="preserve">¿Cómo puede promoverse un acceso asequible y generalizado a las soluciones de conectividad de telecomunicaciones/TIC espaciales, en particular en los países en </w:t>
      </w:r>
      <w:r w:rsidRPr="0052117D">
        <w:rPr>
          <w:rFonts w:asciiTheme="minorHAnsi" w:eastAsiaTheme="minorEastAsia" w:hAnsiTheme="minorHAnsi" w:cstheme="minorHAnsi"/>
          <w:szCs w:val="24"/>
          <w:lang w:eastAsia="zh-CN"/>
        </w:rPr>
        <w:t>desarrollo</w:t>
      </w:r>
      <w:r w:rsidRPr="0052117D">
        <w:rPr>
          <w:rFonts w:eastAsiaTheme="minorEastAsia" w:cstheme="minorBidi"/>
          <w:szCs w:val="24"/>
          <w:lang w:eastAsia="zh-CN"/>
        </w:rPr>
        <w:t xml:space="preserve"> y los países menos adelantados, así como en las comunidades de bajos ingresos y remotas, fomentando la </w:t>
      </w:r>
      <w:r w:rsidRPr="00BF2FBA">
        <w:rPr>
          <w:rFonts w:eastAsiaTheme="minorEastAsia"/>
          <w:szCs w:val="24"/>
          <w:lang w:eastAsia="zh-CN"/>
        </w:rPr>
        <w:t>competencia</w:t>
      </w:r>
      <w:r w:rsidRPr="0052117D">
        <w:rPr>
          <w:rFonts w:eastAsiaTheme="minorEastAsia" w:cstheme="minorBidi"/>
          <w:szCs w:val="24"/>
          <w:lang w:eastAsia="zh-CN"/>
        </w:rPr>
        <w:t>, la innovación, la inversión privada y las asociaciones público-privadas, entre otros mecanismos?</w:t>
      </w:r>
    </w:p>
    <w:p w14:paraId="756C467E" w14:textId="60077296" w:rsidR="00081E04" w:rsidRPr="0052117D" w:rsidRDefault="00081E04" w:rsidP="00BF2FBA">
      <w:pPr>
        <w:pStyle w:val="enumlev1"/>
        <w:jc w:val="both"/>
        <w:rPr>
          <w:rFonts w:eastAsiaTheme="minorEastAsia" w:cstheme="minorBidi"/>
          <w:szCs w:val="24"/>
          <w:lang w:eastAsia="zh-CN"/>
        </w:rPr>
      </w:pPr>
      <w:r w:rsidRPr="0052117D">
        <w:rPr>
          <w:rFonts w:eastAsiaTheme="minorEastAsia" w:cstheme="minorBidi"/>
          <w:bCs/>
          <w:szCs w:val="24"/>
          <w:lang w:eastAsia="zh-CN"/>
        </w:rPr>
        <w:t>7.12.8</w:t>
      </w:r>
      <w:r w:rsidRPr="0052117D">
        <w:rPr>
          <w:rFonts w:eastAsiaTheme="minorEastAsia" w:cstheme="minorBidi"/>
          <w:bCs/>
          <w:szCs w:val="24"/>
          <w:lang w:eastAsia="zh-CN"/>
        </w:rPr>
        <w:tab/>
      </w:r>
      <w:r w:rsidRPr="0052117D">
        <w:rPr>
          <w:rFonts w:eastAsiaTheme="minorEastAsia" w:cstheme="minorBidi"/>
          <w:szCs w:val="24"/>
          <w:lang w:eastAsia="zh-CN"/>
        </w:rPr>
        <w:t xml:space="preserve">¿Cómo puede minimizarse la repercusión medioambiental de las operaciones de conectividad espacial y qué medidas o políticas técnicamente fundamentadas pueden </w:t>
      </w:r>
      <w:r w:rsidRPr="0052117D">
        <w:rPr>
          <w:rFonts w:asciiTheme="minorHAnsi" w:eastAsiaTheme="minorEastAsia" w:hAnsiTheme="minorHAnsi" w:cstheme="minorHAnsi"/>
          <w:szCs w:val="24"/>
          <w:lang w:eastAsia="zh-CN"/>
        </w:rPr>
        <w:t>promover</w:t>
      </w:r>
      <w:r w:rsidRPr="0052117D">
        <w:rPr>
          <w:rFonts w:eastAsiaTheme="minorEastAsia" w:cstheme="minorBidi"/>
          <w:szCs w:val="24"/>
          <w:lang w:eastAsia="zh-CN"/>
        </w:rPr>
        <w:t xml:space="preserve"> prácticas </w:t>
      </w:r>
      <w:r w:rsidRPr="00BF2FBA">
        <w:rPr>
          <w:rFonts w:eastAsiaTheme="minorEastAsia"/>
          <w:szCs w:val="24"/>
          <w:lang w:eastAsia="zh-CN"/>
        </w:rPr>
        <w:t>medioambientalmente</w:t>
      </w:r>
      <w:r w:rsidRPr="0052117D">
        <w:rPr>
          <w:rFonts w:eastAsiaTheme="minorEastAsia" w:cstheme="minorBidi"/>
          <w:szCs w:val="24"/>
          <w:lang w:eastAsia="zh-CN"/>
        </w:rPr>
        <w:t xml:space="preserve"> sostenibles en la industria espacial? Reconociendo los mandatos respectivos de las distintas entidades de las Naciones Unidas relacionadas con el espacio ultraterrestre, tales como la UIT, la </w:t>
      </w:r>
      <w:proofErr w:type="spellStart"/>
      <w:r w:rsidRPr="0052117D">
        <w:rPr>
          <w:rFonts w:eastAsiaTheme="minorEastAsia" w:cstheme="minorBidi"/>
          <w:szCs w:val="24"/>
          <w:lang w:eastAsia="zh-CN"/>
        </w:rPr>
        <w:t>UNOOSA</w:t>
      </w:r>
      <w:proofErr w:type="spellEnd"/>
      <w:r w:rsidRPr="0052117D">
        <w:rPr>
          <w:rFonts w:eastAsiaTheme="minorEastAsia" w:cstheme="minorBidi"/>
          <w:szCs w:val="24"/>
          <w:lang w:eastAsia="zh-CN"/>
        </w:rPr>
        <w:t xml:space="preserve"> y la </w:t>
      </w:r>
      <w:proofErr w:type="spellStart"/>
      <w:r w:rsidRPr="0052117D">
        <w:rPr>
          <w:rFonts w:eastAsiaTheme="minorEastAsia" w:cstheme="minorBidi"/>
          <w:szCs w:val="24"/>
          <w:lang w:eastAsia="zh-CN"/>
        </w:rPr>
        <w:t>COPUOS</w:t>
      </w:r>
      <w:proofErr w:type="spellEnd"/>
      <w:r w:rsidRPr="0052117D">
        <w:rPr>
          <w:rFonts w:eastAsiaTheme="minorEastAsia" w:cstheme="minorBidi"/>
          <w:szCs w:val="24"/>
          <w:lang w:eastAsia="zh-CN"/>
        </w:rPr>
        <w:t>, ¿cómo puede la UIT respaldar la coordinación y el diálogo en materia de residuos espaciales, y cómo puede intensificarse la cooperación internacional a fin de garantizar unas operaciones espaciales sostenibles? ¿Qué enfoques innovadores se están estudiando para atenuar estos retos relacionados con los riesgos medioambientales y la utilización sostenible a largo plazo del espacio ultraterrestre?</w:t>
      </w:r>
    </w:p>
    <w:p w14:paraId="55D937A0" w14:textId="77777777" w:rsidR="00081E04" w:rsidRPr="0052117D" w:rsidRDefault="00081E04" w:rsidP="00BF2FBA">
      <w:pPr>
        <w:pStyle w:val="enumlev1"/>
        <w:jc w:val="both"/>
        <w:rPr>
          <w:rFonts w:eastAsiaTheme="minorEastAsia" w:cstheme="minorBidi"/>
          <w:szCs w:val="24"/>
          <w:lang w:eastAsia="zh-CN"/>
        </w:rPr>
      </w:pPr>
      <w:r w:rsidRPr="0052117D">
        <w:rPr>
          <w:rFonts w:eastAsiaTheme="minorEastAsia" w:cstheme="minorBidi"/>
          <w:bCs/>
          <w:szCs w:val="24"/>
          <w:lang w:eastAsia="zh-CN"/>
        </w:rPr>
        <w:t>7.12.9</w:t>
      </w:r>
      <w:r w:rsidRPr="0052117D">
        <w:rPr>
          <w:rFonts w:eastAsiaTheme="minorEastAsia" w:cstheme="minorBidi"/>
          <w:bCs/>
          <w:szCs w:val="24"/>
          <w:lang w:eastAsia="zh-CN"/>
        </w:rPr>
        <w:tab/>
      </w:r>
      <w:r w:rsidRPr="0052117D">
        <w:rPr>
          <w:rFonts w:eastAsiaTheme="minorEastAsia" w:cstheme="minorBidi"/>
          <w:szCs w:val="24"/>
          <w:lang w:eastAsia="zh-CN"/>
        </w:rPr>
        <w:t xml:space="preserve">¿Qué políticas pueden respaldar la innovación y la investigación continuas en materia de tecnologías de </w:t>
      </w:r>
      <w:r w:rsidRPr="00BF2FBA">
        <w:rPr>
          <w:rFonts w:eastAsiaTheme="minorEastAsia"/>
          <w:szCs w:val="24"/>
          <w:lang w:eastAsia="zh-CN"/>
        </w:rPr>
        <w:t>conectividad</w:t>
      </w:r>
      <w:r w:rsidRPr="0052117D">
        <w:rPr>
          <w:rFonts w:eastAsiaTheme="minorEastAsia" w:cstheme="minorBidi"/>
          <w:szCs w:val="24"/>
          <w:lang w:eastAsia="zh-CN"/>
        </w:rPr>
        <w:t xml:space="preserve"> de telecomunicaciones/TIC espaciales, y cómo pueden dichas </w:t>
      </w:r>
      <w:r w:rsidRPr="0052117D">
        <w:rPr>
          <w:rFonts w:asciiTheme="minorHAnsi" w:eastAsiaTheme="minorEastAsia" w:hAnsiTheme="minorHAnsi" w:cstheme="minorHAnsi"/>
          <w:szCs w:val="24"/>
          <w:lang w:eastAsia="zh-CN"/>
        </w:rPr>
        <w:t>políticas</w:t>
      </w:r>
      <w:r w:rsidRPr="0052117D">
        <w:rPr>
          <w:rFonts w:eastAsiaTheme="minorEastAsia" w:cstheme="minorBidi"/>
          <w:szCs w:val="24"/>
          <w:lang w:eastAsia="zh-CN"/>
        </w:rPr>
        <w:t xml:space="preserve"> garantizar que los avances beneficien a todos los sectores de la sociedad?</w:t>
      </w:r>
    </w:p>
    <w:p w14:paraId="0937C5AD" w14:textId="18C3C215" w:rsidR="00081E04" w:rsidRPr="0052117D" w:rsidRDefault="00081E04" w:rsidP="00BF2FBA">
      <w:pPr>
        <w:pStyle w:val="enumlev1"/>
        <w:jc w:val="both"/>
        <w:rPr>
          <w:rFonts w:eastAsiaTheme="minorEastAsia" w:cstheme="minorBidi"/>
          <w:szCs w:val="24"/>
          <w:lang w:eastAsia="zh-CN"/>
        </w:rPr>
      </w:pPr>
      <w:r w:rsidRPr="0052117D">
        <w:rPr>
          <w:rFonts w:eastAsiaTheme="minorEastAsia" w:cstheme="minorBidi"/>
          <w:bCs/>
          <w:szCs w:val="24"/>
          <w:lang w:eastAsia="zh-CN"/>
        </w:rPr>
        <w:t>7.12.10</w:t>
      </w:r>
      <w:r w:rsidRPr="0052117D">
        <w:rPr>
          <w:rFonts w:eastAsiaTheme="minorEastAsia" w:cstheme="minorBidi"/>
          <w:bCs/>
          <w:szCs w:val="24"/>
          <w:lang w:eastAsia="zh-CN"/>
        </w:rPr>
        <w:tab/>
      </w:r>
      <w:r w:rsidRPr="0052117D">
        <w:rPr>
          <w:rFonts w:eastAsiaTheme="minorEastAsia" w:cstheme="minorBidi"/>
          <w:szCs w:val="24"/>
          <w:lang w:eastAsia="zh-CN"/>
        </w:rPr>
        <w:t>¿Qué medidas normativas y reglamentarias basadas en buenas prácticas pueden adoptar los países con objeto de garantizar la seguridad, la confianza y la resiliencia en lo que respecta a los servicios espaciales de comunicación? ¿Cómo pueden coordinarse y armonizarse dichas medidas a escala internacional?</w:t>
      </w:r>
    </w:p>
    <w:p w14:paraId="3BA73B70" w14:textId="77777777" w:rsidR="00081E04" w:rsidRPr="0052117D" w:rsidRDefault="00081E04" w:rsidP="00BF2FBA">
      <w:pPr>
        <w:pStyle w:val="enumlev1"/>
        <w:jc w:val="both"/>
        <w:rPr>
          <w:rFonts w:eastAsiaTheme="minorEastAsia" w:cstheme="minorBidi"/>
          <w:szCs w:val="24"/>
          <w:lang w:eastAsia="zh-CN"/>
        </w:rPr>
      </w:pPr>
      <w:r w:rsidRPr="0052117D">
        <w:rPr>
          <w:rFonts w:eastAsiaTheme="minorEastAsia" w:cstheme="minorBidi"/>
          <w:bCs/>
          <w:szCs w:val="24"/>
          <w:lang w:eastAsia="zh-CN"/>
        </w:rPr>
        <w:t>7.12.11</w:t>
      </w:r>
      <w:r w:rsidRPr="0052117D">
        <w:rPr>
          <w:rFonts w:eastAsiaTheme="minorEastAsia" w:cstheme="minorBidi"/>
          <w:bCs/>
          <w:szCs w:val="24"/>
          <w:lang w:eastAsia="zh-CN"/>
        </w:rPr>
        <w:tab/>
      </w:r>
      <w:r w:rsidRPr="0052117D">
        <w:rPr>
          <w:rFonts w:eastAsiaTheme="minorEastAsia" w:cstheme="minorBidi"/>
          <w:szCs w:val="24"/>
          <w:lang w:eastAsia="zh-CN"/>
        </w:rPr>
        <w:t xml:space="preserve">¿Cómo puede la </w:t>
      </w:r>
      <w:r w:rsidRPr="00BF2FBA">
        <w:rPr>
          <w:rFonts w:eastAsiaTheme="minorEastAsia"/>
          <w:szCs w:val="24"/>
          <w:lang w:eastAsia="zh-CN"/>
        </w:rPr>
        <w:t>conectividad</w:t>
      </w:r>
      <w:r w:rsidRPr="0052117D">
        <w:rPr>
          <w:rFonts w:eastAsiaTheme="minorEastAsia" w:cstheme="minorBidi"/>
          <w:szCs w:val="24"/>
          <w:lang w:eastAsia="zh-CN"/>
        </w:rPr>
        <w:t xml:space="preserve"> de las telecomunicaciones/TIC espaciales respaldar la preparación para casos de catástrofe, los sistemas de alerta temprana y el seguimiento del clima, en particular en las regiones vulnerables? En el marco de la función de coordinación de la UIT, ¿qué mecanismos de cooperación pueden promover un intercambio voluntario y oportuno de datos, así como su integración con los sistemas terrenales de respuesta ante emergencias?</w:t>
      </w:r>
    </w:p>
    <w:p w14:paraId="19A01D5E"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asciiTheme="minorHAnsi" w:eastAsiaTheme="minorEastAsia" w:hAnsiTheme="minorHAnsi" w:cstheme="minorBidi"/>
          <w:szCs w:val="24"/>
          <w:lang w:eastAsia="zh-CN"/>
        </w:rPr>
      </w:pPr>
      <w:r w:rsidRPr="0052117D">
        <w:rPr>
          <w:rFonts w:asciiTheme="minorHAnsi" w:eastAsiaTheme="minorEastAsia" w:hAnsiTheme="minorHAnsi" w:cstheme="minorBidi"/>
          <w:szCs w:val="24"/>
          <w:lang w:eastAsia="zh-CN"/>
        </w:rPr>
        <w:br w:type="page"/>
      </w:r>
    </w:p>
    <w:p w14:paraId="2E936548" w14:textId="77777777" w:rsidR="00081E04" w:rsidRPr="0052117D" w:rsidRDefault="00081E04" w:rsidP="003F5F9B">
      <w:pPr>
        <w:pStyle w:val="Heading1"/>
      </w:pPr>
      <w:r w:rsidRPr="0052117D">
        <w:lastRenderedPageBreak/>
        <w:t>8</w:t>
      </w:r>
      <w:r w:rsidRPr="0052117D">
        <w:tab/>
        <w:t>El fortalecimiento de los ecosistemas de innovación centrados en las TIC y del espíritu empresarial</w:t>
      </w:r>
    </w:p>
    <w:p w14:paraId="67A15598" w14:textId="77777777" w:rsidR="00081E04" w:rsidRPr="0052117D" w:rsidRDefault="00081E04" w:rsidP="00081E04">
      <w:pPr>
        <w:jc w:val="both"/>
        <w:rPr>
          <w:rFonts w:asciiTheme="minorHAnsi" w:eastAsiaTheme="minorEastAsia" w:hAnsiTheme="minorHAnsi" w:cstheme="minorBidi"/>
          <w:sz w:val="22"/>
          <w:szCs w:val="22"/>
          <w:lang w:eastAsia="zh-CN"/>
        </w:rPr>
      </w:pPr>
      <w:r w:rsidRPr="0052117D">
        <w:rPr>
          <w:rFonts w:asciiTheme="minorHAnsi" w:eastAsiaTheme="minorEastAsia" w:hAnsiTheme="minorHAnsi" w:cstheme="minorBidi"/>
          <w:noProof/>
          <w:szCs w:val="24"/>
          <w:lang w:val="en-US"/>
        </w:rPr>
        <mc:AlternateContent>
          <mc:Choice Requires="wps">
            <w:drawing>
              <wp:anchor distT="0" distB="0" distL="114300" distR="114300" simplePos="0" relativeHeight="251665408" behindDoc="0" locked="0" layoutInCell="1" allowOverlap="1" wp14:anchorId="3FC0DF44" wp14:editId="654216AE">
                <wp:simplePos x="0" y="0"/>
                <wp:positionH relativeFrom="column">
                  <wp:posOffset>3466465</wp:posOffset>
                </wp:positionH>
                <wp:positionV relativeFrom="paragraph">
                  <wp:posOffset>222885</wp:posOffset>
                </wp:positionV>
                <wp:extent cx="2691130" cy="3411855"/>
                <wp:effectExtent l="0" t="0" r="13970" b="17145"/>
                <wp:wrapSquare wrapText="bothSides"/>
                <wp:docPr id="526521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130" cy="3411855"/>
                        </a:xfrm>
                        <a:prstGeom prst="rect">
                          <a:avLst/>
                        </a:prstGeom>
                        <a:solidFill>
                          <a:srgbClr val="FFFFFF"/>
                        </a:solidFill>
                        <a:ln w="12700">
                          <a:solidFill>
                            <a:srgbClr val="9BBB59">
                              <a:lumMod val="100000"/>
                              <a:lumOff val="0"/>
                            </a:srgbClr>
                          </a:solidFill>
                          <a:miter lim="800000"/>
                          <a:headEnd/>
                          <a:tailEnd/>
                        </a:ln>
                      </wps:spPr>
                      <wps:txbx>
                        <w:txbxContent>
                          <w:p w14:paraId="620F6C7D" w14:textId="77777777" w:rsidR="00387BBE" w:rsidRPr="00494741" w:rsidRDefault="00387BBE" w:rsidP="00081E04">
                            <w:pPr>
                              <w:rPr>
                                <w:color w:val="9BBB59" w:themeColor="accent3"/>
                                <w:sz w:val="22"/>
                              </w:rPr>
                            </w:pPr>
                            <w:r w:rsidRPr="00494741">
                              <w:rPr>
                                <w:color w:val="9BBB59" w:themeColor="accent3"/>
                                <w:sz w:val="22"/>
                              </w:rPr>
                              <w:t>Estudio de caso: perfiles de innovación digital y centros de aceleración de la UIT</w:t>
                            </w:r>
                          </w:p>
                          <w:p w14:paraId="04C1F119" w14:textId="77777777" w:rsidR="00387BBE" w:rsidRPr="00494741" w:rsidRDefault="00387BBE" w:rsidP="00081E04">
                            <w:pPr>
                              <w:jc w:val="both"/>
                              <w:rPr>
                                <w:sz w:val="22"/>
                              </w:rPr>
                            </w:pPr>
                            <w:r w:rsidRPr="00494741">
                              <w:rPr>
                                <w:sz w:val="22"/>
                              </w:rPr>
                              <w:t>La UIT colabora con los países a fin de proporcionar evaluaciones precisas del estado de sus ecosistemas de innovación digital. Ello les ayuda a elaborar estrategias que orienten las políticas e iniciativas nacionales. La UIT ha realizado evaluaciones en numerosos países, ofreciendo una hoja de ruta integral para las estrategias de innovación impulsadas por los ecosistemas.</w:t>
                            </w:r>
                          </w:p>
                          <w:p w14:paraId="1F4AFEF6" w14:textId="77777777" w:rsidR="00387BBE" w:rsidRPr="00494741" w:rsidRDefault="00387BBE" w:rsidP="00081E04">
                            <w:pPr>
                              <w:jc w:val="both"/>
                              <w:rPr>
                                <w:sz w:val="22"/>
                              </w:rPr>
                            </w:pPr>
                            <w:r w:rsidRPr="00494741">
                              <w:rPr>
                                <w:sz w:val="22"/>
                              </w:rPr>
                              <w:t xml:space="preserve">La UIT ha prestado apoyo a los países en el establecimiento de nuevos centros de aceleración de ecosistemas, </w:t>
                            </w:r>
                            <w:r>
                              <w:rPr>
                                <w:sz w:val="22"/>
                              </w:rPr>
                              <w:t>los cuales</w:t>
                            </w:r>
                            <w:r w:rsidRPr="00494741">
                              <w:rPr>
                                <w:sz w:val="22"/>
                              </w:rPr>
                              <w:t xml:space="preserve"> proporcionan un marco coordinado de aplicación y gobernanza para sus ecosistemas digitales y les ayudan a alcanzar sus objetivos nacionales.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C0DF44" id="_x0000_s1037" type="#_x0000_t202" style="position:absolute;left:0;text-align:left;margin-left:272.95pt;margin-top:17.55pt;width:211.9pt;height:26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" strokecolor="#9bbb59" strokeweight="1pt">
                <v:textbox>
                  <w:txbxContent>
                    <w:p w14:paraId="620F6C7D" w14:textId="77777777" w:rsidR="00387BBE" w:rsidRPr="00494741" w:rsidRDefault="00387BBE" w:rsidP="00081E04">
                      <w:pPr>
                        <w:rPr>
                          <w:color w:val="9BBB59" w:themeColor="accent3"/>
                          <w:sz w:val="22"/>
                        </w:rPr>
                      </w:pPr>
                      <w:r w:rsidRPr="00494741">
                        <w:rPr>
                          <w:color w:val="9BBB59" w:themeColor="accent3"/>
                          <w:sz w:val="22"/>
                        </w:rPr>
                        <w:t>Estudio de caso: perfiles de innovación digital y centros de aceleración de la UIT</w:t>
                      </w:r>
                    </w:p>
                    <w:p w14:paraId="04C1F119" w14:textId="77777777" w:rsidR="00387BBE" w:rsidRPr="00494741" w:rsidRDefault="00387BBE" w:rsidP="00081E04">
                      <w:pPr>
                        <w:jc w:val="both"/>
                        <w:rPr>
                          <w:sz w:val="22"/>
                        </w:rPr>
                      </w:pPr>
                      <w:r w:rsidRPr="00494741">
                        <w:rPr>
                          <w:sz w:val="22"/>
                        </w:rPr>
                        <w:t>La UIT colabora con los países a fin de proporcionar evaluaciones precisas del estado de sus ecosistemas de innovación digital. Ello les ayuda a elaborar estrategias que orienten las políticas e iniciativas nacionales. La UIT ha realizado evaluaciones en numerosos países, ofreciendo una hoja de ruta integral para las estrategias de innovación impulsadas por los ecosistemas.</w:t>
                      </w:r>
                    </w:p>
                    <w:p w14:paraId="1F4AFEF6" w14:textId="77777777" w:rsidR="00387BBE" w:rsidRPr="00494741" w:rsidRDefault="00387BBE" w:rsidP="00081E04">
                      <w:pPr>
                        <w:jc w:val="both"/>
                        <w:rPr>
                          <w:sz w:val="22"/>
                        </w:rPr>
                      </w:pPr>
                      <w:r w:rsidRPr="00494741">
                        <w:rPr>
                          <w:sz w:val="22"/>
                        </w:rPr>
                        <w:t xml:space="preserve">La UIT ha prestado apoyo a los países en el establecimiento de nuevos centros de aceleración de ecosistemas, </w:t>
                      </w:r>
                      <w:r>
                        <w:rPr>
                          <w:sz w:val="22"/>
                        </w:rPr>
                        <w:t>los cuales</w:t>
                      </w:r>
                      <w:r w:rsidRPr="00494741">
                        <w:rPr>
                          <w:sz w:val="22"/>
                        </w:rPr>
                        <w:t xml:space="preserve"> proporcionan un marco coordinado de aplicación y gobernanza para sus ecosistemas digitales y les ayudan a alcanzar sus objetivos nacionales.</w:t>
                      </w:r>
                    </w:p>
                  </w:txbxContent>
                </v:textbox>
                <w10:wrap type="square"/>
              </v:shape>
            </w:pict>
          </mc:Fallback>
        </mc:AlternateContent>
      </w:r>
      <w:r w:rsidRPr="0052117D">
        <w:rPr>
          <w:rFonts w:asciiTheme="minorHAnsi" w:eastAsiaTheme="minorEastAsia" w:hAnsiTheme="minorHAnsi" w:cstheme="minorBidi"/>
          <w:spacing w:val="-4"/>
          <w:szCs w:val="24"/>
          <w:lang w:eastAsia="zh-CN"/>
        </w:rPr>
        <w:t>8.1</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Los ecosistemas empresariales resultan esenciales para impulsar el desarrollo sostenible, al tiempo que incrementan la inclusión, generan economías de escala y reducen las brechas digitales.</w:t>
      </w:r>
    </w:p>
    <w:p w14:paraId="335D8B46" w14:textId="3FA90566"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8.2</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No obstante, la brecha de innovación digital entre los países es cada vez mayor e impide el acceso equitativo de todos a sus beneficios.</w:t>
      </w:r>
    </w:p>
    <w:p w14:paraId="26B4DB37" w14:textId="5240F5B1"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8.3</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Unas políticas y reglamentaciones favorables resultan esenciales para posibilitar la innovación y respaldar a las micro, pequeñas y medianas empresas (</w:t>
      </w:r>
      <w:proofErr w:type="spellStart"/>
      <w:r w:rsidRPr="0052117D">
        <w:rPr>
          <w:rFonts w:asciiTheme="minorHAnsi" w:eastAsiaTheme="minorEastAsia" w:hAnsiTheme="minorHAnsi" w:cstheme="minorBidi"/>
          <w:szCs w:val="24"/>
          <w:lang w:eastAsia="zh-CN"/>
        </w:rPr>
        <w:t>mipymes</w:t>
      </w:r>
      <w:proofErr w:type="spellEnd"/>
      <w:r w:rsidRPr="0052117D">
        <w:rPr>
          <w:rFonts w:asciiTheme="minorHAnsi" w:eastAsiaTheme="minorEastAsia" w:hAnsiTheme="minorHAnsi" w:cstheme="minorBidi"/>
          <w:szCs w:val="24"/>
          <w:lang w:eastAsia="zh-CN"/>
        </w:rPr>
        <w:t>), así como para intensificar los esfuerzos de colaboración entre las partes interesadas fundamentales, entre ellas los responsables políticos, la industria y las instituciones académicas.</w:t>
      </w:r>
    </w:p>
    <w:p w14:paraId="034A9E35"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8.4</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La participación de las </w:t>
      </w:r>
      <w:proofErr w:type="spellStart"/>
      <w:r w:rsidRPr="0052117D">
        <w:rPr>
          <w:rFonts w:asciiTheme="minorHAnsi" w:eastAsiaTheme="minorEastAsia" w:hAnsiTheme="minorHAnsi" w:cstheme="minorBidi"/>
          <w:szCs w:val="24"/>
          <w:lang w:eastAsia="zh-CN"/>
        </w:rPr>
        <w:t>mipymes</w:t>
      </w:r>
      <w:proofErr w:type="spellEnd"/>
      <w:r w:rsidRPr="0052117D">
        <w:rPr>
          <w:rFonts w:asciiTheme="minorHAnsi" w:eastAsiaTheme="minorEastAsia" w:hAnsiTheme="minorHAnsi" w:cstheme="minorBidi"/>
          <w:szCs w:val="24"/>
          <w:lang w:eastAsia="zh-CN"/>
        </w:rPr>
        <w:t xml:space="preserve"> en la innovación TIC en los países en desarrollo se enfrenta a múltiples obstáculos. Entre ellos figuran los retos relacionados con la protección de la propiedad intelectual y la transferencia de tecnología, las limitadas oportunidades de comercialización derivadas de entornos empresariales que aún se están adaptando a las nuevas tecnologías, y un apoyo gubernamental todavía incipiente en ámbitos tales como la financiación y las incubadoras. Además, si bien la infraestructura digital está mejorando, como demuestran las elevadas tasas de penetración de Internet, numerosas pequeñas empresas siguen careciendo de integración digital y operan sin presencia en la web ni soluciones de pago digital, en entornos predominantemente basados en el papel.</w:t>
      </w:r>
    </w:p>
    <w:p w14:paraId="60A406D5" w14:textId="77777777" w:rsidR="00081E04" w:rsidRPr="0052117D" w:rsidRDefault="00081E04" w:rsidP="00BF2FBA">
      <w:pPr>
        <w:jc w:val="center"/>
        <w:rPr>
          <w:rFonts w:eastAsiaTheme="minorEastAsia"/>
          <w:lang w:eastAsia="zh-CN"/>
        </w:rPr>
      </w:pPr>
      <w:r w:rsidRPr="0052117D">
        <w:rPr>
          <w:rFonts w:eastAsiaTheme="minorEastAsia"/>
          <w:noProof/>
          <w:lang w:val="en-US"/>
        </w:rPr>
        <mc:AlternateContent>
          <mc:Choice Requires="wps">
            <w:drawing>
              <wp:inline distT="0" distB="0" distL="0" distR="0" wp14:anchorId="336D0F64" wp14:editId="79F444AB">
                <wp:extent cx="5580000" cy="2768600"/>
                <wp:effectExtent l="0" t="0" r="20955" b="12700"/>
                <wp:docPr id="890473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2768600"/>
                        </a:xfrm>
                        <a:prstGeom prst="rect">
                          <a:avLst/>
                        </a:prstGeom>
                        <a:solidFill>
                          <a:srgbClr val="FFFFFF"/>
                        </a:solidFill>
                        <a:ln w="12700">
                          <a:solidFill>
                            <a:srgbClr val="9BBB59">
                              <a:lumMod val="100000"/>
                              <a:lumOff val="0"/>
                            </a:srgbClr>
                          </a:solidFill>
                          <a:miter lim="800000"/>
                          <a:headEnd/>
                          <a:tailEnd/>
                        </a:ln>
                      </wps:spPr>
                      <wps:txbx>
                        <w:txbxContent>
                          <w:p w14:paraId="4AE17807" w14:textId="211E66C3" w:rsidR="00387BBE" w:rsidRPr="00494741" w:rsidRDefault="00387BBE" w:rsidP="00081E04">
                            <w:pPr>
                              <w:rPr>
                                <w:sz w:val="22"/>
                              </w:rPr>
                            </w:pPr>
                            <w:r w:rsidRPr="00494741">
                              <w:rPr>
                                <w:color w:val="9BBB59" w:themeColor="accent3"/>
                                <w:sz w:val="22"/>
                              </w:rPr>
                              <w:t>Estudio de caso: Alianza para la Innovación y el Espíritu Empresarial en pro del Desarrollo Digital</w:t>
                            </w:r>
                          </w:p>
                          <w:p w14:paraId="46C66FC5" w14:textId="77777777" w:rsidR="00387BBE" w:rsidRPr="00494741" w:rsidRDefault="00387BBE" w:rsidP="00081E04">
                            <w:pPr>
                              <w:jc w:val="both"/>
                              <w:rPr>
                                <w:sz w:val="22"/>
                              </w:rPr>
                            </w:pPr>
                            <w:r w:rsidRPr="00494741">
                              <w:rPr>
                                <w:sz w:val="22"/>
                              </w:rPr>
                              <w:t xml:space="preserve">La UIT ha puesto en marcha la </w:t>
                            </w:r>
                            <w:hyperlink r:id="rId29" w:history="1">
                              <w:r w:rsidRPr="00494741">
                                <w:rPr>
                                  <w:rStyle w:val="Hyperlink"/>
                                  <w:sz w:val="22"/>
                                </w:rPr>
                                <w:t>Alianza para la Innovación y el Espíritu Empresarial en pro del Desarrollo Digital</w:t>
                              </w:r>
                            </w:hyperlink>
                            <w:r w:rsidRPr="00494741">
                              <w:rPr>
                                <w:sz w:val="22"/>
                              </w:rPr>
                              <w:t xml:space="preserve"> con objeto de prestar apoyo a los Miembros mediante enfoques nuevos, más resilientes y con visión de futuro que contribuyan a crear capacidad local de innovación. Ello se logra mediante una red de Centros de Aceleración de la UIT dotados de capacidades esenciales en materia de prospectiva estratégica, </w:t>
                            </w:r>
                            <w:proofErr w:type="spellStart"/>
                            <w:r w:rsidRPr="00494741">
                              <w:rPr>
                                <w:sz w:val="22"/>
                              </w:rPr>
                              <w:t>codiseño</w:t>
                            </w:r>
                            <w:proofErr w:type="spellEnd"/>
                            <w:r w:rsidRPr="00494741">
                              <w:rPr>
                                <w:sz w:val="22"/>
                              </w:rPr>
                              <w:t xml:space="preserve"> de proyectos, desarrollo de conglomerados tecnológicos abiertos, experimentación normativa y apoyo al crecimiento de las empresas emergentes y las pymes. Cada centro es de titularidad nacional, pero colabora con los demás centros a fin de garantizar que las capacidades, los conocimientos y las oportunidades se aceleren en el conjunto de sus ecosistemas de innovación.</w:t>
                            </w:r>
                          </w:p>
                          <w:p w14:paraId="45BAC07E" w14:textId="218F9E3F" w:rsidR="00387BBE" w:rsidRPr="00494741" w:rsidRDefault="00387BBE" w:rsidP="00081E04">
                            <w:pPr>
                              <w:jc w:val="both"/>
                              <w:rPr>
                                <w:sz w:val="22"/>
                              </w:rPr>
                            </w:pPr>
                            <w:r w:rsidRPr="00494741">
                              <w:rPr>
                                <w:sz w:val="22"/>
                              </w:rPr>
                              <w:t>En conjunto, esta red crea la capacidad de innovación necesaria para impulsar un futuro equitativo en el que la innovación y el espíritu empresarial constituyan el motor del crecimiento del desarrollo digital.</w:t>
                            </w:r>
                          </w:p>
                        </w:txbxContent>
                      </wps:txbx>
                      <wps:bodyPr rot="0" vert="horz" wrap="square" lIns="91440" tIns="45720" rIns="91440" bIns="45720" anchor="t" anchorCtr="0" upright="1">
                        <a:noAutofit/>
                      </wps:bodyPr>
                    </wps:wsp>
                  </a:graphicData>
                </a:graphic>
              </wp:inline>
            </w:drawing>
          </mc:Choice>
          <mc:Fallback>
            <w:pict>
              <v:shape w14:anchorId="336D0F64" id="_x0000_s1038" type="#_x0000_t202" style="width:439.35pt;height:2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" strokecolor="#9bbb59" strokeweight="1pt">
                <v:textbox>
                  <w:txbxContent>
                    <w:p w14:paraId="4AE17807" w14:textId="211E66C3" w:rsidR="00387BBE" w:rsidRPr="00494741" w:rsidRDefault="00387BBE" w:rsidP="00081E04">
                      <w:pPr>
                        <w:rPr>
                          <w:sz w:val="22"/>
                        </w:rPr>
                      </w:pPr>
                      <w:r w:rsidRPr="00494741">
                        <w:rPr>
                          <w:color w:val="9BBB59" w:themeColor="accent3"/>
                          <w:sz w:val="22"/>
                        </w:rPr>
                        <w:t>Estudio de caso: Alianza para la Innovación y el Espíritu Empresarial en pro del Desarrollo Digital</w:t>
                      </w:r>
                    </w:p>
                    <w:p w14:paraId="46C66FC5" w14:textId="77777777" w:rsidR="00387BBE" w:rsidRPr="00494741" w:rsidRDefault="00387BBE" w:rsidP="00081E04">
                      <w:pPr>
                        <w:jc w:val="both"/>
                        <w:rPr>
                          <w:sz w:val="22"/>
                        </w:rPr>
                      </w:pPr>
                      <w:r w:rsidRPr="00494741">
                        <w:rPr>
                          <w:sz w:val="22"/>
                        </w:rPr>
                        <w:t xml:space="preserve">La UIT ha puesto en marcha la </w:t>
                      </w:r>
                      <w:hyperlink r:id="rId30" w:history="1">
                        <w:r w:rsidRPr="00494741">
                          <w:rPr>
                            <w:rStyle w:val="Hyperlink"/>
                            <w:sz w:val="22"/>
                          </w:rPr>
                          <w:t>Alianza para la Innovación y el Espíritu Empresarial en pro del Desarrollo Digital</w:t>
                        </w:r>
                      </w:hyperlink>
                      <w:r w:rsidRPr="00494741">
                        <w:rPr>
                          <w:sz w:val="22"/>
                        </w:rPr>
                        <w:t xml:space="preserve"> con objeto de prestar apoyo a los Miembros mediante enfoques nuevos, más resilientes y con visión de futuro que contribuyan a crear capacidad local de innovación. Ello se logra mediante una red de Centros de Aceleración de la UIT dotados de capacidades esenciales en materia de prospectiva estratégica, </w:t>
                      </w:r>
                      <w:proofErr w:type="spellStart"/>
                      <w:r w:rsidRPr="00494741">
                        <w:rPr>
                          <w:sz w:val="22"/>
                        </w:rPr>
                        <w:t>codiseño</w:t>
                      </w:r>
                      <w:proofErr w:type="spellEnd"/>
                      <w:r w:rsidRPr="00494741">
                        <w:rPr>
                          <w:sz w:val="22"/>
                        </w:rPr>
                        <w:t xml:space="preserve"> de proyectos, desarrollo de conglomerados tecnológicos abiertos, experimentación normativa y apoyo al crecimiento de las empresas emergentes y las pymes. Cada centro es de titularidad nacional, pero colabora con los demás centros a fin de garantizar que las capacidades, los conocimientos y las oportunidades se aceleren en el conjunto de sus ecosistemas de innovación.</w:t>
                      </w:r>
                    </w:p>
                    <w:p w14:paraId="45BAC07E" w14:textId="218F9E3F" w:rsidR="00387BBE" w:rsidRPr="00494741" w:rsidRDefault="00387BBE" w:rsidP="00081E04">
                      <w:pPr>
                        <w:jc w:val="both"/>
                        <w:rPr>
                          <w:sz w:val="22"/>
                        </w:rPr>
                      </w:pPr>
                      <w:r w:rsidRPr="00494741">
                        <w:rPr>
                          <w:sz w:val="22"/>
                        </w:rPr>
                        <w:t>En conjunto, esta red crea la capacidad de innovación necesaria para impulsar un futuro equitativo en el que la innovación y el espíritu empresarial constituyan el motor del crecimiento del desarrollo digital.</w:t>
                      </w:r>
                    </w:p>
                  </w:txbxContent>
                </v:textbox>
                <w10:anchorlock/>
              </v:shape>
            </w:pict>
          </mc:Fallback>
        </mc:AlternateContent>
      </w:r>
    </w:p>
    <w:p w14:paraId="0FA70056" w14:textId="77777777" w:rsidR="00081E04" w:rsidRPr="0052117D" w:rsidRDefault="00081E04" w:rsidP="00081E04">
      <w:pPr>
        <w:jc w:val="both"/>
        <w:rPr>
          <w:rFonts w:asciiTheme="minorHAnsi" w:eastAsiaTheme="minorEastAsia" w:hAnsiTheme="minorHAnsi" w:cstheme="minorBidi"/>
          <w:spacing w:val="-4"/>
          <w:szCs w:val="24"/>
          <w:lang w:eastAsia="zh-CN"/>
        </w:rPr>
      </w:pPr>
    </w:p>
    <w:p w14:paraId="14C49D64"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lastRenderedPageBreak/>
        <w:t>8.5</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Dada la importancia de la función de la innovación como motor del desarrollo sostenible y habida cuenta de la creciente brecha de innovación entre los países en desarrollo y los países desarrollados, procede prestar atención a diversas consideraciones importantes:</w:t>
      </w:r>
    </w:p>
    <w:p w14:paraId="55D6B701" w14:textId="24382E0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8.5.1</w:t>
      </w:r>
      <w:r w:rsidRPr="0052117D">
        <w:rPr>
          <w:rFonts w:eastAsiaTheme="minorEastAsia"/>
          <w:bCs/>
          <w:szCs w:val="24"/>
          <w:lang w:eastAsia="zh-CN"/>
        </w:rPr>
        <w:tab/>
      </w:r>
      <w:r w:rsidRPr="0052117D">
        <w:rPr>
          <w:rFonts w:eastAsiaTheme="minorEastAsia"/>
          <w:szCs w:val="24"/>
          <w:lang w:eastAsia="zh-CN"/>
        </w:rPr>
        <w:t xml:space="preserve">Preparación para la investigación de tendencias: la adaptación a un entorno digital en rápida evolución exige que las </w:t>
      </w:r>
      <w:r w:rsidRPr="00BF2FBA">
        <w:rPr>
          <w:rFonts w:eastAsiaTheme="minorEastAsia" w:cstheme="minorBidi"/>
          <w:szCs w:val="24"/>
          <w:lang w:eastAsia="zh-CN"/>
        </w:rPr>
        <w:t>instituciones</w:t>
      </w:r>
      <w:r w:rsidRPr="0052117D">
        <w:rPr>
          <w:rFonts w:eastAsiaTheme="minorEastAsia"/>
          <w:szCs w:val="24"/>
          <w:lang w:eastAsia="zh-CN"/>
        </w:rPr>
        <w:t xml:space="preserve"> y demás partes interesadas del ecosistema se </w:t>
      </w:r>
      <w:r w:rsidRPr="0052117D">
        <w:rPr>
          <w:rFonts w:asciiTheme="minorHAnsi" w:eastAsiaTheme="minorEastAsia" w:hAnsiTheme="minorHAnsi" w:cstheme="minorBidi"/>
          <w:szCs w:val="24"/>
          <w:lang w:eastAsia="zh-CN"/>
        </w:rPr>
        <w:t>anticipen</w:t>
      </w:r>
      <w:r w:rsidRPr="0052117D">
        <w:rPr>
          <w:rFonts w:eastAsiaTheme="minorEastAsia"/>
          <w:szCs w:val="24"/>
          <w:lang w:eastAsia="zh-CN"/>
        </w:rPr>
        <w:t xml:space="preserve"> a los acontecimientos e interpreten eficazmente la evolución de la tecnología, las políticas y la dinámica de la innovación. Ello requiere nuevos planteamientos y enfoques, tales como dotar a los países de capacidades de prospectiva y de investigación estratégica.</w:t>
      </w:r>
    </w:p>
    <w:p w14:paraId="29378B9D" w14:textId="77777777" w:rsidR="00081E04" w:rsidRPr="0052117D" w:rsidRDefault="00081E04" w:rsidP="00BF2FBA">
      <w:pPr>
        <w:pStyle w:val="enumlev1"/>
        <w:jc w:val="both"/>
        <w:rPr>
          <w:rFonts w:eastAsiaTheme="minorEastAsia"/>
          <w:spacing w:val="-2"/>
          <w:szCs w:val="24"/>
        </w:rPr>
      </w:pPr>
      <w:r w:rsidRPr="0052117D">
        <w:rPr>
          <w:rFonts w:eastAsiaTheme="minorEastAsia"/>
          <w:spacing w:val="-2"/>
          <w:szCs w:val="24"/>
        </w:rPr>
        <w:t>8.5.2</w:t>
      </w:r>
      <w:r w:rsidRPr="0052117D">
        <w:rPr>
          <w:rFonts w:eastAsiaTheme="minorEastAsia"/>
          <w:spacing w:val="-2"/>
          <w:szCs w:val="24"/>
        </w:rPr>
        <w:tab/>
        <w:t xml:space="preserve">Innovación abierta: aprovechar los conocimientos tecnológicos especializados en favor de una </w:t>
      </w:r>
      <w:r w:rsidRPr="00863055">
        <w:rPr>
          <w:rFonts w:eastAsiaTheme="minorEastAsia"/>
          <w:szCs w:val="24"/>
          <w:lang w:eastAsia="zh-CN"/>
        </w:rPr>
        <w:t>cadena</w:t>
      </w:r>
      <w:r w:rsidRPr="0052117D">
        <w:rPr>
          <w:rFonts w:eastAsiaTheme="minorEastAsia"/>
          <w:spacing w:val="-2"/>
          <w:szCs w:val="24"/>
        </w:rPr>
        <w:t xml:space="preserve"> de valor </w:t>
      </w:r>
      <w:r w:rsidRPr="00BF2FBA">
        <w:rPr>
          <w:rFonts w:eastAsiaTheme="minorEastAsia" w:cstheme="minorBidi"/>
          <w:szCs w:val="24"/>
          <w:lang w:eastAsia="zh-CN"/>
        </w:rPr>
        <w:t>competitiva</w:t>
      </w:r>
      <w:r w:rsidRPr="0052117D">
        <w:rPr>
          <w:rFonts w:eastAsiaTheme="minorEastAsia"/>
          <w:spacing w:val="-2"/>
          <w:szCs w:val="24"/>
        </w:rPr>
        <w:t xml:space="preserve"> de la economía digital, adoptar la innovación abierta y los </w:t>
      </w:r>
      <w:r w:rsidRPr="0052117D">
        <w:rPr>
          <w:rFonts w:asciiTheme="minorHAnsi" w:eastAsiaTheme="minorEastAsia" w:hAnsiTheme="minorHAnsi" w:cstheme="minorBidi"/>
          <w:szCs w:val="24"/>
          <w:lang w:eastAsia="zh-CN"/>
        </w:rPr>
        <w:t>mecanismos</w:t>
      </w:r>
      <w:r w:rsidRPr="0052117D">
        <w:rPr>
          <w:rFonts w:eastAsiaTheme="minorEastAsia"/>
          <w:spacing w:val="-2"/>
          <w:szCs w:val="24"/>
        </w:rPr>
        <w:t xml:space="preserve"> que reúnen a múltiples partes interesadas, y garantizar un acceso adecuado de todos a las tecnologías incipientes. Fomentar la colaboración y las sinergias que permitan ampliar la escala de las innovaciones digitales y generar un valor sectorial transversal en pro de una economía digital competitiva.</w:t>
      </w:r>
    </w:p>
    <w:p w14:paraId="52F3CF3D"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8.5.3</w:t>
      </w:r>
      <w:r w:rsidRPr="0052117D">
        <w:rPr>
          <w:rFonts w:eastAsiaTheme="minorEastAsia"/>
          <w:bCs/>
          <w:szCs w:val="24"/>
          <w:lang w:eastAsia="zh-CN"/>
        </w:rPr>
        <w:tab/>
      </w:r>
      <w:r w:rsidRPr="0052117D">
        <w:rPr>
          <w:rFonts w:eastAsiaTheme="minorEastAsia"/>
          <w:szCs w:val="24"/>
          <w:lang w:eastAsia="zh-CN"/>
        </w:rPr>
        <w:t xml:space="preserve">Espíritu empresarial y crecimiento de las </w:t>
      </w:r>
      <w:proofErr w:type="spellStart"/>
      <w:r w:rsidRPr="0052117D">
        <w:rPr>
          <w:rFonts w:eastAsiaTheme="minorEastAsia"/>
          <w:szCs w:val="24"/>
          <w:lang w:eastAsia="zh-CN"/>
        </w:rPr>
        <w:t>mipymes</w:t>
      </w:r>
      <w:proofErr w:type="spellEnd"/>
      <w:r w:rsidRPr="0052117D">
        <w:rPr>
          <w:rFonts w:eastAsiaTheme="minorEastAsia"/>
          <w:szCs w:val="24"/>
          <w:lang w:eastAsia="zh-CN"/>
        </w:rPr>
        <w:t xml:space="preserve">: es preciso prestar renovada atención a la aceleración de la </w:t>
      </w:r>
      <w:r w:rsidRPr="00BF2FBA">
        <w:rPr>
          <w:rFonts w:eastAsiaTheme="minorEastAsia" w:cstheme="minorBidi"/>
          <w:szCs w:val="24"/>
          <w:lang w:eastAsia="zh-CN"/>
        </w:rPr>
        <w:t>adopción</w:t>
      </w:r>
      <w:r w:rsidRPr="0052117D">
        <w:rPr>
          <w:rFonts w:eastAsiaTheme="minorEastAsia"/>
          <w:szCs w:val="24"/>
          <w:lang w:eastAsia="zh-CN"/>
        </w:rPr>
        <w:t xml:space="preserve"> del espíritu empresarial impulsado por la innovación digital y de las </w:t>
      </w:r>
      <w:r w:rsidRPr="0052117D">
        <w:rPr>
          <w:rFonts w:asciiTheme="minorHAnsi" w:eastAsiaTheme="minorEastAsia" w:hAnsiTheme="minorHAnsi" w:cstheme="minorBidi"/>
          <w:szCs w:val="24"/>
          <w:lang w:eastAsia="zh-CN"/>
        </w:rPr>
        <w:t>oportunidades</w:t>
      </w:r>
      <w:r w:rsidRPr="0052117D">
        <w:rPr>
          <w:rFonts w:eastAsiaTheme="minorEastAsia"/>
          <w:szCs w:val="24"/>
          <w:lang w:eastAsia="zh-CN"/>
        </w:rPr>
        <w:t xml:space="preserve"> para que el talento logre la inclusión socioeconómica en sus comunidades.</w:t>
      </w:r>
      <w:r w:rsidRPr="0052117D">
        <w:rPr>
          <w:b/>
          <w:bCs/>
          <w:szCs w:val="24"/>
        </w:rPr>
        <w:t xml:space="preserve"> </w:t>
      </w:r>
      <w:r w:rsidRPr="0052117D">
        <w:rPr>
          <w:rFonts w:eastAsiaTheme="minorEastAsia"/>
          <w:szCs w:val="24"/>
          <w:lang w:eastAsia="zh-CN"/>
        </w:rPr>
        <w:t>La integración de las tecnologías incipientes en los planes de estudio y el apoyo a los ecosistemas de innovación en el seno de las instituciones académicas pueden liberar el talento local y fomentar un crecimiento económico inclusivo.</w:t>
      </w:r>
    </w:p>
    <w:p w14:paraId="6E6242C1" w14:textId="1A4A7DBD"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8.5.4</w:t>
      </w:r>
      <w:r w:rsidRPr="0052117D">
        <w:rPr>
          <w:rFonts w:eastAsiaTheme="minorEastAsia"/>
          <w:bCs/>
          <w:szCs w:val="24"/>
          <w:lang w:eastAsia="zh-CN"/>
        </w:rPr>
        <w:tab/>
      </w:r>
      <w:r w:rsidRPr="0052117D">
        <w:rPr>
          <w:rFonts w:eastAsiaTheme="minorEastAsia"/>
          <w:szCs w:val="24"/>
          <w:lang w:eastAsia="zh-CN"/>
        </w:rPr>
        <w:t>Políticas adecuadas: elaborar políticas flexibles y con visión de futuro que fomenten la innovación, respalden a las partes interesadas del ecosistema y mejoren las oportunidades de inversión. La colaboración internacional desempeña una función crucial a la hora de impulsar el intercambio de conocimientos, el desarrollo de capacidades y la armonización de las normas</w:t>
      </w:r>
      <w:r w:rsidR="00863055">
        <w:rPr>
          <w:rFonts w:eastAsiaTheme="minorEastAsia"/>
          <w:szCs w:val="24"/>
          <w:lang w:eastAsia="zh-CN"/>
        </w:rPr>
        <w:t>.</w:t>
      </w:r>
    </w:p>
    <w:p w14:paraId="4AA7E005" w14:textId="77777777" w:rsidR="00081E04" w:rsidRPr="0052117D" w:rsidRDefault="00081E04" w:rsidP="00081E04">
      <w:pPr>
        <w:jc w:val="both"/>
        <w:rPr>
          <w:rFonts w:asciiTheme="minorHAnsi" w:eastAsiaTheme="minorEastAsia" w:hAnsiTheme="minorHAnsi" w:cstheme="minorBidi"/>
          <w:szCs w:val="24"/>
          <w:lang w:eastAsia="zh-CN"/>
        </w:rPr>
      </w:pPr>
      <w:r w:rsidRPr="0052117D">
        <w:rPr>
          <w:rFonts w:asciiTheme="minorHAnsi" w:eastAsiaTheme="minorEastAsia" w:hAnsiTheme="minorHAnsi" w:cstheme="minorBidi"/>
          <w:spacing w:val="-4"/>
          <w:szCs w:val="24"/>
          <w:lang w:eastAsia="zh-CN"/>
        </w:rPr>
        <w:t>8.6</w:t>
      </w:r>
      <w:r w:rsidRPr="0052117D">
        <w:rPr>
          <w:rFonts w:asciiTheme="minorHAnsi" w:eastAsiaTheme="minorEastAsia" w:hAnsiTheme="minorHAnsi" w:cstheme="minorBidi"/>
          <w:spacing w:val="-4"/>
          <w:szCs w:val="24"/>
          <w:lang w:eastAsia="zh-CN"/>
        </w:rPr>
        <w:tab/>
      </w:r>
      <w:r w:rsidRPr="0052117D">
        <w:rPr>
          <w:rFonts w:asciiTheme="minorHAnsi" w:eastAsiaTheme="minorEastAsia" w:hAnsiTheme="minorHAnsi" w:cstheme="minorBidi"/>
          <w:szCs w:val="24"/>
          <w:lang w:eastAsia="zh-CN"/>
        </w:rPr>
        <w:t xml:space="preserve">Con miras a hacer frente a estos retos en los ecosistemas de innovación TIC, procede examinar diversos interrogantes, en particular en lo que respecta a la función de las </w:t>
      </w:r>
      <w:proofErr w:type="spellStart"/>
      <w:r w:rsidRPr="0052117D">
        <w:rPr>
          <w:rFonts w:asciiTheme="minorHAnsi" w:eastAsiaTheme="minorEastAsia" w:hAnsiTheme="minorHAnsi" w:cstheme="minorBidi"/>
          <w:szCs w:val="24"/>
          <w:lang w:eastAsia="zh-CN"/>
        </w:rPr>
        <w:t>mipymes</w:t>
      </w:r>
      <w:proofErr w:type="spellEnd"/>
      <w:r w:rsidRPr="0052117D">
        <w:rPr>
          <w:rFonts w:asciiTheme="minorHAnsi" w:eastAsiaTheme="minorEastAsia" w:hAnsiTheme="minorHAnsi" w:cstheme="minorBidi"/>
          <w:szCs w:val="24"/>
          <w:lang w:eastAsia="zh-CN"/>
        </w:rPr>
        <w:t xml:space="preserve"> como impulsoras de la transformación digital:</w:t>
      </w:r>
    </w:p>
    <w:p w14:paraId="254A0E0A" w14:textId="665BB829"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8.6.1</w:t>
      </w:r>
      <w:r w:rsidRPr="0052117D">
        <w:rPr>
          <w:rFonts w:eastAsiaTheme="minorEastAsia"/>
          <w:bCs/>
          <w:szCs w:val="24"/>
          <w:lang w:eastAsia="zh-CN"/>
        </w:rPr>
        <w:tab/>
      </w:r>
      <w:r w:rsidRPr="0052117D">
        <w:rPr>
          <w:rFonts w:eastAsiaTheme="minorEastAsia"/>
          <w:szCs w:val="24"/>
          <w:lang w:eastAsia="zh-CN"/>
        </w:rPr>
        <w:t xml:space="preserve">¿Cuáles son los </w:t>
      </w:r>
      <w:r w:rsidRPr="00BF2FBA">
        <w:rPr>
          <w:rFonts w:eastAsiaTheme="minorEastAsia" w:cstheme="minorBidi"/>
          <w:szCs w:val="24"/>
          <w:lang w:eastAsia="zh-CN"/>
        </w:rPr>
        <w:t>obstáculos</w:t>
      </w:r>
      <w:r w:rsidRPr="0052117D">
        <w:rPr>
          <w:rFonts w:eastAsiaTheme="minorEastAsia"/>
          <w:szCs w:val="24"/>
          <w:lang w:eastAsia="zh-CN"/>
        </w:rPr>
        <w:t xml:space="preserve"> que impiden a las </w:t>
      </w:r>
      <w:proofErr w:type="spellStart"/>
      <w:r w:rsidRPr="0052117D">
        <w:rPr>
          <w:rFonts w:eastAsiaTheme="minorEastAsia"/>
          <w:szCs w:val="24"/>
          <w:lang w:eastAsia="zh-CN"/>
        </w:rPr>
        <w:t>mipymes</w:t>
      </w:r>
      <w:proofErr w:type="spellEnd"/>
      <w:r w:rsidRPr="0052117D">
        <w:rPr>
          <w:rFonts w:eastAsiaTheme="minorEastAsia"/>
          <w:szCs w:val="24"/>
          <w:lang w:eastAsia="zh-CN"/>
        </w:rPr>
        <w:t xml:space="preserve"> innovar y contribuir al ecosistema de </w:t>
      </w:r>
      <w:r w:rsidRPr="0052117D">
        <w:rPr>
          <w:rFonts w:asciiTheme="minorHAnsi" w:eastAsiaTheme="minorEastAsia" w:hAnsiTheme="minorHAnsi" w:cstheme="minorBidi"/>
          <w:szCs w:val="24"/>
          <w:lang w:eastAsia="zh-CN"/>
        </w:rPr>
        <w:t>innovación</w:t>
      </w:r>
      <w:r w:rsidRPr="0052117D">
        <w:rPr>
          <w:rFonts w:eastAsiaTheme="minorEastAsia"/>
          <w:szCs w:val="24"/>
          <w:lang w:eastAsia="zh-CN"/>
        </w:rPr>
        <w:t xml:space="preserve"> de los servicios y tecnologías de telecomunicaciones/TIC?</w:t>
      </w:r>
    </w:p>
    <w:p w14:paraId="25095087" w14:textId="67B4E4BE"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8.6.2</w:t>
      </w:r>
      <w:r w:rsidRPr="0052117D">
        <w:rPr>
          <w:rFonts w:eastAsiaTheme="minorEastAsia"/>
          <w:bCs/>
          <w:szCs w:val="24"/>
          <w:lang w:eastAsia="zh-CN"/>
        </w:rPr>
        <w:tab/>
      </w:r>
      <w:r w:rsidRPr="0052117D">
        <w:rPr>
          <w:rFonts w:eastAsiaTheme="minorEastAsia"/>
          <w:szCs w:val="24"/>
          <w:lang w:eastAsia="zh-CN"/>
        </w:rPr>
        <w:t xml:space="preserve">¿Cómo pueden los responsables políticos ayudar a las </w:t>
      </w:r>
      <w:proofErr w:type="spellStart"/>
      <w:r w:rsidRPr="0052117D">
        <w:rPr>
          <w:rFonts w:eastAsiaTheme="minorEastAsia"/>
          <w:szCs w:val="24"/>
          <w:lang w:eastAsia="zh-CN"/>
        </w:rPr>
        <w:t>mipymes</w:t>
      </w:r>
      <w:proofErr w:type="spellEnd"/>
      <w:r w:rsidRPr="0052117D">
        <w:rPr>
          <w:rFonts w:eastAsiaTheme="minorEastAsia"/>
          <w:szCs w:val="24"/>
          <w:lang w:eastAsia="zh-CN"/>
        </w:rPr>
        <w:t xml:space="preserve"> a transformar digitalmente sus </w:t>
      </w:r>
      <w:r w:rsidRPr="00981DBE">
        <w:rPr>
          <w:rFonts w:eastAsiaTheme="minorEastAsia"/>
          <w:szCs w:val="24"/>
          <w:lang w:eastAsia="zh-CN"/>
        </w:rPr>
        <w:t>ecosistemas</w:t>
      </w:r>
      <w:r w:rsidRPr="0052117D">
        <w:rPr>
          <w:rFonts w:eastAsiaTheme="minorEastAsia"/>
          <w:szCs w:val="24"/>
          <w:lang w:eastAsia="zh-CN"/>
        </w:rPr>
        <w:t xml:space="preserve"> de innovación de servicios y tecnologías de telecomunicaciones/TIC de manera eficiente y sostenible, y respaldarlas en su colaboración con las grandes empresas?</w:t>
      </w:r>
    </w:p>
    <w:p w14:paraId="71631C0A" w14:textId="21B843C9"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8.6.3</w:t>
      </w:r>
      <w:r w:rsidRPr="0052117D">
        <w:rPr>
          <w:rFonts w:eastAsiaTheme="minorEastAsia"/>
          <w:bCs/>
          <w:szCs w:val="24"/>
          <w:lang w:eastAsia="zh-CN"/>
        </w:rPr>
        <w:tab/>
      </w:r>
      <w:r w:rsidRPr="0052117D">
        <w:rPr>
          <w:rFonts w:eastAsiaTheme="minorEastAsia"/>
          <w:szCs w:val="24"/>
          <w:lang w:eastAsia="zh-CN"/>
        </w:rPr>
        <w:t xml:space="preserve">¿Cómo pueden los responsables políticos ayudar a las </w:t>
      </w:r>
      <w:proofErr w:type="spellStart"/>
      <w:r w:rsidRPr="0052117D">
        <w:rPr>
          <w:rFonts w:eastAsiaTheme="minorEastAsia"/>
          <w:szCs w:val="24"/>
          <w:lang w:eastAsia="zh-CN"/>
        </w:rPr>
        <w:t>mipymes</w:t>
      </w:r>
      <w:proofErr w:type="spellEnd"/>
      <w:r w:rsidRPr="0052117D">
        <w:rPr>
          <w:rFonts w:eastAsiaTheme="minorEastAsia"/>
          <w:szCs w:val="24"/>
          <w:lang w:eastAsia="zh-CN"/>
        </w:rPr>
        <w:t xml:space="preserve"> a innovar, crecer e integrarse de </w:t>
      </w:r>
      <w:r w:rsidRPr="00BF2FBA">
        <w:rPr>
          <w:rFonts w:eastAsiaTheme="minorEastAsia" w:cstheme="minorBidi"/>
          <w:szCs w:val="24"/>
          <w:lang w:eastAsia="zh-CN"/>
        </w:rPr>
        <w:t>manera</w:t>
      </w:r>
      <w:r w:rsidRPr="0052117D">
        <w:rPr>
          <w:rFonts w:eastAsiaTheme="minorEastAsia"/>
          <w:szCs w:val="24"/>
          <w:lang w:eastAsia="zh-CN"/>
        </w:rPr>
        <w:t xml:space="preserve"> más eficiente en el ecosistema de innovación de los servicios y </w:t>
      </w:r>
      <w:r w:rsidRPr="0052117D">
        <w:rPr>
          <w:rFonts w:asciiTheme="minorHAnsi" w:eastAsiaTheme="minorEastAsia" w:hAnsiTheme="minorHAnsi" w:cstheme="minorBidi"/>
          <w:szCs w:val="24"/>
          <w:lang w:eastAsia="zh-CN"/>
        </w:rPr>
        <w:t>tecnologías</w:t>
      </w:r>
      <w:r w:rsidRPr="0052117D">
        <w:rPr>
          <w:rFonts w:eastAsiaTheme="minorEastAsia"/>
          <w:szCs w:val="24"/>
          <w:lang w:eastAsia="zh-CN"/>
        </w:rPr>
        <w:t xml:space="preserve"> de telecomunicaciones/TIC?</w:t>
      </w:r>
    </w:p>
    <w:p w14:paraId="0237930A" w14:textId="350D4C0A"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8.6.4</w:t>
      </w:r>
      <w:r w:rsidRPr="0052117D">
        <w:rPr>
          <w:rFonts w:eastAsiaTheme="minorEastAsia"/>
          <w:bCs/>
          <w:szCs w:val="24"/>
          <w:lang w:eastAsia="zh-CN"/>
        </w:rPr>
        <w:tab/>
      </w:r>
      <w:r w:rsidRPr="0052117D">
        <w:rPr>
          <w:rFonts w:eastAsiaTheme="minorEastAsia"/>
          <w:szCs w:val="24"/>
          <w:lang w:eastAsia="zh-CN"/>
        </w:rPr>
        <w:t xml:space="preserve">¿Cómo puede la UIT ayudar a los responsables políticos a colaborar con las partes </w:t>
      </w:r>
      <w:r w:rsidRPr="0052117D">
        <w:rPr>
          <w:rFonts w:asciiTheme="minorHAnsi" w:eastAsiaTheme="minorEastAsia" w:hAnsiTheme="minorHAnsi" w:cstheme="minorBidi"/>
          <w:szCs w:val="24"/>
          <w:lang w:eastAsia="zh-CN"/>
        </w:rPr>
        <w:t>interesadas</w:t>
      </w:r>
      <w:r w:rsidRPr="0052117D">
        <w:rPr>
          <w:rFonts w:eastAsiaTheme="minorEastAsia"/>
          <w:szCs w:val="24"/>
          <w:lang w:eastAsia="zh-CN"/>
        </w:rPr>
        <w:t xml:space="preserve"> </w:t>
      </w:r>
      <w:r w:rsidRPr="00BF2FBA">
        <w:rPr>
          <w:rFonts w:eastAsiaTheme="minorEastAsia" w:cstheme="minorBidi"/>
          <w:szCs w:val="24"/>
          <w:lang w:eastAsia="zh-CN"/>
        </w:rPr>
        <w:t>pertinentes</w:t>
      </w:r>
      <w:r w:rsidRPr="0052117D">
        <w:rPr>
          <w:rFonts w:eastAsiaTheme="minorEastAsia"/>
          <w:szCs w:val="24"/>
          <w:lang w:eastAsia="zh-CN"/>
        </w:rPr>
        <w:t xml:space="preserve"> para que se invierta en la investigación y el desarrollo de servicios y tecnologías de telecomunicaciones/TIC con miras a obtener nuevos productos y servicios innovadores destinados a las </w:t>
      </w:r>
      <w:proofErr w:type="spellStart"/>
      <w:r w:rsidRPr="0052117D">
        <w:rPr>
          <w:rFonts w:eastAsiaTheme="minorEastAsia"/>
          <w:szCs w:val="24"/>
          <w:lang w:eastAsia="zh-CN"/>
        </w:rPr>
        <w:t>mipymes</w:t>
      </w:r>
      <w:proofErr w:type="spellEnd"/>
      <w:r w:rsidRPr="0052117D">
        <w:rPr>
          <w:rFonts w:eastAsiaTheme="minorEastAsia"/>
          <w:szCs w:val="24"/>
          <w:lang w:eastAsia="zh-CN"/>
        </w:rPr>
        <w:t xml:space="preserve">? </w:t>
      </w:r>
    </w:p>
    <w:p w14:paraId="29108D39" w14:textId="5A2AE330"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8.6.5</w:t>
      </w:r>
      <w:r w:rsidRPr="0052117D">
        <w:rPr>
          <w:rFonts w:eastAsiaTheme="minorEastAsia"/>
          <w:bCs/>
          <w:szCs w:val="24"/>
          <w:lang w:eastAsia="zh-CN"/>
        </w:rPr>
        <w:tab/>
      </w:r>
      <w:r w:rsidRPr="0052117D">
        <w:rPr>
          <w:rFonts w:eastAsiaTheme="minorEastAsia"/>
          <w:szCs w:val="24"/>
          <w:lang w:eastAsia="zh-CN"/>
        </w:rPr>
        <w:t xml:space="preserve">¿Cómo puede la UIT ayudar a los responsables políticos a llevar al mercado y al ecosistema de </w:t>
      </w:r>
      <w:r w:rsidRPr="00981DBE">
        <w:rPr>
          <w:rFonts w:eastAsiaTheme="minorEastAsia"/>
          <w:szCs w:val="24"/>
          <w:lang w:eastAsia="zh-CN"/>
        </w:rPr>
        <w:t>innovación</w:t>
      </w:r>
      <w:r w:rsidRPr="0052117D">
        <w:rPr>
          <w:rFonts w:eastAsiaTheme="minorEastAsia"/>
          <w:szCs w:val="24"/>
          <w:lang w:eastAsia="zh-CN"/>
        </w:rPr>
        <w:t xml:space="preserve"> de los servicios y tecnologías de telecomunicaciones/TIC la propiedad intelectual desarrollada por las </w:t>
      </w:r>
      <w:proofErr w:type="spellStart"/>
      <w:r w:rsidRPr="0052117D">
        <w:rPr>
          <w:rFonts w:eastAsiaTheme="minorEastAsia"/>
          <w:szCs w:val="24"/>
          <w:lang w:eastAsia="zh-CN"/>
        </w:rPr>
        <w:t>mipymes</w:t>
      </w:r>
      <w:proofErr w:type="spellEnd"/>
      <w:r w:rsidRPr="0052117D">
        <w:rPr>
          <w:rFonts w:eastAsiaTheme="minorEastAsia"/>
          <w:szCs w:val="24"/>
          <w:lang w:eastAsia="zh-CN"/>
        </w:rPr>
        <w:t xml:space="preserve">? </w:t>
      </w:r>
    </w:p>
    <w:p w14:paraId="7B068C16" w14:textId="787D1F72"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lastRenderedPageBreak/>
        <w:t>8.6.6</w:t>
      </w:r>
      <w:r w:rsidRPr="0052117D">
        <w:rPr>
          <w:rFonts w:eastAsiaTheme="minorEastAsia"/>
          <w:bCs/>
          <w:szCs w:val="24"/>
          <w:lang w:eastAsia="zh-CN"/>
        </w:rPr>
        <w:tab/>
      </w:r>
      <w:r w:rsidRPr="0052117D">
        <w:rPr>
          <w:rFonts w:eastAsiaTheme="minorEastAsia"/>
          <w:szCs w:val="24"/>
          <w:lang w:eastAsia="zh-CN"/>
        </w:rPr>
        <w:t xml:space="preserve">¿Cómo pueden los responsables políticos, las universidades, los institutos de investigación, los </w:t>
      </w:r>
      <w:r w:rsidRPr="0052117D">
        <w:rPr>
          <w:rFonts w:asciiTheme="minorHAnsi" w:eastAsiaTheme="minorEastAsia" w:hAnsiTheme="minorHAnsi" w:cstheme="minorBidi"/>
          <w:szCs w:val="24"/>
          <w:lang w:eastAsia="zh-CN"/>
        </w:rPr>
        <w:t>centros</w:t>
      </w:r>
      <w:r w:rsidRPr="0052117D">
        <w:rPr>
          <w:rFonts w:eastAsiaTheme="minorEastAsia"/>
          <w:szCs w:val="24"/>
          <w:lang w:eastAsia="zh-CN"/>
        </w:rPr>
        <w:t xml:space="preserve"> de innovación y las empresas del sector de la innovación de los </w:t>
      </w:r>
      <w:r w:rsidRPr="00BF2FBA">
        <w:rPr>
          <w:rFonts w:eastAsiaTheme="minorEastAsia" w:cstheme="minorBidi"/>
          <w:szCs w:val="24"/>
          <w:lang w:eastAsia="zh-CN"/>
        </w:rPr>
        <w:t>servicios</w:t>
      </w:r>
      <w:r w:rsidRPr="0052117D">
        <w:rPr>
          <w:rFonts w:eastAsiaTheme="minorEastAsia"/>
          <w:szCs w:val="24"/>
          <w:lang w:eastAsia="zh-CN"/>
        </w:rPr>
        <w:t xml:space="preserve"> y tecnologías de telecomunicaciones/TIC promover, invertir, respaldar y desarrollar el espíritu empresarial y aumentar la oferta de talento digital para las empresas?</w:t>
      </w:r>
    </w:p>
    <w:p w14:paraId="45392AAB" w14:textId="02C91D7E"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8.6.7</w:t>
      </w:r>
      <w:r w:rsidRPr="0052117D">
        <w:rPr>
          <w:rFonts w:eastAsiaTheme="minorEastAsia"/>
          <w:bCs/>
          <w:szCs w:val="24"/>
          <w:lang w:eastAsia="zh-CN"/>
        </w:rPr>
        <w:tab/>
      </w:r>
      <w:r w:rsidRPr="0052117D">
        <w:rPr>
          <w:rFonts w:eastAsiaTheme="minorEastAsia"/>
          <w:szCs w:val="24"/>
          <w:lang w:eastAsia="zh-CN"/>
        </w:rPr>
        <w:t>¿</w:t>
      </w:r>
      <w:r w:rsidRPr="00BF2FBA">
        <w:rPr>
          <w:rFonts w:eastAsiaTheme="minorEastAsia" w:cstheme="minorBidi"/>
          <w:szCs w:val="24"/>
          <w:lang w:eastAsia="zh-CN"/>
        </w:rPr>
        <w:t>Cómo</w:t>
      </w:r>
      <w:r w:rsidRPr="0052117D">
        <w:rPr>
          <w:rFonts w:eastAsiaTheme="minorEastAsia"/>
          <w:szCs w:val="24"/>
          <w:lang w:eastAsia="zh-CN"/>
        </w:rPr>
        <w:t xml:space="preserve"> pueden los responsables políticos promover la competencia y mejorar el acceso a </w:t>
      </w:r>
      <w:r w:rsidRPr="0052117D">
        <w:rPr>
          <w:rFonts w:asciiTheme="minorHAnsi" w:eastAsiaTheme="minorEastAsia" w:hAnsiTheme="minorHAnsi" w:cstheme="minorBidi"/>
          <w:szCs w:val="24"/>
          <w:lang w:eastAsia="zh-CN"/>
        </w:rPr>
        <w:t>mercados</w:t>
      </w:r>
      <w:r w:rsidRPr="0052117D">
        <w:rPr>
          <w:rFonts w:eastAsiaTheme="minorEastAsia"/>
          <w:szCs w:val="24"/>
          <w:lang w:eastAsia="zh-CN"/>
        </w:rPr>
        <w:t xml:space="preserve"> abiertos con objeto de fomentar el espíritu empresarial?</w:t>
      </w:r>
    </w:p>
    <w:p w14:paraId="3D26B392" w14:textId="3FF3B08E"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8.6.8</w:t>
      </w:r>
      <w:r w:rsidRPr="0052117D">
        <w:rPr>
          <w:rFonts w:eastAsiaTheme="minorEastAsia"/>
          <w:bCs/>
          <w:szCs w:val="24"/>
          <w:lang w:eastAsia="zh-CN"/>
        </w:rPr>
        <w:tab/>
      </w:r>
      <w:r w:rsidRPr="0052117D">
        <w:rPr>
          <w:rFonts w:eastAsiaTheme="minorEastAsia"/>
          <w:szCs w:val="24"/>
          <w:lang w:eastAsia="zh-CN"/>
        </w:rPr>
        <w:t xml:space="preserve">¿Cómo pueden la UIT y la cooperación internacional contribuir a reforzar la innovación y el </w:t>
      </w:r>
      <w:r w:rsidRPr="00981DBE">
        <w:rPr>
          <w:rFonts w:eastAsiaTheme="minorEastAsia"/>
          <w:szCs w:val="24"/>
          <w:lang w:eastAsia="zh-CN"/>
        </w:rPr>
        <w:t>espíritu</w:t>
      </w:r>
      <w:r w:rsidRPr="0052117D">
        <w:rPr>
          <w:rFonts w:eastAsiaTheme="minorEastAsia"/>
          <w:szCs w:val="24"/>
          <w:lang w:eastAsia="zh-CN"/>
        </w:rPr>
        <w:t xml:space="preserve"> empresarial centrados en los servicios y tecnologías de </w:t>
      </w:r>
      <w:r w:rsidRPr="00BF2FBA">
        <w:rPr>
          <w:rFonts w:eastAsiaTheme="minorEastAsia" w:cstheme="minorBidi"/>
          <w:szCs w:val="24"/>
          <w:lang w:eastAsia="zh-CN"/>
        </w:rPr>
        <w:t>telecomunicaciones</w:t>
      </w:r>
      <w:r w:rsidRPr="0052117D">
        <w:rPr>
          <w:rFonts w:eastAsiaTheme="minorEastAsia"/>
          <w:szCs w:val="24"/>
          <w:lang w:eastAsia="zh-CN"/>
        </w:rPr>
        <w:t>/TIC, proporcionando plataformas para la creación de redes de cooperación destinadas al intercambio de conocimientos y capacidades, para la evaluación y la formación, para la incorporación de las innovaciones en materia de servicios y tecnologías de telecomunicaciones/TIC a la normalización, y para los conjuntos de herramientas reglamentarias y los entornos controlados de pruebas?</w:t>
      </w:r>
    </w:p>
    <w:p w14:paraId="10C3AC87" w14:textId="3A5A942F"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8.6.9</w:t>
      </w:r>
      <w:r w:rsidRPr="0052117D">
        <w:rPr>
          <w:rFonts w:eastAsiaTheme="minorEastAsia"/>
          <w:bCs/>
          <w:szCs w:val="24"/>
          <w:lang w:eastAsia="zh-CN"/>
        </w:rPr>
        <w:tab/>
      </w:r>
      <w:r w:rsidRPr="0052117D">
        <w:rPr>
          <w:rFonts w:eastAsiaTheme="minorEastAsia"/>
          <w:szCs w:val="24"/>
          <w:lang w:eastAsia="zh-CN"/>
        </w:rPr>
        <w:t xml:space="preserve">¿Cómo puede la reducción de los obstáculos reglamentarios al acceso al mercado </w:t>
      </w:r>
      <w:r w:rsidRPr="00BF2FBA">
        <w:rPr>
          <w:rFonts w:eastAsiaTheme="minorEastAsia" w:cstheme="minorBidi"/>
          <w:szCs w:val="24"/>
          <w:lang w:eastAsia="zh-CN"/>
        </w:rPr>
        <w:t>posibilitar</w:t>
      </w:r>
      <w:r w:rsidRPr="0052117D">
        <w:rPr>
          <w:rFonts w:eastAsiaTheme="minorEastAsia"/>
          <w:szCs w:val="24"/>
          <w:lang w:eastAsia="zh-CN"/>
        </w:rPr>
        <w:t xml:space="preserve"> la innovación centrada en los servicios y tecnologías de telecomunicaciones/TIC?</w:t>
      </w:r>
    </w:p>
    <w:p w14:paraId="3DBE6B45" w14:textId="77777777" w:rsidR="00081E04" w:rsidRPr="0052117D" w:rsidRDefault="00081E04" w:rsidP="00BF2FBA">
      <w:pPr>
        <w:pStyle w:val="enumlev1"/>
        <w:jc w:val="both"/>
        <w:rPr>
          <w:rFonts w:eastAsiaTheme="minorEastAsia"/>
          <w:szCs w:val="24"/>
          <w:lang w:eastAsia="zh-CN"/>
        </w:rPr>
      </w:pPr>
      <w:r w:rsidRPr="0052117D">
        <w:rPr>
          <w:rFonts w:eastAsiaTheme="minorEastAsia"/>
          <w:bCs/>
          <w:szCs w:val="24"/>
          <w:lang w:eastAsia="zh-CN"/>
        </w:rPr>
        <w:t>8.6.10</w:t>
      </w:r>
      <w:r w:rsidRPr="0052117D">
        <w:rPr>
          <w:rFonts w:eastAsiaTheme="minorEastAsia"/>
          <w:bCs/>
          <w:szCs w:val="24"/>
          <w:lang w:eastAsia="zh-CN"/>
        </w:rPr>
        <w:tab/>
      </w:r>
      <w:r w:rsidRPr="0052117D">
        <w:rPr>
          <w:rFonts w:eastAsiaTheme="minorEastAsia"/>
          <w:szCs w:val="24"/>
          <w:lang w:eastAsia="zh-CN"/>
        </w:rPr>
        <w:t xml:space="preserve">¿Qué capacidades necesitan los organismos públicos para respaldar un sector de </w:t>
      </w:r>
      <w:r w:rsidRPr="00BF2FBA">
        <w:rPr>
          <w:rFonts w:eastAsiaTheme="minorEastAsia" w:cstheme="minorBidi"/>
          <w:szCs w:val="24"/>
          <w:lang w:eastAsia="zh-CN"/>
        </w:rPr>
        <w:t>servicios</w:t>
      </w:r>
      <w:r w:rsidRPr="0052117D">
        <w:rPr>
          <w:rFonts w:eastAsiaTheme="minorEastAsia"/>
          <w:szCs w:val="24"/>
          <w:lang w:eastAsia="zh-CN"/>
        </w:rPr>
        <w:t xml:space="preserve"> y tecnologías de telecomunicaciones/TIC innovador y anticiparse a las cuestiones incipientes?</w:t>
      </w:r>
    </w:p>
    <w:bookmarkEnd w:id="3"/>
    <w:p w14:paraId="4D2600B2" w14:textId="77777777" w:rsidR="00081E04" w:rsidRPr="0052117D" w:rsidRDefault="00081E04" w:rsidP="00BF2FBA">
      <w:pPr>
        <w:tabs>
          <w:tab w:val="clear" w:pos="1134"/>
          <w:tab w:val="clear" w:pos="1701"/>
          <w:tab w:val="clear" w:pos="2268"/>
          <w:tab w:val="clear" w:pos="2835"/>
        </w:tabs>
        <w:overflowPunct/>
        <w:autoSpaceDE/>
        <w:autoSpaceDN/>
        <w:adjustRightInd/>
        <w:spacing w:before="840"/>
        <w:textAlignment w:val="auto"/>
        <w:rPr>
          <w:rFonts w:eastAsia="Calibri"/>
          <w:caps/>
          <w:sz w:val="28"/>
        </w:rPr>
      </w:pPr>
      <w:r w:rsidRPr="0052117D">
        <w:rPr>
          <w:b/>
          <w:bCs/>
        </w:rPr>
        <w:t>Anexo:</w:t>
      </w:r>
      <w:r w:rsidRPr="0052117D">
        <w:t xml:space="preserve"> 1</w:t>
      </w:r>
      <w:r w:rsidRPr="0052117D">
        <w:rPr>
          <w:rFonts w:eastAsia="Calibri"/>
        </w:rPr>
        <w:br w:type="page"/>
      </w:r>
    </w:p>
    <w:p w14:paraId="45F58335" w14:textId="77777777" w:rsidR="00081E04" w:rsidRPr="0052117D" w:rsidRDefault="00081E04" w:rsidP="00081E04">
      <w:pPr>
        <w:pStyle w:val="AnnexNo"/>
        <w:rPr>
          <w:rFonts w:eastAsia="Calibri"/>
        </w:rPr>
      </w:pPr>
      <w:r w:rsidRPr="0052117D">
        <w:rPr>
          <w:rFonts w:eastAsia="Calibri"/>
        </w:rPr>
        <w:lastRenderedPageBreak/>
        <w:t>ANEXO</w:t>
      </w:r>
    </w:p>
    <w:p w14:paraId="76B75A39" w14:textId="77777777" w:rsidR="00081E04" w:rsidRPr="0052117D" w:rsidRDefault="00081E04" w:rsidP="00081E04">
      <w:pPr>
        <w:pStyle w:val="Annextitle"/>
        <w:rPr>
          <w:rFonts w:eastAsia="Calibri"/>
        </w:rPr>
      </w:pPr>
      <w:r w:rsidRPr="0052117D">
        <w:rPr>
          <w:rFonts w:eastAsia="Calibri"/>
        </w:rPr>
        <w:t>Proyectos de Opinión para el séptimo Foro Mundial de Política de Telecomunicaciones/Tecnologías de la Información y la Comunicación de 2026</w:t>
      </w:r>
    </w:p>
    <w:p w14:paraId="730D31F8" w14:textId="77777777" w:rsidR="00081E04" w:rsidRPr="0052117D" w:rsidRDefault="00081E04" w:rsidP="00081E04">
      <w:pPr>
        <w:pStyle w:val="OpNo"/>
        <w:rPr>
          <w:lang w:val="es-ES_tradnl"/>
        </w:rPr>
      </w:pPr>
      <w:r w:rsidRPr="0052117D">
        <w:rPr>
          <w:lang w:val="es-ES_tradnl"/>
        </w:rPr>
        <w:t>PROYECTO DE OPINIÓN 1</w:t>
      </w:r>
    </w:p>
    <w:p w14:paraId="5C42DB45" w14:textId="77777777" w:rsidR="00081E04" w:rsidRPr="0052117D" w:rsidRDefault="00081E04" w:rsidP="00081E04">
      <w:pPr>
        <w:pStyle w:val="Optitle0"/>
        <w:rPr>
          <w:lang w:val="es-ES_tradnl"/>
        </w:rPr>
      </w:pPr>
      <w:r w:rsidRPr="0052117D">
        <w:rPr>
          <w:lang w:val="es-ES_tradnl"/>
        </w:rPr>
        <w:t xml:space="preserve">La reducción de las brechas digitales, en particular las relativas al género y la edad, </w:t>
      </w:r>
      <w:r w:rsidRPr="0052117D">
        <w:rPr>
          <w:lang w:val="es-ES_tradnl"/>
        </w:rPr>
        <w:br/>
        <w:t>así como a las competencias y la conectividad</w:t>
      </w:r>
    </w:p>
    <w:p w14:paraId="0BE2E0BA" w14:textId="77777777" w:rsidR="00081E04" w:rsidRPr="007115E6" w:rsidRDefault="00081E04" w:rsidP="007115E6">
      <w:pPr>
        <w:pStyle w:val="Normalaftertitle"/>
      </w:pPr>
      <w:r w:rsidRPr="007115E6">
        <w:t>El séptimo Foro Mundial de Política de Telecomunicaciones/TIC (Nassau, 2026),</w:t>
      </w:r>
    </w:p>
    <w:p w14:paraId="19D40050" w14:textId="77777777" w:rsidR="00081E04" w:rsidRPr="00234542" w:rsidRDefault="00081E04" w:rsidP="00234542">
      <w:pPr>
        <w:pStyle w:val="Call"/>
      </w:pPr>
      <w:r w:rsidRPr="00234542">
        <w:t>recordando</w:t>
      </w:r>
    </w:p>
    <w:p w14:paraId="751CAE23"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a)</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70/1 de la Asamblea General de las Naciones Unidas (AGNU), sobre la transformación de nuestro mundo: la Agenda 2030 para el Desarrollo Sostenible;</w:t>
      </w:r>
    </w:p>
    <w:p w14:paraId="685173F1" w14:textId="2399DFF8"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b)</w:t>
      </w:r>
      <w:r w:rsidRPr="0052117D">
        <w:rPr>
          <w:rFonts w:asciiTheme="minorHAnsi" w:eastAsiaTheme="minorEastAsia" w:hAnsiTheme="minorHAnsi" w:cstheme="minorHAnsi"/>
          <w:i/>
          <w:noProof/>
          <w:szCs w:val="24"/>
          <w:lang w:eastAsia="zh-CN"/>
        </w:rPr>
        <w:tab/>
      </w:r>
      <w:r w:rsidRPr="0052117D">
        <w:rPr>
          <w:rFonts w:asciiTheme="minorHAnsi" w:hAnsiTheme="minorHAnsi" w:cstheme="minorHAnsi"/>
          <w:szCs w:val="24"/>
        </w:rPr>
        <w:t xml:space="preserve">la Resolución 80/173 de la </w:t>
      </w:r>
      <w:proofErr w:type="spellStart"/>
      <w:r w:rsidRPr="0052117D">
        <w:rPr>
          <w:rFonts w:asciiTheme="minorHAnsi" w:hAnsiTheme="minorHAnsi" w:cstheme="minorHAnsi"/>
          <w:szCs w:val="24"/>
        </w:rPr>
        <w:t>AGNU</w:t>
      </w:r>
      <w:proofErr w:type="spellEnd"/>
      <w:r w:rsidRPr="0052117D">
        <w:rPr>
          <w:rFonts w:asciiTheme="minorHAnsi" w:hAnsiTheme="minorHAnsi" w:cstheme="minorHAnsi"/>
          <w:szCs w:val="24"/>
        </w:rPr>
        <w:t>, sobre el documento final de la reunión de alto nivel sobre el examen general de la aplicación de los resultados de la Cumbre Mundial sobre la Sociedad de la Información (</w:t>
      </w:r>
      <w:proofErr w:type="spellStart"/>
      <w:r w:rsidRPr="0052117D">
        <w:rPr>
          <w:rFonts w:asciiTheme="minorHAnsi" w:hAnsiTheme="minorHAnsi" w:cstheme="minorHAnsi"/>
          <w:szCs w:val="24"/>
        </w:rPr>
        <w:t>CMSI+20</w:t>
      </w:r>
      <w:proofErr w:type="spellEnd"/>
      <w:r w:rsidRPr="0052117D">
        <w:rPr>
          <w:rFonts w:asciiTheme="minorHAnsi" w:hAnsiTheme="minorHAnsi" w:cstheme="minorHAnsi"/>
          <w:szCs w:val="24"/>
        </w:rPr>
        <w:t>);</w:t>
      </w:r>
    </w:p>
    <w:p w14:paraId="17D9CEE0"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c)</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78/311 de la AGNU, sobre el aumento de la cooperación internacional para la creación de capacidad en materia de inteligencia artificial;</w:t>
      </w:r>
    </w:p>
    <w:p w14:paraId="19E2378D" w14:textId="11BBB0EC"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d)</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11 (Rev. </w:t>
      </w:r>
      <w:r w:rsidR="00637C92">
        <w:rPr>
          <w:rFonts w:asciiTheme="minorHAnsi" w:eastAsiaTheme="minorEastAsia" w:hAnsiTheme="minorHAnsi" w:cstheme="minorHAnsi"/>
          <w:noProof/>
          <w:szCs w:val="24"/>
          <w:lang w:eastAsia="zh-CN"/>
        </w:rPr>
        <w:t>Bak</w:t>
      </w:r>
      <w:r w:rsidR="002E0CA5">
        <w:rPr>
          <w:rFonts w:asciiTheme="minorHAnsi" w:eastAsiaTheme="minorEastAsia" w:hAnsiTheme="minorHAnsi" w:cstheme="minorHAnsi"/>
          <w:noProof/>
          <w:szCs w:val="24"/>
          <w:lang w:eastAsia="zh-CN"/>
        </w:rPr>
        <w:t>ú</w:t>
      </w:r>
      <w:r w:rsidRPr="0052117D">
        <w:rPr>
          <w:rFonts w:asciiTheme="minorHAnsi" w:eastAsiaTheme="minorEastAsia" w:hAnsiTheme="minorHAnsi" w:cstheme="minorHAnsi"/>
          <w:noProof/>
          <w:szCs w:val="24"/>
          <w:lang w:eastAsia="zh-CN"/>
        </w:rPr>
        <w:t>, 202</w:t>
      </w:r>
      <w:r w:rsidR="00637C92">
        <w:rPr>
          <w:rFonts w:asciiTheme="minorHAnsi" w:eastAsiaTheme="minorEastAsia" w:hAnsiTheme="minorHAnsi" w:cstheme="minorHAnsi"/>
          <w:noProof/>
          <w:szCs w:val="24"/>
          <w:lang w:eastAsia="zh-CN"/>
        </w:rPr>
        <w:t>5</w:t>
      </w:r>
      <w:r w:rsidRPr="0052117D">
        <w:rPr>
          <w:rFonts w:asciiTheme="minorHAnsi" w:eastAsiaTheme="minorEastAsia" w:hAnsiTheme="minorHAnsi" w:cstheme="minorHAnsi"/>
          <w:noProof/>
          <w:szCs w:val="24"/>
          <w:lang w:eastAsia="zh-CN"/>
        </w:rPr>
        <w:t xml:space="preserve">) de la Conferencia Mundial de Desarrollo de las Telecomunicaciones (CMDT), sobre los servicios de telecomunicaciones/tecnologías de la información y la comunicación (TIC) en las zonas rurales, </w:t>
      </w:r>
      <w:r w:rsidR="00637C92">
        <w:rPr>
          <w:rFonts w:asciiTheme="minorHAnsi" w:eastAsiaTheme="minorEastAsia" w:hAnsiTheme="minorHAnsi" w:cstheme="minorHAnsi"/>
          <w:noProof/>
          <w:szCs w:val="24"/>
          <w:lang w:eastAsia="zh-CN"/>
        </w:rPr>
        <w:t>no atendidas</w:t>
      </w:r>
      <w:r w:rsidRPr="0052117D">
        <w:rPr>
          <w:rFonts w:asciiTheme="minorHAnsi" w:eastAsiaTheme="minorEastAsia" w:hAnsiTheme="minorHAnsi" w:cstheme="minorHAnsi"/>
          <w:noProof/>
          <w:szCs w:val="24"/>
          <w:lang w:eastAsia="zh-CN"/>
        </w:rPr>
        <w:t xml:space="preserve"> </w:t>
      </w:r>
      <w:r w:rsidR="00FC1FB9">
        <w:rPr>
          <w:rFonts w:asciiTheme="minorHAnsi" w:eastAsiaTheme="minorEastAsia" w:hAnsiTheme="minorHAnsi" w:cstheme="minorHAnsi"/>
          <w:noProof/>
          <w:szCs w:val="24"/>
          <w:lang w:eastAsia="zh-CN"/>
        </w:rPr>
        <w:t>e</w:t>
      </w:r>
      <w:r w:rsidR="00637C92" w:rsidRPr="0052117D">
        <w:rPr>
          <w:rFonts w:asciiTheme="minorHAnsi" w:eastAsiaTheme="minorEastAsia" w:hAnsiTheme="minorHAnsi" w:cstheme="minorHAnsi"/>
          <w:noProof/>
          <w:szCs w:val="24"/>
          <w:lang w:eastAsia="zh-CN"/>
        </w:rPr>
        <w:t xml:space="preserve"> </w:t>
      </w:r>
      <w:r w:rsidRPr="0052117D">
        <w:rPr>
          <w:rFonts w:asciiTheme="minorHAnsi" w:eastAsiaTheme="minorEastAsia" w:hAnsiTheme="minorHAnsi" w:cstheme="minorHAnsi"/>
          <w:noProof/>
          <w:szCs w:val="24"/>
          <w:lang w:eastAsia="zh-CN"/>
        </w:rPr>
        <w:t>insuficientemente atendidas;</w:t>
      </w:r>
    </w:p>
    <w:p w14:paraId="1679DD57"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e)</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37 (Rev. Bakú, 2025) de la CMDT, sobre la reducción de la brecha digital;</w:t>
      </w:r>
    </w:p>
    <w:p w14:paraId="5C2D0029" w14:textId="687F0182"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f)</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55 (Rev. Bakú, 2025) de la CMDT, sobre la integración de una perspectiva de género en el Sector de Desarrollo de las Telecomunicaciones de la UIT y la promoción de la igualdad de género y el empoderamiento de las mujeres y las niñas por medio de las telecomunicaciones/</w:t>
      </w:r>
      <w:r w:rsidR="00637C92">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w:t>
      </w:r>
    </w:p>
    <w:p w14:paraId="456C0F84" w14:textId="6B69C5C5" w:rsidR="00081E04" w:rsidRPr="0052117D" w:rsidRDefault="00081E04" w:rsidP="001C4740">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g)</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58 (Rev. Bakú, 2025) de la CMDT, sobre la accesibilidad de las telecomunicaciones/</w:t>
      </w:r>
      <w:r w:rsidR="00637C92">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 xml:space="preserve"> para las personas con discapacidad y con necesidades </w:t>
      </w:r>
      <w:r w:rsidR="001C4740">
        <w:rPr>
          <w:rFonts w:asciiTheme="minorHAnsi" w:eastAsiaTheme="minorEastAsia" w:hAnsiTheme="minorHAnsi" w:cstheme="minorHAnsi"/>
          <w:noProof/>
          <w:szCs w:val="24"/>
          <w:lang w:eastAsia="zh-CN"/>
        </w:rPr>
        <w:t>específicas</w:t>
      </w:r>
      <w:r w:rsidRPr="0052117D">
        <w:rPr>
          <w:rFonts w:asciiTheme="minorHAnsi" w:eastAsiaTheme="minorEastAsia" w:hAnsiTheme="minorHAnsi" w:cstheme="minorHAnsi"/>
          <w:noProof/>
          <w:szCs w:val="24"/>
          <w:lang w:eastAsia="zh-CN"/>
        </w:rPr>
        <w:t>;</w:t>
      </w:r>
    </w:p>
    <w:p w14:paraId="5D9C2700"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h)</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70 (Rev. Bucarest, 2022) de la Conferencia de Plenipotenciarios, sobre la incorporación de una perspectiva de género en la UIT y la promoción de la igualdad de género y el empoderamiento de las mujeres y las niñas por medio de las telecomunicaciones/TIC;</w:t>
      </w:r>
    </w:p>
    <w:p w14:paraId="4A9101FE"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i)</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91 (Rev. Bakú, 2025) de la CMDT, sobre las tecnologías de inteligencia artificial en el desarrollo de las telecomunicaciones;</w:t>
      </w:r>
    </w:p>
    <w:p w14:paraId="380642B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j)</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214 (Bucarest, 2022) de la Conferencia de Plenipotenciarios, sobre las tecnologías de inteligencia artificial y las telecomunicaciones/TIC;</w:t>
      </w:r>
    </w:p>
    <w:p w14:paraId="63395CD6" w14:textId="4AE67CD0"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k)</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71 (Rev. Bucarest, 2022) de la Conferencia de Plenipotenciarios, sobre el Plan Estratégico de la UIT para 2024</w:t>
      </w:r>
      <w:r w:rsidR="00981DBE">
        <w:rPr>
          <w:rFonts w:asciiTheme="minorHAnsi" w:eastAsiaTheme="minorEastAsia" w:hAnsiTheme="minorHAnsi" w:cstheme="minorHAnsi"/>
          <w:noProof/>
          <w:szCs w:val="24"/>
          <w:lang w:eastAsia="zh-CN"/>
        </w:rPr>
        <w:t>-</w:t>
      </w:r>
      <w:r w:rsidRPr="0052117D">
        <w:rPr>
          <w:rFonts w:asciiTheme="minorHAnsi" w:eastAsiaTheme="minorEastAsia" w:hAnsiTheme="minorHAnsi" w:cstheme="minorHAnsi"/>
          <w:noProof/>
          <w:szCs w:val="24"/>
          <w:lang w:eastAsia="zh-CN"/>
        </w:rPr>
        <w:t>2027, cuyo objetivo es posibilitar y fomentar el acceso universal a unas telecomunicaciones/TIC asequibles, de alta calidad y seguras;</w:t>
      </w:r>
    </w:p>
    <w:p w14:paraId="2AAB641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lastRenderedPageBreak/>
        <w:t>l)</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139 (Rev. Bucarest, 2022) de la Conferencia de Plenipotenciarios, sobre la utilización de las telecomunicaciones/TIC para reducir la brecha digital y crear una sociedad de la información inclusiva;</w:t>
      </w:r>
    </w:p>
    <w:p w14:paraId="0C2BCB35" w14:textId="5CD7B88B"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m)</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175 (Rev. Bucarest, 2022) de la Conferencia de Plenipotenciarios, sobre la accesibilidad de las telecomunicaciones/TIC para las personas con discapacidad y personas con </w:t>
      </w:r>
      <w:r w:rsidR="001C4740">
        <w:rPr>
          <w:rFonts w:asciiTheme="minorHAnsi" w:eastAsiaTheme="minorEastAsia" w:hAnsiTheme="minorHAnsi" w:cstheme="minorHAnsi"/>
          <w:noProof/>
          <w:szCs w:val="24"/>
          <w:lang w:eastAsia="zh-CN"/>
        </w:rPr>
        <w:t>necesidades específicas</w:t>
      </w:r>
      <w:r w:rsidRPr="0052117D">
        <w:rPr>
          <w:rFonts w:asciiTheme="minorHAnsi" w:eastAsiaTheme="minorEastAsia" w:hAnsiTheme="minorHAnsi" w:cstheme="minorHAnsi"/>
          <w:noProof/>
          <w:szCs w:val="24"/>
          <w:lang w:eastAsia="zh-CN"/>
        </w:rPr>
        <w:t>;</w:t>
      </w:r>
    </w:p>
    <w:p w14:paraId="071F659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n)</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179 (Rev. Bucarest, 2022) de la Conferencia de Plenipotenciarios, sobre la función de la UIT en la protección de la infancia en línea;</w:t>
      </w:r>
    </w:p>
    <w:p w14:paraId="5A89AB5F"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o)</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198 (Rev. Bucarest, 2022) de la Conferencia de Plenipotenciarios, sobre el empoderamiento de la juventud a través de las telecomunicaciones/TIC;</w:t>
      </w:r>
    </w:p>
    <w:p w14:paraId="6E8040F6"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p)</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200 (Rev. Bucarest, 2022) de la Conferencia de Plenipotenciarios, sobre la Agenda Conectar 2030 de las telecomunicaciones/TIC, incluida la banda ancha, para el desarrollo sostenible;</w:t>
      </w:r>
    </w:p>
    <w:p w14:paraId="49491B52"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q)</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Opinión 3 (Ginebra, 2021) del Foro Mundial de Política de Telecomunicaciones/TIC, sobre la alfabetización y las competencias digitales para un acceso inclusivo;</w:t>
      </w:r>
    </w:p>
    <w:p w14:paraId="14A9FFA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r)</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77 (Rev. Bakú, 2025) de la CMDT, sobre tecnología y aplicaciones de banda ancha para un mayor crecimiento y desarrollo de los servicios de telecomunicaciones/tecnologías de la información y la comunicación y la conectividad de banda ancha,</w:t>
      </w:r>
    </w:p>
    <w:p w14:paraId="58C205A8" w14:textId="77777777" w:rsidR="00081E04" w:rsidRPr="00234542" w:rsidRDefault="00081E04" w:rsidP="00234542">
      <w:pPr>
        <w:pStyle w:val="Call"/>
      </w:pPr>
      <w:r w:rsidRPr="00234542">
        <w:t>considerando</w:t>
      </w:r>
    </w:p>
    <w:p w14:paraId="265FE343"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a)</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que el logro de una conectividad universal y significativa exige centrarse en factores propiciadores fundamentales, </w:t>
      </w:r>
      <w:r w:rsidRPr="0052117D">
        <w:rPr>
          <w:rFonts w:asciiTheme="minorHAnsi" w:eastAsiaTheme="minorEastAsia" w:hAnsiTheme="minorHAnsi" w:cstheme="minorHAnsi"/>
          <w:i/>
          <w:iCs/>
          <w:noProof/>
          <w:szCs w:val="24"/>
          <w:lang w:eastAsia="zh-CN"/>
        </w:rPr>
        <w:t>inter alia</w:t>
      </w:r>
      <w:r w:rsidRPr="0052117D">
        <w:rPr>
          <w:rFonts w:asciiTheme="minorHAnsi" w:eastAsiaTheme="minorEastAsia" w:hAnsiTheme="minorHAnsi" w:cstheme="minorHAnsi"/>
          <w:noProof/>
          <w:szCs w:val="24"/>
          <w:lang w:eastAsia="zh-CN"/>
        </w:rPr>
        <w:t>, las infraestructuras, la asequibilidad, los dispositivos, las competencias y la alfabetización digitales, la confianza de los usuarios en la utilización de las telecomunicaciones/TIC y unos marcos normativos y reglamentarios basados en datos empíricos;</w:t>
      </w:r>
    </w:p>
    <w:p w14:paraId="479E4407"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b)</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el acceso universal a las competencias digitales esenciales dota de autonomía a las personas y las comunidades, en particular a las mujeres, las personas de edad, las personas con discapacidad y las comunidades insuficientemente atendidas, al proporcionarles los conocimientos necesarios para prosperar en el mundo digital y la accesibilidad, al fomentar la inclusión, al reducir la brecha digital, al crear oportunidades económicas y al posibilitar una participación más amplia y el progreso social en la era digital;</w:t>
      </w:r>
    </w:p>
    <w:p w14:paraId="1DA48D5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c)</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la UIT desempeña una función importante en la conexión de quienes carecen de conexión y en la promoción del empoderamiento de la mujer, en particular mediante la educación y las carreras profesionales en las disciplinas de ciencia, tecnología, ingeniería y matemáticas (STEM), a través de iniciativas tales como Girls in ICT (Las niñas en las TIC);</w:t>
      </w:r>
    </w:p>
    <w:p w14:paraId="4CCF49C7"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d)</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el acceso equitativo y asequible de todos a las aplicaciones de telecomunicaciones/TIC crea oportunidades de empleo e iniciativas empresariales, en particular para las mujeres y los grupos y comunidades marginados e insuficientemente atendidos;</w:t>
      </w:r>
    </w:p>
    <w:p w14:paraId="474E24D8" w14:textId="77777777" w:rsidR="00081E04" w:rsidRPr="0011605B"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pacing w:val="-2"/>
          <w:szCs w:val="24"/>
          <w:lang w:eastAsia="zh-CN"/>
        </w:rPr>
      </w:pPr>
      <w:r w:rsidRPr="0011605B">
        <w:rPr>
          <w:rFonts w:asciiTheme="minorHAnsi" w:eastAsiaTheme="minorEastAsia" w:hAnsiTheme="minorHAnsi" w:cstheme="minorHAnsi"/>
          <w:i/>
          <w:noProof/>
          <w:spacing w:val="-2"/>
          <w:szCs w:val="24"/>
          <w:lang w:eastAsia="zh-CN"/>
        </w:rPr>
        <w:t>e)</w:t>
      </w:r>
      <w:r w:rsidRPr="0011605B">
        <w:rPr>
          <w:rFonts w:asciiTheme="minorHAnsi" w:eastAsiaTheme="minorEastAsia" w:hAnsiTheme="minorHAnsi" w:cstheme="minorHAnsi"/>
          <w:i/>
          <w:noProof/>
          <w:spacing w:val="-2"/>
          <w:szCs w:val="24"/>
          <w:lang w:eastAsia="zh-CN"/>
        </w:rPr>
        <w:tab/>
      </w:r>
      <w:r w:rsidRPr="0011605B">
        <w:rPr>
          <w:rFonts w:asciiTheme="minorHAnsi" w:eastAsiaTheme="minorEastAsia" w:hAnsiTheme="minorHAnsi" w:cstheme="minorHAnsi"/>
          <w:noProof/>
          <w:spacing w:val="-2"/>
          <w:szCs w:val="24"/>
          <w:lang w:eastAsia="zh-CN"/>
        </w:rPr>
        <w:t>que las aplicaciones y servicios de telecomunicaciones/TIC mejoran la conectividad social y el acceso de todos a servicios vitales, con la consiguiente mejora de la calidad de vida; que posibilitan la comunicación en tiempo real y colman las carencias existentes para los grupos y comunidades marginados e insuficientemente atendidos, garantizando una participación inclusiva en la era digital;</w:t>
      </w:r>
    </w:p>
    <w:p w14:paraId="1BE84C3C"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f)</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que el acceso equitativo y asequible de todos a las telecomunicaciones/TIC resulta esencial para el desarrollo político, económico, social y cultural, puesto que desempeña una función </w:t>
      </w:r>
      <w:r w:rsidRPr="0052117D">
        <w:rPr>
          <w:rFonts w:asciiTheme="minorHAnsi" w:eastAsiaTheme="minorEastAsia" w:hAnsiTheme="minorHAnsi" w:cstheme="minorHAnsi"/>
          <w:noProof/>
          <w:szCs w:val="24"/>
          <w:lang w:eastAsia="zh-CN"/>
        </w:rPr>
        <w:lastRenderedPageBreak/>
        <w:t>importante en la reducción de la pobreza, la creación de empleo y la protección del medio ambiente, incluidas la prevención y la atenuación de las catástrofes naturales y de otra índole;</w:t>
      </w:r>
    </w:p>
    <w:p w14:paraId="39C16480"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g)</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la brecha digital es un fenómeno multidimensional y dinámico, que varía no solo entre países, sino también dentro de ellos, y genera necesidades distintas en función de los contextos geográfico, social, económico, demográfico y lingüístico, los cuales difieren según las condiciones específicas del país o la región;</w:t>
      </w:r>
    </w:p>
    <w:p w14:paraId="4B396003"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pacing w:val="-2"/>
          <w:szCs w:val="24"/>
          <w:lang w:eastAsia="zh-CN"/>
        </w:rPr>
      </w:pPr>
      <w:r w:rsidRPr="0052117D">
        <w:rPr>
          <w:rFonts w:asciiTheme="minorHAnsi" w:eastAsiaTheme="minorEastAsia" w:hAnsiTheme="minorHAnsi" w:cstheme="minorHAnsi"/>
          <w:i/>
          <w:noProof/>
          <w:spacing w:val="-2"/>
          <w:szCs w:val="24"/>
          <w:lang w:eastAsia="zh-CN"/>
        </w:rPr>
        <w:t>h)</w:t>
      </w:r>
      <w:r w:rsidRPr="0052117D">
        <w:rPr>
          <w:rFonts w:asciiTheme="minorHAnsi" w:eastAsiaTheme="minorEastAsia" w:hAnsiTheme="minorHAnsi" w:cstheme="minorHAnsi"/>
          <w:i/>
          <w:noProof/>
          <w:spacing w:val="-2"/>
          <w:szCs w:val="24"/>
          <w:lang w:eastAsia="zh-CN"/>
        </w:rPr>
        <w:tab/>
      </w:r>
      <w:r w:rsidRPr="0052117D">
        <w:rPr>
          <w:rFonts w:asciiTheme="minorHAnsi" w:eastAsiaTheme="minorEastAsia" w:hAnsiTheme="minorHAnsi" w:cstheme="minorHAnsi"/>
          <w:noProof/>
          <w:spacing w:val="-2"/>
          <w:szCs w:val="24"/>
          <w:lang w:eastAsia="zh-CN"/>
        </w:rPr>
        <w:t>que unas medidas normativas ineficaces o carentes de seguimiento pueden ampliar involuntariamente la brecha digital,</w:t>
      </w:r>
    </w:p>
    <w:p w14:paraId="732520F0" w14:textId="77777777" w:rsidR="00081E04" w:rsidRPr="00234542" w:rsidRDefault="00081E04" w:rsidP="00234542">
      <w:pPr>
        <w:pStyle w:val="Call"/>
      </w:pPr>
      <w:r w:rsidRPr="00234542">
        <w:t>reconociendo</w:t>
      </w:r>
    </w:p>
    <w:p w14:paraId="726D8CD2"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a)</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sin acceso a herramientas de identificación fiables en la era digital, las personas podrían enfrentarse a obstáculos considerables para utilizar las telecomunicaciones/TIC con el fin de acceder a servicios esenciales, tales como los de salud, educación y servicios financieros, lo que podría agravar la brecha digital;</w:t>
      </w:r>
    </w:p>
    <w:p w14:paraId="6FC05B62"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b)</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numerosas personas, en particular en las zonas rurales y de bajos ingresos, siguen careciendo de acceso asequible a Internet y a los servicios de telecomunicaciones/TIC;</w:t>
      </w:r>
    </w:p>
    <w:p w14:paraId="417EAB9F" w14:textId="77777777" w:rsidR="00081E04" w:rsidRPr="0052117D" w:rsidRDefault="00081E04" w:rsidP="00081E04">
      <w:pPr>
        <w:jc w:val="both"/>
        <w:rPr>
          <w:rFonts w:eastAsiaTheme="minorEastAsia"/>
          <w:noProof/>
          <w:lang w:eastAsia="zh-CN"/>
        </w:rPr>
      </w:pPr>
      <w:r w:rsidRPr="0052117D">
        <w:rPr>
          <w:rFonts w:eastAsiaTheme="minorEastAsia"/>
          <w:i/>
          <w:noProof/>
          <w:lang w:eastAsia="zh-CN"/>
        </w:rPr>
        <w:t>c)</w:t>
      </w:r>
      <w:r w:rsidRPr="0052117D">
        <w:rPr>
          <w:rFonts w:eastAsiaTheme="minorEastAsia"/>
          <w:i/>
          <w:noProof/>
          <w:lang w:eastAsia="zh-CN"/>
        </w:rPr>
        <w:tab/>
      </w:r>
      <w:r w:rsidRPr="0052117D">
        <w:rPr>
          <w:rFonts w:eastAsiaTheme="minorEastAsia"/>
          <w:noProof/>
          <w:lang w:eastAsia="zh-CN"/>
        </w:rPr>
        <w:t>que persisten las brechas de competencias digitales, en particular en el caso de las mujeres, las personas con discapacidad y las personas de edad, especialmente en las zonas rurales y remotas, que disponen de un acceso limitado a la formación debido a desigualdades estructurales; que es menos probable que las mujeres estén conectadas o posean competencias digitales adecuadas para el mundo laboral, mientras que las personas de edad presentan niveles de competencia variables, condicionados por la educación y los ingresos; y que dotar a los niños y los jóvenes de competencias digitales resulta vital para reducir las brechas digitales;</w:t>
      </w:r>
    </w:p>
    <w:p w14:paraId="338AD7B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d)</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las normas sociales y los estereotipos limitan la capacidad de las mujeres, las niñas, las personas con discapacidad y las personas de edad para beneficiarse plenamente de la transformación digital;</w:t>
      </w:r>
    </w:p>
    <w:p w14:paraId="70816E7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e)</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la sociedad civil desempeña una función inestimable a la hora de llegar a las comunidades no atendidas e insuficientemente atendidas, fomentando la confianza pública e impulsando la participación comunitaria en las iniciativas de inclusión digital;</w:t>
      </w:r>
    </w:p>
    <w:p w14:paraId="30781B9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f)</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que entre las personas sin conexión figuran quienes residen en zonas que carecen de acceso a infraestructuras de telecomunicaciones/TIC adecuadas, así como un número considerablemente mayor de personas que viven en zonas ya cubiertas por dichas infraestructuras pero que no las utilizan debido a obstáculos tales como, </w:t>
      </w:r>
      <w:r w:rsidRPr="0052117D">
        <w:rPr>
          <w:rFonts w:asciiTheme="minorHAnsi" w:eastAsiaTheme="minorEastAsia" w:hAnsiTheme="minorHAnsi" w:cstheme="minorHAnsi"/>
          <w:i/>
          <w:iCs/>
          <w:noProof/>
          <w:szCs w:val="24"/>
          <w:lang w:eastAsia="zh-CN"/>
        </w:rPr>
        <w:t>inter alia</w:t>
      </w:r>
      <w:r w:rsidRPr="0052117D">
        <w:rPr>
          <w:rFonts w:asciiTheme="minorHAnsi" w:eastAsiaTheme="minorEastAsia" w:hAnsiTheme="minorHAnsi" w:cstheme="minorHAnsi"/>
          <w:noProof/>
          <w:szCs w:val="24"/>
          <w:lang w:eastAsia="zh-CN"/>
        </w:rPr>
        <w:t>, la asequibilidad y la falta de competencias digitales;</w:t>
      </w:r>
    </w:p>
    <w:p w14:paraId="0AC7E8B2"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g)</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la aceleración del despliegue de la banda ancha constituye un reto considerable, especialmente en las zonas de difícil acceso, rurales y remotas, donde la topografía y la demografía dificultan el rendimiento de las inversiones;</w:t>
      </w:r>
    </w:p>
    <w:p w14:paraId="3236B0E8"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h)</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los países en desarrollo siguen enfrentándose a obstáculos particulares y singulares para lograr una conectividad universal y significativa, entre ellos el aislamiento geográfico, la reducida dimensión del mercado, la limitada anchura de banda internacional y la vulnerabilidad frente a las catástrofes naturales, factor este último que incrementa los costos de infraestructura y desvía recursos ya escasos de la inversión a largo plazo en las TIC;</w:t>
      </w:r>
    </w:p>
    <w:p w14:paraId="772D8F9E"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lastRenderedPageBreak/>
        <w:t>i)</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para los PEID y otros países costeros, la conectividad en entornos marítimos resulta vital para salvaguardar vidas, respaldar las actividades económicas y promover el desarrollo sostenible, especialmente en el caso de las comunidades marítimas vulnerables;</w:t>
      </w:r>
    </w:p>
    <w:p w14:paraId="29EB8A5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j)</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es necesario establecer asociaciones con una amplia gama de partes interesadas, entre ellas los gobiernos, el sector privado, la sociedad civil, la comunidad técnica y las instituciones académicas, con objeto de abordar las brechas digitales;</w:t>
      </w:r>
    </w:p>
    <w:p w14:paraId="4C274C2D"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k)</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la reducción de la brecha digital para todos los países y todas las personas resulta esencial para alcanzar los Objetivos de Desarrollo Sostenible (ODS) y aplicar el Pacto Digital Global (PDG), especialmente en el caso de las mujeres y las niñas, los jóvenes, los pueblos indígenas, las personas de edad, las personas con discapacidad y las personas con necesidades específicas;</w:t>
      </w:r>
    </w:p>
    <w:p w14:paraId="1AA23E0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l)</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la movilización de las telecomunicaciones/TIC nuevas e incipientes puede desempeñar funciones cruciales en la mejora de la conectividad universal y significativa, el impulso de la innovación y el apoyo a un crecimiento inclusivo, posibilitando soluciones más inteligentes y una mayor accesibilidad en todos los sectores, teniendo en cuenta al mismo tiempo las necesidades específicas de las zonas insuficientemente atendidas y de los grupos marginados;</w:t>
      </w:r>
    </w:p>
    <w:p w14:paraId="5D31762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m)</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las tecnologías nuevas e incipientes, incluida la IA, pueden desempeñar asimismo una función crucial en la mejora de las telecomunicaciones/TIC y de la conectividad universal y significativa, lo que impulsa la innovación y respalda un crecimiento inclusivo, posibilitando soluciones más inteligentes y una mayor accesibilidad en todos los sectores;</w:t>
      </w:r>
    </w:p>
    <w:p w14:paraId="4D8F263D"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n)</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que el rápido desarrollo de las telecomunicaciones/TIC nuevas e incipientes y de las tecnologías nuevas e incipientes incide en la evolución de la brecha digital, y que los países en desarrollo se enfrentan a retos especiales para aprovechar las oportunidades conexas,</w:t>
      </w:r>
    </w:p>
    <w:p w14:paraId="07BACB1B" w14:textId="77777777" w:rsidR="00081E04" w:rsidRPr="00234542" w:rsidRDefault="00081E04" w:rsidP="00234542">
      <w:pPr>
        <w:pStyle w:val="Call"/>
      </w:pPr>
      <w:r w:rsidRPr="00234542">
        <w:t>opina</w:t>
      </w:r>
    </w:p>
    <w:p w14:paraId="240E6F3A"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w:t>
      </w:r>
      <w:r w:rsidRPr="0052117D">
        <w:rPr>
          <w:rFonts w:asciiTheme="minorHAnsi" w:eastAsiaTheme="minorEastAsia" w:hAnsiTheme="minorHAnsi" w:cstheme="minorHAnsi"/>
          <w:noProof/>
          <w:szCs w:val="24"/>
          <w:lang w:eastAsia="zh-CN"/>
        </w:rPr>
        <w:tab/>
        <w:t>que una infraestructura pública digital resiliente, segura, inclusiva e interfuncional facilita la conectividad universal y significativa y promueve la inclusión social y financiera;</w:t>
      </w:r>
    </w:p>
    <w:p w14:paraId="58CDC22F" w14:textId="77777777" w:rsidR="00081E04" w:rsidRPr="0052117D" w:rsidRDefault="00081E04" w:rsidP="00081E04">
      <w:pPr>
        <w:jc w:val="both"/>
        <w:rPr>
          <w:rFonts w:eastAsiaTheme="minorEastAsia"/>
          <w:noProof/>
          <w:lang w:eastAsia="zh-CN"/>
        </w:rPr>
      </w:pPr>
      <w:r w:rsidRPr="0052117D">
        <w:rPr>
          <w:rFonts w:eastAsiaTheme="minorEastAsia"/>
          <w:noProof/>
          <w:lang w:eastAsia="zh-CN"/>
        </w:rPr>
        <w:t>2</w:t>
      </w:r>
      <w:r w:rsidRPr="0052117D">
        <w:rPr>
          <w:rFonts w:eastAsiaTheme="minorEastAsia"/>
          <w:noProof/>
          <w:lang w:eastAsia="zh-CN"/>
        </w:rPr>
        <w:tab/>
        <w:t>que se alienta a los gobiernos a dar prioridad a las inversiones destinadas a extender las infraestructuras de banda ancha más recientes a las zonas no atendidas e insuficientemente atendidas, a fin de garantizar el acceso universal a Internet de alta velocidad a un precio asequible; que, al mejorar las infraestructuras y actualizar las reglamentaciones, dichas inversiones contribuyen a reducir la brecha digital, lo que permite que un mayor número de personas participe en la economía digital, acceda a servicios esenciales y mejore su calidad de vida;</w:t>
      </w:r>
    </w:p>
    <w:p w14:paraId="689F752A" w14:textId="23D7C07A"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3</w:t>
      </w:r>
      <w:r w:rsidRPr="0052117D">
        <w:rPr>
          <w:rFonts w:asciiTheme="minorHAnsi" w:eastAsiaTheme="minorEastAsia" w:hAnsiTheme="minorHAnsi" w:cstheme="minorHAnsi"/>
          <w:noProof/>
          <w:szCs w:val="24"/>
          <w:lang w:eastAsia="zh-CN"/>
        </w:rPr>
        <w:tab/>
        <w:t>que la ejecución de programas específicos de alfabetización digital y de formación en competencias digitales puede contribuir a colmar la brecha de competencias y a superar los obstáculos a la adopción y utilización de Internet, en particular en el caso de las mujeres, las personas con discapacidad, los jóvenes y las personas de edad; que dichos programas de alfabetización y competencias digitales podrán tener por objeto dotar a las personas de las competencias esenciales para utilizar de manera eficaz las aplicaciones y servicios de telecomunicaciones/TIC; que dichos programas podrán abarcar competencias informáticas y otras competencias digitales, así como la sensibilización en materia de ciberseguridad; y que entre las ventajas de esos programas figuran una mayor empleabilidad, la inclusión social, la sensibilización en materia de ciberseguridad y el aprendizaje continuo;</w:t>
      </w:r>
    </w:p>
    <w:p w14:paraId="485EC245"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4</w:t>
      </w:r>
      <w:r w:rsidRPr="0052117D">
        <w:rPr>
          <w:rFonts w:asciiTheme="minorHAnsi" w:eastAsiaTheme="minorEastAsia" w:hAnsiTheme="minorHAnsi" w:cstheme="minorHAnsi"/>
          <w:noProof/>
          <w:szCs w:val="24"/>
          <w:lang w:eastAsia="zh-CN"/>
        </w:rPr>
        <w:tab/>
        <w:t xml:space="preserve">que la elaboración de políticas que promuevan la igualdad de las comunidades que se enfrentan a obstáculos sistémicos y que respalden la inclusión de los grupos marginados de la </w:t>
      </w:r>
      <w:r w:rsidRPr="0052117D">
        <w:rPr>
          <w:rFonts w:asciiTheme="minorHAnsi" w:eastAsiaTheme="minorEastAsia" w:hAnsiTheme="minorHAnsi" w:cstheme="minorHAnsi"/>
          <w:noProof/>
          <w:szCs w:val="24"/>
          <w:lang w:eastAsia="zh-CN"/>
        </w:rPr>
        <w:lastRenderedPageBreak/>
        <w:t>sociedad en la economía digital puede contribuir a superar los obstáculos culturales; que dichas políticas deberían comprender el acceso equitativo y asequible de todos a la tecnología, programas específicos de alfabetización digital, las carreras profesionales en las disciplinas STEM para las mujeres y una tecnología accesible para las personas de edad;</w:t>
      </w:r>
    </w:p>
    <w:p w14:paraId="764FAE20"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5</w:t>
      </w:r>
      <w:r w:rsidRPr="0052117D">
        <w:rPr>
          <w:rFonts w:asciiTheme="minorHAnsi" w:eastAsiaTheme="minorEastAsia" w:hAnsiTheme="minorHAnsi" w:cstheme="minorHAnsi"/>
          <w:noProof/>
          <w:szCs w:val="24"/>
          <w:lang w:eastAsia="zh-CN"/>
        </w:rPr>
        <w:tab/>
        <w:t>que las competencias digitales pueden contribuir a movilizar las aplicaciones y servicios de telecomunicaciones/TIC en favor del desarrollo sostenible;</w:t>
      </w:r>
    </w:p>
    <w:p w14:paraId="69D7F264"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6</w:t>
      </w:r>
      <w:r w:rsidRPr="0052117D">
        <w:rPr>
          <w:rFonts w:asciiTheme="minorHAnsi" w:eastAsiaTheme="minorEastAsia" w:hAnsiTheme="minorHAnsi" w:cstheme="minorHAnsi"/>
          <w:noProof/>
          <w:szCs w:val="24"/>
          <w:lang w:eastAsia="zh-CN"/>
        </w:rPr>
        <w:tab/>
        <w:t xml:space="preserve">que la sociedad civil y los grupos comunitarios pueden aportar una contribución importante al apoyo a los grupos marginados de la sociedad, </w:t>
      </w:r>
      <w:r w:rsidRPr="0052117D">
        <w:rPr>
          <w:rFonts w:asciiTheme="minorHAnsi" w:eastAsiaTheme="minorEastAsia" w:hAnsiTheme="minorHAnsi" w:cstheme="minorHAnsi"/>
          <w:i/>
          <w:iCs/>
          <w:noProof/>
          <w:szCs w:val="24"/>
          <w:lang w:eastAsia="zh-CN"/>
        </w:rPr>
        <w:t>inter alia</w:t>
      </w:r>
      <w:r w:rsidRPr="0052117D">
        <w:rPr>
          <w:rFonts w:asciiTheme="minorHAnsi" w:eastAsiaTheme="minorEastAsia" w:hAnsiTheme="minorHAnsi" w:cstheme="minorHAnsi"/>
          <w:noProof/>
          <w:szCs w:val="24"/>
          <w:lang w:eastAsia="zh-CN"/>
        </w:rPr>
        <w:t xml:space="preserve"> las mujeres y las personas de edad, en el acceso a las telecomunicaciones/TIC y su utilización;</w:t>
      </w:r>
    </w:p>
    <w:p w14:paraId="1C7ACE68"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7</w:t>
      </w:r>
      <w:r w:rsidRPr="0052117D">
        <w:rPr>
          <w:rFonts w:asciiTheme="minorHAnsi" w:eastAsiaTheme="minorEastAsia" w:hAnsiTheme="minorHAnsi" w:cstheme="minorHAnsi"/>
          <w:noProof/>
          <w:szCs w:val="24"/>
          <w:lang w:eastAsia="zh-CN"/>
        </w:rPr>
        <w:tab/>
        <w:t>que las partes interesadas deberían colaborar para avanzar hacia el acceso universal a Internet de alta velocidad;</w:t>
      </w:r>
    </w:p>
    <w:p w14:paraId="2E4D2AB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8</w:t>
      </w:r>
      <w:r w:rsidRPr="0052117D">
        <w:rPr>
          <w:rFonts w:asciiTheme="minorHAnsi" w:eastAsiaTheme="minorEastAsia" w:hAnsiTheme="minorHAnsi" w:cstheme="minorHAnsi"/>
          <w:noProof/>
          <w:szCs w:val="24"/>
          <w:lang w:eastAsia="zh-CN"/>
        </w:rPr>
        <w:tab/>
        <w:t>que la UIT, en el marco de su mandato, debería seguir colaborando estrechamente con otros organismos de las Naciones Unidas, organizaciones internacionales y demás partes interesadas en lo relativo a la conectividad y a la reducción de las brechas digitales, en particular en las cuestiones relacionadas con el género y la edad;</w:t>
      </w:r>
    </w:p>
    <w:p w14:paraId="616CC4DC"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9</w:t>
      </w:r>
      <w:r w:rsidRPr="0052117D">
        <w:rPr>
          <w:rFonts w:asciiTheme="minorHAnsi" w:eastAsiaTheme="minorEastAsia" w:hAnsiTheme="minorHAnsi" w:cstheme="minorHAnsi"/>
          <w:noProof/>
          <w:szCs w:val="24"/>
          <w:lang w:eastAsia="zh-CN"/>
        </w:rPr>
        <w:tab/>
        <w:t>que los enfoques inclusivos en materia de reglamentación y gobernanza, tales como las hojas de ruta hacia la conectividad universal elaboradas por múltiples partes interesadas y las estrategias reglamentarias de base comunitaria, resultan esenciales para garantizar una respuesta adecuada a las necesidades de las poblaciones insuficientemente atendidas;</w:t>
      </w:r>
    </w:p>
    <w:p w14:paraId="24C91AF8"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10</w:t>
      </w:r>
      <w:r w:rsidRPr="0052117D">
        <w:rPr>
          <w:rFonts w:asciiTheme="minorHAnsi" w:eastAsiaTheme="minorEastAsia" w:hAnsiTheme="minorHAnsi" w:cstheme="minorHAnsi"/>
          <w:noProof/>
          <w:szCs w:val="24"/>
          <w:lang w:eastAsia="zh-CN"/>
        </w:rPr>
        <w:tab/>
        <w:t>que los gobiernos que emprendan transformaciones digitales mediante la adopción de servicios y tecnologías de telecomunicaciones/TIC nuevos e incipientes deberían tener en cuenta asimismo las necesidades de accesibilidad, así como las consideraciones relativas a la edad y al género;</w:t>
      </w:r>
    </w:p>
    <w:p w14:paraId="521C56E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11</w:t>
      </w:r>
      <w:r w:rsidRPr="0052117D">
        <w:rPr>
          <w:rFonts w:asciiTheme="minorHAnsi" w:eastAsiaTheme="minorEastAsia" w:hAnsiTheme="minorHAnsi" w:cstheme="minorHAnsi"/>
          <w:noProof/>
          <w:szCs w:val="24"/>
          <w:lang w:eastAsia="zh-CN"/>
        </w:rPr>
        <w:tab/>
        <w:t>que las colaboraciones entre los gobiernos, el sector privado y la sociedad civil pueden impulsar iniciativas destinadas a proporcionar un acceso digital asequible; que las asociaciones público-privadas (APP) pueden movilizar las fortalezas de los organismos públicos, las empresas privadas y la sociedad civil con objeto de proporcionar acceso y formación digitales asequibles; que dichas colaboraciones podrán comportar la puesta en común de recursos, la combinación de la innovación tecnológica con el apoyo reglamentario y la ampliación eficaz de la escala de las iniciativas; y que los incentivos al sector privado, así como unas políticas y reglamentaciones favorables y actualizadas, pueden reforzar aún más la eficacia de las APP en la reducción de la brecha digital;</w:t>
      </w:r>
    </w:p>
    <w:p w14:paraId="243F190A"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12</w:t>
      </w:r>
      <w:r w:rsidRPr="0052117D">
        <w:rPr>
          <w:rFonts w:asciiTheme="minorHAnsi" w:eastAsiaTheme="minorEastAsia" w:hAnsiTheme="minorHAnsi" w:cstheme="minorHAnsi"/>
          <w:noProof/>
          <w:szCs w:val="24"/>
          <w:lang w:eastAsia="zh-CN"/>
        </w:rPr>
        <w:tab/>
        <w:t>que la UIT desempeña una función esencial en la reducción de la brecha digital al facilitar la interfuncionalidad y la interconexión y al maximizar la conectividad mundial de las redes y servicios de telecomunicaciones;</w:t>
      </w:r>
    </w:p>
    <w:p w14:paraId="23B059C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13</w:t>
      </w:r>
      <w:r w:rsidRPr="0052117D">
        <w:rPr>
          <w:rFonts w:asciiTheme="minorHAnsi" w:eastAsiaTheme="minorEastAsia" w:hAnsiTheme="minorHAnsi" w:cstheme="minorHAnsi"/>
          <w:noProof/>
          <w:szCs w:val="24"/>
          <w:lang w:eastAsia="zh-CN"/>
        </w:rPr>
        <w:tab/>
        <w:t>que resulta urgente reducir las brechas digitales entre los países y dentro de ellos, y que la colaboración internacional, por ejemplo en materia de creación de capacidad, reviste importancia para dichos esfuerzos;</w:t>
      </w:r>
    </w:p>
    <w:p w14:paraId="3F718D53" w14:textId="15E129AC"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14</w:t>
      </w:r>
      <w:r w:rsidRPr="0052117D">
        <w:rPr>
          <w:rFonts w:asciiTheme="minorHAnsi" w:eastAsiaTheme="minorEastAsia" w:hAnsiTheme="minorHAnsi" w:cstheme="minorHAnsi"/>
          <w:noProof/>
          <w:szCs w:val="24"/>
          <w:lang w:eastAsia="zh-CN"/>
        </w:rPr>
        <w:tab/>
        <w:t>que la promoción de aplicaciones, servicios y herramientas de telecomunicaciones/TIC</w:t>
      </w:r>
      <w:r w:rsidRPr="0052117D">
        <w:rPr>
          <w:rFonts w:asciiTheme="minorHAnsi" w:eastAsiaTheme="minorEastAsia" w:hAnsiTheme="minorHAnsi" w:cstheme="minorHAnsi"/>
          <w:szCs w:val="24"/>
        </w:rPr>
        <w:t xml:space="preserve"> asequibles, accesibles e inclusivos </w:t>
      </w:r>
      <w:r w:rsidRPr="0052117D">
        <w:rPr>
          <w:rFonts w:asciiTheme="minorHAnsi" w:eastAsiaTheme="minorEastAsia" w:hAnsiTheme="minorHAnsi" w:cstheme="minorHAnsi"/>
          <w:noProof/>
          <w:szCs w:val="24"/>
          <w:lang w:eastAsia="zh-CN"/>
        </w:rPr>
        <w:t>para los jóvenes, las personas de edad y las personas con discapacidad resulta crucial, al igual que la consideración de sus necesidades durante la transformación digital;</w:t>
      </w:r>
    </w:p>
    <w:p w14:paraId="0247750F"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lastRenderedPageBreak/>
        <w:t>15</w:t>
      </w:r>
      <w:r w:rsidRPr="0052117D">
        <w:rPr>
          <w:rFonts w:asciiTheme="minorHAnsi" w:eastAsiaTheme="minorEastAsia" w:hAnsiTheme="minorHAnsi" w:cstheme="minorHAnsi"/>
          <w:noProof/>
          <w:szCs w:val="24"/>
          <w:lang w:eastAsia="zh-CN"/>
        </w:rPr>
        <w:tab/>
        <w:t xml:space="preserve">que </w:t>
      </w:r>
      <w:r w:rsidRPr="0052117D">
        <w:rPr>
          <w:rFonts w:asciiTheme="minorHAnsi" w:eastAsiaTheme="minorEastAsia" w:hAnsiTheme="minorHAnsi" w:cstheme="minorHAnsi"/>
          <w:szCs w:val="24"/>
        </w:rPr>
        <w:t xml:space="preserve">es importante formular </w:t>
      </w:r>
      <w:r w:rsidRPr="0052117D">
        <w:rPr>
          <w:rFonts w:asciiTheme="minorHAnsi" w:eastAsiaTheme="minorEastAsia" w:hAnsiTheme="minorHAnsi" w:cstheme="minorHAnsi"/>
          <w:noProof/>
          <w:szCs w:val="24"/>
          <w:lang w:eastAsia="zh-CN"/>
        </w:rPr>
        <w:t>estrategias de inclusión digital basadas en datos desglosados y en análisis localizados, con objeto de determinar los grupos digitalmente excluidos en cada país o región;</w:t>
      </w:r>
    </w:p>
    <w:p w14:paraId="0A62740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16</w:t>
      </w:r>
      <w:r w:rsidRPr="0052117D">
        <w:rPr>
          <w:rFonts w:asciiTheme="minorHAnsi" w:eastAsiaTheme="minorEastAsia" w:hAnsiTheme="minorHAnsi" w:cstheme="minorHAnsi"/>
          <w:noProof/>
          <w:szCs w:val="24"/>
          <w:lang w:eastAsia="zh-CN"/>
        </w:rPr>
        <w:tab/>
        <w:t>que los responsables políticos deberían ir más allá de la concepción reglamentaria y velar por que se establezcan mecanismos que permitan observar la aplicación efectiva y la repercusión de las reglamentaciones a lo largo del tiempo, mediante mecanismos tales como la auditoría independiente, la presentación periódica de informes y los circuitos de retroalimentación comunitaria,</w:t>
      </w:r>
    </w:p>
    <w:p w14:paraId="7E08FCA4" w14:textId="77777777" w:rsidR="00081E04" w:rsidRPr="00234542" w:rsidRDefault="00081E04" w:rsidP="00234542">
      <w:pPr>
        <w:pStyle w:val="Call"/>
      </w:pPr>
      <w:r w:rsidRPr="00234542">
        <w:t>invita a los Estados Miembros</w:t>
      </w:r>
    </w:p>
    <w:p w14:paraId="39D10BD7"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w:t>
      </w:r>
      <w:r w:rsidRPr="0052117D">
        <w:rPr>
          <w:rFonts w:asciiTheme="minorHAnsi" w:eastAsiaTheme="minorEastAsia" w:hAnsiTheme="minorHAnsi" w:cstheme="minorHAnsi"/>
          <w:noProof/>
          <w:szCs w:val="24"/>
          <w:lang w:eastAsia="zh-CN"/>
        </w:rPr>
        <w:tab/>
        <w:t>a considerar la posibilidad de establecer redes y aplicaciones de telecomunicaciones/TIC resilientes, seguras, inclusivas e interfuncionales, incluidas las que posibilitan la infraestructura pública digital, adaptadas a los contextos nacionales, que faciliten la conectividad universal y significativa y reduzcan las brechas digitales;</w:t>
      </w:r>
    </w:p>
    <w:p w14:paraId="23C013CB" w14:textId="77777777" w:rsidR="00081E04" w:rsidRPr="0011605B"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bCs/>
          <w:spacing w:val="-2"/>
          <w:szCs w:val="24"/>
          <w:shd w:val="clear" w:color="auto" w:fill="F2DBDB" w:themeFill="accent2" w:themeFillTint="33"/>
          <w:lang w:eastAsia="zh-CN"/>
        </w:rPr>
      </w:pPr>
      <w:r w:rsidRPr="0011605B">
        <w:rPr>
          <w:rFonts w:asciiTheme="minorHAnsi" w:eastAsiaTheme="minorEastAsia" w:hAnsiTheme="minorHAnsi" w:cstheme="minorHAnsi"/>
          <w:bCs/>
          <w:spacing w:val="-2"/>
          <w:szCs w:val="24"/>
          <w:lang w:eastAsia="zh-CN"/>
        </w:rPr>
        <w:t>2</w:t>
      </w:r>
      <w:r w:rsidRPr="0011605B">
        <w:rPr>
          <w:rFonts w:asciiTheme="minorHAnsi" w:eastAsiaTheme="minorEastAsia" w:hAnsiTheme="minorHAnsi" w:cstheme="minorHAnsi"/>
          <w:bCs/>
          <w:spacing w:val="-2"/>
          <w:szCs w:val="24"/>
          <w:lang w:eastAsia="zh-CN"/>
        </w:rPr>
        <w:tab/>
      </w:r>
      <w:r w:rsidRPr="0011605B">
        <w:rPr>
          <w:rFonts w:asciiTheme="minorHAnsi" w:eastAsiaTheme="minorEastAsia" w:hAnsiTheme="minorHAnsi" w:cstheme="minorHAnsi"/>
          <w:noProof/>
          <w:spacing w:val="-2"/>
          <w:szCs w:val="24"/>
          <w:lang w:eastAsia="zh-CN"/>
        </w:rPr>
        <w:t>a seguir examinando y, cuando proceda, revisando el alcance de los marcos normativos y reglamentarios pertinentes, y a considerar la creación de entornos propicios a las inversiones destinadas a extender las tecnologías móviles más recientes, tales como las IMT-2020, las infraestructuras espaciales y otras infraestructuras de banda ancha, a las zonas no atendidas e insuficientemente atendidas, incluidas las zonas rurales, remotas y marítimas, en beneficio de las comunidades respectivas; y a proporcionar incentivos a los operadores de telecomunicaciones para que ofrezcan servicios móviles y de banda ancha en las zonas insuficientemente atendidas y no atendidas;</w:t>
      </w:r>
    </w:p>
    <w:p w14:paraId="1AC420AD" w14:textId="77777777" w:rsidR="00081E04" w:rsidRPr="0011605B"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pacing w:val="-2"/>
          <w:szCs w:val="24"/>
          <w:lang w:eastAsia="zh-CN"/>
        </w:rPr>
      </w:pPr>
      <w:r w:rsidRPr="0011605B">
        <w:rPr>
          <w:rFonts w:asciiTheme="minorHAnsi" w:eastAsiaTheme="minorEastAsia" w:hAnsiTheme="minorHAnsi" w:cstheme="minorHAnsi"/>
          <w:noProof/>
          <w:spacing w:val="-2"/>
          <w:szCs w:val="24"/>
          <w:lang w:eastAsia="zh-CN"/>
        </w:rPr>
        <w:t>3</w:t>
      </w:r>
      <w:r w:rsidRPr="0011605B">
        <w:rPr>
          <w:rFonts w:asciiTheme="minorHAnsi" w:eastAsiaTheme="minorEastAsia" w:hAnsiTheme="minorHAnsi" w:cstheme="minorHAnsi"/>
          <w:noProof/>
          <w:spacing w:val="-2"/>
          <w:szCs w:val="24"/>
          <w:lang w:eastAsia="zh-CN"/>
        </w:rPr>
        <w:tab/>
        <w:t xml:space="preserve">a elaborar políticas inclusivas que promuevan el acceso </w:t>
      </w:r>
      <w:r w:rsidRPr="0011605B">
        <w:rPr>
          <w:rFonts w:asciiTheme="minorHAnsi" w:eastAsiaTheme="minorEastAsia" w:hAnsiTheme="minorHAnsi" w:cstheme="minorHAnsi"/>
          <w:spacing w:val="-2"/>
          <w:szCs w:val="24"/>
        </w:rPr>
        <w:t>equitativo y asequible</w:t>
      </w:r>
      <w:r w:rsidRPr="0011605B">
        <w:rPr>
          <w:rFonts w:asciiTheme="minorHAnsi" w:eastAsiaTheme="minorEastAsia" w:hAnsiTheme="minorHAnsi" w:cstheme="minorHAnsi"/>
          <w:noProof/>
          <w:spacing w:val="-2"/>
          <w:szCs w:val="24"/>
          <w:lang w:eastAsia="zh-CN"/>
        </w:rPr>
        <w:t xml:space="preserve"> </w:t>
      </w:r>
      <w:r w:rsidRPr="0011605B">
        <w:rPr>
          <w:rFonts w:asciiTheme="minorHAnsi" w:eastAsiaTheme="minorEastAsia" w:hAnsiTheme="minorHAnsi" w:cstheme="minorHAnsi"/>
          <w:spacing w:val="-2"/>
          <w:szCs w:val="24"/>
        </w:rPr>
        <w:t>de todos</w:t>
      </w:r>
      <w:r w:rsidRPr="0011605B">
        <w:rPr>
          <w:rFonts w:asciiTheme="minorHAnsi" w:eastAsiaTheme="minorEastAsia" w:hAnsiTheme="minorHAnsi" w:cstheme="minorHAnsi"/>
          <w:noProof/>
          <w:spacing w:val="-2"/>
          <w:szCs w:val="24"/>
          <w:lang w:eastAsia="zh-CN"/>
        </w:rPr>
        <w:t>, la igualdad de género, y que respalden la inclusión digital de las personas de edad y las personas con discapacidad abordando los obstáculos culturales, estructurales y de accesibilidad; que dichos esfuerzos deberían reconocer y tener en cuenta la diversidad nacional y regional, garantizar el acceso de todos a la tecnología, ofrecer programas específicos de alfabetización digital, alentar la participación de las mujeres en las disciplinas STEM y dar prioridad al diseño de tecnologías accesibles para las personas de edad y las personas con discapacidad; y que, asimismo, se alienta a los Estados a incorporar las consideraciones relativas al género y a la edad en las estrategias en materia de TIC, STEM y telecomunicaciones, a fin de construir un mundo digital más inclusivo y equitativo;</w:t>
      </w:r>
    </w:p>
    <w:p w14:paraId="71263CB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4</w:t>
      </w:r>
      <w:r w:rsidRPr="0052117D">
        <w:rPr>
          <w:rFonts w:asciiTheme="minorHAnsi" w:eastAsiaTheme="minorEastAsia" w:hAnsiTheme="minorHAnsi" w:cstheme="minorHAnsi"/>
          <w:noProof/>
          <w:szCs w:val="24"/>
          <w:lang w:eastAsia="zh-CN"/>
        </w:rPr>
        <w:tab/>
        <w:t>a respaldar la investigación sobre los obstáculos al acceso a las telecomunicaciones/TIC y a la utilización significativa de Internet, prestando especial atención a las consideraciones relativas al género y a la edad;</w:t>
      </w:r>
    </w:p>
    <w:p w14:paraId="62F48808"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5</w:t>
      </w:r>
      <w:r w:rsidRPr="0052117D">
        <w:rPr>
          <w:rFonts w:asciiTheme="minorHAnsi" w:eastAsiaTheme="minorEastAsia" w:hAnsiTheme="minorHAnsi" w:cstheme="minorHAnsi"/>
          <w:noProof/>
          <w:szCs w:val="24"/>
          <w:lang w:eastAsia="zh-CN"/>
        </w:rPr>
        <w:tab/>
        <w:t>a recopilar datos de alta calidad, desglosados por género, edad, ubicación geográfica, condición socioeconómica, acceso a Internet y su utilización, y participación en el sector de las telecomunicaciones/TIC, a fin de posibilitar la medición de la brecha digital y fundamentar respuestas normativas y programas de desarrollo inclusivos;</w:t>
      </w:r>
    </w:p>
    <w:p w14:paraId="5A137A70"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6</w:t>
      </w:r>
      <w:r w:rsidRPr="0052117D">
        <w:rPr>
          <w:rFonts w:asciiTheme="minorHAnsi" w:eastAsiaTheme="minorEastAsia" w:hAnsiTheme="minorHAnsi" w:cstheme="minorHAnsi"/>
          <w:noProof/>
          <w:szCs w:val="24"/>
          <w:lang w:eastAsia="zh-CN"/>
        </w:rPr>
        <w:tab/>
        <w:t>a colaborar con las partes interesadas del sector privado, la sociedad civil, la comunidad técnica y las instituciones académicas para estudiar la mejor manera de ampliar la conectividad significativa y asequible y las oportunidades de empleo en las telecomunicaciones/TIC, impartir competencias digitales y colmar la brecha digital de género;</w:t>
      </w:r>
    </w:p>
    <w:p w14:paraId="384D0B3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7</w:t>
      </w:r>
      <w:r w:rsidRPr="0052117D">
        <w:rPr>
          <w:rFonts w:asciiTheme="minorHAnsi" w:eastAsiaTheme="minorEastAsia" w:hAnsiTheme="minorHAnsi" w:cstheme="minorHAnsi"/>
          <w:noProof/>
          <w:szCs w:val="24"/>
          <w:lang w:eastAsia="zh-CN"/>
        </w:rPr>
        <w:tab/>
        <w:t xml:space="preserve">a adoptar estrategias regionales, locales y nacionales, en consulta con las partes interesadas, para hacer frente a las brechas digitales garantizando la conectividad para todos y </w:t>
      </w:r>
      <w:r w:rsidRPr="0052117D">
        <w:rPr>
          <w:rFonts w:asciiTheme="minorHAnsi" w:eastAsiaTheme="minorEastAsia" w:hAnsiTheme="minorHAnsi" w:cstheme="minorHAnsi"/>
          <w:noProof/>
          <w:szCs w:val="24"/>
          <w:lang w:eastAsia="zh-CN"/>
        </w:rPr>
        <w:lastRenderedPageBreak/>
        <w:t>promoviendo soluciones digitales adecuadas al contexto y pertinentes a escala local, que atiendan las necesidades específicas de las comunidades y los grupos vulnerables y que estimulen la demanda y la inversión en infraestructuras digitales;</w:t>
      </w:r>
    </w:p>
    <w:p w14:paraId="7EB4A987"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8</w:t>
      </w:r>
      <w:r w:rsidRPr="0052117D">
        <w:rPr>
          <w:rFonts w:asciiTheme="minorHAnsi" w:eastAsiaTheme="minorEastAsia" w:hAnsiTheme="minorHAnsi" w:cstheme="minorHAnsi"/>
          <w:noProof/>
          <w:szCs w:val="24"/>
          <w:lang w:eastAsia="zh-CN"/>
        </w:rPr>
        <w:tab/>
        <w:t>a promover y reforzar las políticas, programas y mecanismos de alfabetización y competencias digitales, y a integrar enfoques con perspectiva de género en las políticas, estrategias y marcos reglamentarios nacionales en materia de TIC, con objeto de contribuir a reducir las brechas digitales y garantizar el acceso equitativo y asequible de todos, el desarrollo de competencias y la participación significativa de las mujeres y las niñas en la economía digital, incluso mediante una participación activa en los foros de colaboración regionales y mundiales;</w:t>
      </w:r>
    </w:p>
    <w:p w14:paraId="73D88ABD"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9</w:t>
      </w:r>
      <w:r w:rsidRPr="0052117D">
        <w:rPr>
          <w:rFonts w:asciiTheme="minorHAnsi" w:eastAsiaTheme="minorEastAsia" w:hAnsiTheme="minorHAnsi" w:cstheme="minorHAnsi"/>
          <w:noProof/>
          <w:szCs w:val="24"/>
          <w:lang w:eastAsia="zh-CN"/>
        </w:rPr>
        <w:tab/>
        <w:t>a considerar la posibilidad de determinar las carencias existentes en los planes de estudio de competencias digitales en la educación, la formación de aprendices y otros programas de desarrollo de competencias laborales para jóvenes y adultos, y a estudiar métodos adecuados para subsanar dichas carencias, tales como los mecanismos de financiación, promoviendo al mismo tiempo itinerarios profesionales y programas de tutoría acordes con las futuras necesidades de la mano de obra y con las telecomunicaciones/TIC incipientes;</w:t>
      </w:r>
    </w:p>
    <w:p w14:paraId="554F67AD"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10</w:t>
      </w:r>
      <w:r w:rsidRPr="0052117D">
        <w:rPr>
          <w:rFonts w:asciiTheme="minorHAnsi" w:eastAsiaTheme="minorEastAsia" w:hAnsiTheme="minorHAnsi" w:cstheme="minorHAnsi"/>
          <w:noProof/>
          <w:szCs w:val="24"/>
          <w:lang w:eastAsia="zh-CN"/>
        </w:rPr>
        <w:tab/>
        <w:t>a considerar la posibilidad de adoptar medidas normativas y reglamentarias que faciliten el despliegue de infraestructuras de telecomunicaciones/TIC y su compartición, especialmente en las zonas rurales y aisladas;</w:t>
      </w:r>
    </w:p>
    <w:p w14:paraId="62492AC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11</w:t>
      </w:r>
      <w:r w:rsidRPr="0052117D">
        <w:rPr>
          <w:rFonts w:asciiTheme="minorHAnsi" w:eastAsiaTheme="minorEastAsia" w:hAnsiTheme="minorHAnsi" w:cstheme="minorHAnsi"/>
          <w:noProof/>
          <w:szCs w:val="24"/>
          <w:lang w:eastAsia="zh-CN"/>
        </w:rPr>
        <w:tab/>
        <w:t>a crear un entorno propicio al despliegue y la adopción de las telecomunicaciones/TIC nuevas e incipientes, movilizando su potencial para reducir las brechas digitales;</w:t>
      </w:r>
    </w:p>
    <w:p w14:paraId="2BFB8A82"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12</w:t>
      </w:r>
      <w:r w:rsidRPr="0052117D">
        <w:rPr>
          <w:rFonts w:asciiTheme="minorHAnsi" w:eastAsiaTheme="minorEastAsia" w:hAnsiTheme="minorHAnsi" w:cstheme="minorHAnsi"/>
          <w:noProof/>
          <w:szCs w:val="24"/>
          <w:lang w:eastAsia="zh-CN"/>
        </w:rPr>
        <w:tab/>
        <w:t>a intensificar la cooperación internacional, en particular mediante la creación de capacidad y el intercambio de prácticas idóneas, con objeto de ayudar a los países en desarrollo a movilizar las tecnologías nuevas e incipientes para mejorar las telecomunicaciones/TIC y hacer frente a los retos polifacéticos relacionados con las brechas digitales;</w:t>
      </w:r>
    </w:p>
    <w:p w14:paraId="6BFD721E"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13</w:t>
      </w:r>
      <w:r w:rsidRPr="0052117D">
        <w:rPr>
          <w:rFonts w:asciiTheme="minorHAnsi" w:eastAsiaTheme="minorEastAsia" w:hAnsiTheme="minorHAnsi" w:cstheme="minorHAnsi"/>
          <w:noProof/>
          <w:szCs w:val="24"/>
          <w:lang w:eastAsia="zh-CN"/>
        </w:rPr>
        <w:tab/>
        <w:t>a establecer políticas, estrategias y normas, y a ofrecer cursos de formación y orientaciones, con miras a mejorar las competencias y la alfabetización digitales de los niños, garantizando al mismo tiempo su protección en línea;</w:t>
      </w:r>
    </w:p>
    <w:p w14:paraId="750FE16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14</w:t>
      </w:r>
      <w:r w:rsidRPr="0052117D">
        <w:rPr>
          <w:rFonts w:asciiTheme="minorHAnsi" w:eastAsiaTheme="minorEastAsia" w:hAnsiTheme="minorHAnsi" w:cstheme="minorHAnsi"/>
          <w:noProof/>
          <w:szCs w:val="24"/>
          <w:lang w:eastAsia="zh-CN"/>
        </w:rPr>
        <w:tab/>
        <w:t>a elaborar planes y políticas que apliquen tecnologías y productos de telecomunicaciones/TIC que respondan a las necesidades de las personas de edad y las personas con discapacidad, creando un entorno accesible y adaptado a la edad;</w:t>
      </w:r>
    </w:p>
    <w:p w14:paraId="7D46496F"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15</w:t>
      </w:r>
      <w:r w:rsidRPr="0052117D">
        <w:rPr>
          <w:rFonts w:asciiTheme="minorHAnsi" w:eastAsiaTheme="minorEastAsia" w:hAnsiTheme="minorHAnsi" w:cstheme="minorHAnsi"/>
          <w:noProof/>
          <w:szCs w:val="24"/>
          <w:lang w:eastAsia="zh-CN"/>
        </w:rPr>
        <w:tab/>
        <w:t>a seguir aplicando políticas que faciliten el despliegue no discriminatorio de las telecomunicaciones/TIC nuevas e incipientes, asequibles y accesibles para todos, proporcionando incentivos para promover las infraestructuras y los servicios de telecomunicaciones/TIC en las zonas no atendidas e insuficientemente atendidas;</w:t>
      </w:r>
    </w:p>
    <w:p w14:paraId="0C7C29A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pacing w:val="-2"/>
          <w:szCs w:val="24"/>
          <w:lang w:eastAsia="zh-CN"/>
        </w:rPr>
      </w:pPr>
      <w:r w:rsidRPr="0052117D">
        <w:rPr>
          <w:rFonts w:asciiTheme="minorHAnsi" w:eastAsiaTheme="minorEastAsia" w:hAnsiTheme="minorHAnsi" w:cstheme="minorHAnsi"/>
          <w:noProof/>
          <w:spacing w:val="-2"/>
          <w:szCs w:val="24"/>
          <w:lang w:eastAsia="zh-CN"/>
        </w:rPr>
        <w:t>16</w:t>
      </w:r>
      <w:r w:rsidRPr="0052117D">
        <w:rPr>
          <w:rFonts w:asciiTheme="minorHAnsi" w:eastAsiaTheme="minorEastAsia" w:hAnsiTheme="minorHAnsi" w:cstheme="minorHAnsi"/>
          <w:noProof/>
          <w:spacing w:val="-2"/>
          <w:szCs w:val="24"/>
          <w:lang w:eastAsia="zh-CN"/>
        </w:rPr>
        <w:tab/>
        <w:t>a reforzar las asociaciones entre los gobiernos y las partes interesadas del sector privado, la sociedad civil, la comunidad técnica, las instituciones académicas y los asociados para el desarrollo, con objeto de garantizar una coordinación eficaz de las intervenciones en materia de desarrollo de competencias, ampliar la conectividad significativa y asequible y las oportunidades de empleo en el sector de las telecomunicaciones/TIC, impartir competencias digitales, colmar la brecha digital de género y garantizar que todos los grupos de la sociedad dispongan de un acceso equitativo a la formación, la educación y el empleo en el ámbito de las telecomunicaciones/TIC, como medio de reducir las brechas digitales;</w:t>
      </w:r>
    </w:p>
    <w:p w14:paraId="1255B42C"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lastRenderedPageBreak/>
        <w:t>17</w:t>
      </w:r>
      <w:r w:rsidRPr="0052117D">
        <w:rPr>
          <w:rFonts w:asciiTheme="minorHAnsi" w:eastAsiaTheme="minorEastAsia" w:hAnsiTheme="minorHAnsi" w:cstheme="minorHAnsi"/>
          <w:noProof/>
          <w:szCs w:val="24"/>
          <w:lang w:eastAsia="zh-CN"/>
        </w:rPr>
        <w:tab/>
        <w:t>a considerar la posibilidad de adoptar políticas que aborden los requisitos en materia de competencias especializadas en las telecomunicaciones/TIC nuevas e incipientes y en las tecnologías nuevas e incipientes;</w:t>
      </w:r>
    </w:p>
    <w:p w14:paraId="7CEDB5AD"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52117D">
        <w:rPr>
          <w:rFonts w:asciiTheme="minorHAnsi" w:eastAsiaTheme="minorEastAsia" w:hAnsiTheme="minorHAnsi" w:cstheme="minorHAnsi"/>
          <w:szCs w:val="24"/>
        </w:rPr>
        <w:t>18</w:t>
      </w:r>
      <w:r w:rsidRPr="0052117D">
        <w:rPr>
          <w:rFonts w:asciiTheme="minorHAnsi" w:eastAsiaTheme="minorEastAsia" w:hAnsiTheme="minorHAnsi" w:cstheme="minorHAnsi"/>
          <w:szCs w:val="24"/>
        </w:rPr>
        <w:tab/>
      </w:r>
      <w:r w:rsidRPr="0052117D">
        <w:rPr>
          <w:rFonts w:asciiTheme="minorHAnsi" w:eastAsiaTheme="minorEastAsia" w:hAnsiTheme="minorHAnsi" w:cstheme="minorHAnsi"/>
          <w:noProof/>
          <w:szCs w:val="24"/>
          <w:lang w:eastAsia="zh-CN"/>
        </w:rPr>
        <w:t>a promover el reciclado y la redistribución de dispositivos entre las comunidades digitalmente excluidas;</w:t>
      </w:r>
    </w:p>
    <w:p w14:paraId="465FA8CE"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19</w:t>
      </w:r>
      <w:r w:rsidRPr="0052117D">
        <w:rPr>
          <w:rFonts w:asciiTheme="minorHAnsi" w:eastAsiaTheme="minorEastAsia" w:hAnsiTheme="minorHAnsi" w:cstheme="minorHAnsi"/>
          <w:noProof/>
          <w:szCs w:val="24"/>
          <w:lang w:eastAsia="zh-CN"/>
        </w:rPr>
        <w:tab/>
        <w:t>a promover las infraestructuras de telecomunicaciones/TIC y las redes y sistemas de banda ancha, en particular en las zonas remotas e insuficientemente atendidas, incluso mediante redes y soluciones de acceso complementarias, con arreglo a las reglamentaciones nacionales;</w:t>
      </w:r>
    </w:p>
    <w:p w14:paraId="5EDBC385"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20</w:t>
      </w:r>
      <w:r w:rsidRPr="0052117D">
        <w:rPr>
          <w:rFonts w:asciiTheme="minorHAnsi" w:eastAsiaTheme="minorEastAsia" w:hAnsiTheme="minorHAnsi" w:cstheme="minorHAnsi"/>
          <w:noProof/>
          <w:szCs w:val="24"/>
          <w:lang w:eastAsia="zh-CN"/>
        </w:rPr>
        <w:tab/>
        <w:t>a perfeccionar las competencias de los trabajadores de los sectores público y privado para que presten servicios digitales inclusivos, incluida la formación en competencias, con objeto de reforzar las iniciativas de inclusión digital a escala comunitaria, incluida la formación en competencias digitales;</w:t>
      </w:r>
    </w:p>
    <w:p w14:paraId="2FE8B99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21</w:t>
      </w:r>
      <w:r w:rsidRPr="0052117D">
        <w:rPr>
          <w:rFonts w:asciiTheme="minorHAnsi" w:eastAsiaTheme="minorEastAsia" w:hAnsiTheme="minorHAnsi" w:cstheme="minorHAnsi"/>
          <w:noProof/>
          <w:szCs w:val="24"/>
          <w:lang w:eastAsia="zh-CN"/>
        </w:rPr>
        <w:tab/>
        <w:t>a alentar a los responsables políticos y a los reguladores a adoptar modelos de gobernanza adaptativos, aplicar un seguimiento basado en los resultados y promover una elaboración de políticas fundamentada en la aportación de las comunidades, con miras a reducir la brecha digital,</w:t>
      </w:r>
    </w:p>
    <w:p w14:paraId="0E25458E" w14:textId="77777777" w:rsidR="00081E04" w:rsidRPr="00234542" w:rsidRDefault="00081E04" w:rsidP="00234542">
      <w:pPr>
        <w:pStyle w:val="Call"/>
      </w:pPr>
      <w:r w:rsidRPr="00234542">
        <w:t>invita a la Secretaria General</w:t>
      </w:r>
    </w:p>
    <w:p w14:paraId="46EA0EAF"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1</w:t>
      </w:r>
      <w:r w:rsidRPr="0052117D">
        <w:rPr>
          <w:rFonts w:asciiTheme="minorHAnsi" w:eastAsiaTheme="minorEastAsia" w:hAnsiTheme="minorHAnsi" w:cstheme="minorHAnsi"/>
          <w:noProof/>
          <w:szCs w:val="24"/>
          <w:lang w:eastAsia="zh-CN"/>
        </w:rPr>
        <w:tab/>
        <w:t>a seguir reforzando los esfuerzos de la UIT, en el marco de su mandato y en colaboración con los Estados Miembros, las partes interesadas y las organizaciones asociadas, para reducir las brechas digitales, en particular las relativas al género, la edad, las competencias y la conectividad, garantizando al mismo tiempo que las iniciativas respondan a las circunstancias específicas de los países en desarrollo, en consonancia con los datos y las conclusiones de la UIT sobre la conectividad universal y significativa;</w:t>
      </w:r>
    </w:p>
    <w:p w14:paraId="1C422EF6"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noProof/>
          <w:szCs w:val="24"/>
          <w:lang w:eastAsia="zh-CN"/>
        </w:rPr>
        <w:t>2</w:t>
      </w:r>
      <w:r w:rsidRPr="0052117D">
        <w:rPr>
          <w:rFonts w:asciiTheme="minorHAnsi" w:eastAsiaTheme="minorEastAsia" w:hAnsiTheme="minorHAnsi" w:cstheme="minorHAnsi"/>
          <w:noProof/>
          <w:szCs w:val="24"/>
          <w:lang w:eastAsia="zh-CN"/>
        </w:rPr>
        <w:tab/>
        <w:t>a contribuir a facilitar y compartir prácticas idóneas, directrices y conjuntos de herramientas entre los Estados Miembros en desarrollo, con miras a integrar las consideraciones relativas a la igualdad de género en las políticas y estrategias en materia de TIC.</w:t>
      </w:r>
    </w:p>
    <w:p w14:paraId="32104F9C"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asciiTheme="minorHAnsi" w:hAnsiTheme="minorHAnsi" w:cstheme="minorHAnsi"/>
          <w:b/>
          <w:sz w:val="22"/>
          <w:szCs w:val="22"/>
        </w:rPr>
      </w:pPr>
      <w:r w:rsidRPr="0052117D">
        <w:rPr>
          <w:rFonts w:asciiTheme="minorHAnsi" w:hAnsiTheme="minorHAnsi" w:cstheme="minorHAnsi"/>
          <w:b/>
          <w:sz w:val="22"/>
          <w:szCs w:val="22"/>
        </w:rPr>
        <w:br w:type="page"/>
      </w:r>
    </w:p>
    <w:p w14:paraId="36CAEF03" w14:textId="77777777" w:rsidR="00081E04" w:rsidRPr="0052117D" w:rsidRDefault="00081E04" w:rsidP="00081E04">
      <w:pPr>
        <w:pStyle w:val="OpNo"/>
        <w:rPr>
          <w:lang w:val="es-ES_tradnl"/>
        </w:rPr>
      </w:pPr>
      <w:r w:rsidRPr="0052117D">
        <w:rPr>
          <w:lang w:val="es-ES_tradnl"/>
        </w:rPr>
        <w:lastRenderedPageBreak/>
        <w:t>PROYECTO DE OPINIÓN 2</w:t>
      </w:r>
    </w:p>
    <w:p w14:paraId="224009AD" w14:textId="208C817A" w:rsidR="00081E04" w:rsidRPr="0052117D" w:rsidRDefault="00081E04" w:rsidP="00081E04">
      <w:pPr>
        <w:pStyle w:val="Optitle0"/>
        <w:rPr>
          <w:lang w:val="es-ES_tradnl"/>
        </w:rPr>
      </w:pPr>
      <w:r w:rsidRPr="0052117D">
        <w:rPr>
          <w:lang w:val="es-ES_tradnl"/>
        </w:rPr>
        <w:t xml:space="preserve">La transformación digital ecológica: el cambio climático y </w:t>
      </w:r>
      <w:r w:rsidR="0011605B">
        <w:rPr>
          <w:lang w:val="es-ES_tradnl"/>
        </w:rPr>
        <w:br/>
      </w:r>
      <w:r w:rsidRPr="0052117D">
        <w:rPr>
          <w:lang w:val="es-ES_tradnl"/>
        </w:rPr>
        <w:t>la sostenibilidad medioambiental</w:t>
      </w:r>
    </w:p>
    <w:p w14:paraId="0DC0058C" w14:textId="77777777" w:rsidR="00081E04" w:rsidRPr="007115E6" w:rsidRDefault="00081E04" w:rsidP="007115E6">
      <w:pPr>
        <w:pStyle w:val="Normalaftertitle"/>
      </w:pPr>
      <w:r w:rsidRPr="007115E6">
        <w:t>El séptimo Foro Mundial de Política de Telecomunicaciones/TIC (Nassau, 2026),</w:t>
      </w:r>
    </w:p>
    <w:p w14:paraId="1AA17B37" w14:textId="77777777" w:rsidR="00081E04" w:rsidRPr="00234542" w:rsidRDefault="00081E04" w:rsidP="00234542">
      <w:pPr>
        <w:pStyle w:val="Call"/>
      </w:pPr>
      <w:r w:rsidRPr="00234542">
        <w:t>recordando</w:t>
      </w:r>
    </w:p>
    <w:p w14:paraId="4000BF07" w14:textId="78673183"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a)</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70/1 de la Asamblea General de las Naciones Unidas (AGNU), </w:t>
      </w:r>
      <w:r w:rsidRPr="0052117D">
        <w:rPr>
          <w:rFonts w:asciiTheme="minorHAnsi" w:eastAsiaTheme="minorEastAsia" w:hAnsiTheme="minorHAnsi" w:cstheme="minorHAnsi"/>
          <w:i/>
          <w:noProof/>
          <w:szCs w:val="24"/>
          <w:lang w:eastAsia="zh-CN"/>
        </w:rPr>
        <w:t>Transformar nuestro mundo: la Agenda 2030 para el Desarrollo Sostenible</w:t>
      </w:r>
      <w:r w:rsidRPr="0052117D">
        <w:rPr>
          <w:rFonts w:asciiTheme="minorHAnsi" w:eastAsiaTheme="minorEastAsia" w:hAnsiTheme="minorHAnsi" w:cstheme="minorHAnsi"/>
          <w:noProof/>
          <w:szCs w:val="24"/>
          <w:lang w:eastAsia="zh-CN"/>
        </w:rPr>
        <w:t xml:space="preserve">, en particular los Objetivos de Desarrollo Sostenible 12, </w:t>
      </w:r>
      <w:r w:rsidR="00387BBE">
        <w:rPr>
          <w:rFonts w:asciiTheme="minorHAnsi" w:eastAsiaTheme="minorEastAsia" w:hAnsiTheme="minorHAnsi" w:cstheme="minorHAnsi"/>
          <w:noProof/>
          <w:szCs w:val="24"/>
          <w:lang w:eastAsia="zh-CN"/>
        </w:rPr>
        <w:t>de gara</w:t>
      </w:r>
      <w:r w:rsidR="001006D5">
        <w:rPr>
          <w:rFonts w:asciiTheme="minorHAnsi" w:eastAsiaTheme="minorEastAsia" w:hAnsiTheme="minorHAnsi" w:cstheme="minorHAnsi"/>
          <w:noProof/>
          <w:szCs w:val="24"/>
          <w:lang w:eastAsia="zh-CN"/>
        </w:rPr>
        <w:t>nti</w:t>
      </w:r>
      <w:r w:rsidR="00387BBE">
        <w:rPr>
          <w:rFonts w:asciiTheme="minorHAnsi" w:eastAsiaTheme="minorEastAsia" w:hAnsiTheme="minorHAnsi" w:cstheme="minorHAnsi"/>
          <w:noProof/>
          <w:szCs w:val="24"/>
          <w:lang w:eastAsia="zh-CN"/>
        </w:rPr>
        <w:t>zar modalidades de consumo y producción sostenibles</w:t>
      </w:r>
      <w:r w:rsidRPr="0052117D">
        <w:rPr>
          <w:rFonts w:asciiTheme="minorHAnsi" w:eastAsiaTheme="minorEastAsia" w:hAnsiTheme="minorHAnsi" w:cstheme="minorHAnsi"/>
          <w:noProof/>
          <w:szCs w:val="24"/>
          <w:lang w:eastAsia="zh-CN"/>
        </w:rPr>
        <w:t xml:space="preserve">, y 13, </w:t>
      </w:r>
      <w:r w:rsidR="00387BBE">
        <w:rPr>
          <w:rFonts w:asciiTheme="minorHAnsi" w:eastAsiaTheme="minorEastAsia" w:hAnsiTheme="minorHAnsi" w:cstheme="minorHAnsi"/>
          <w:noProof/>
          <w:szCs w:val="24"/>
          <w:lang w:eastAsia="zh-CN"/>
        </w:rPr>
        <w:t>de adoptar medidas urgentes para combatir el cambio climático</w:t>
      </w:r>
      <w:r w:rsidRPr="0052117D">
        <w:rPr>
          <w:rFonts w:asciiTheme="minorHAnsi" w:eastAsiaTheme="minorEastAsia" w:hAnsiTheme="minorHAnsi" w:cstheme="minorHAnsi"/>
          <w:noProof/>
          <w:szCs w:val="24"/>
          <w:lang w:eastAsia="zh-CN"/>
        </w:rPr>
        <w:t>;</w:t>
      </w:r>
    </w:p>
    <w:p w14:paraId="77AD4568" w14:textId="29E3576B"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b)</w:t>
      </w:r>
      <w:r w:rsidRPr="0052117D">
        <w:rPr>
          <w:rFonts w:asciiTheme="minorHAnsi" w:eastAsiaTheme="minorEastAsia" w:hAnsiTheme="minorHAnsi" w:cstheme="minorHAnsi"/>
          <w:i/>
          <w:noProof/>
          <w:szCs w:val="24"/>
          <w:lang w:eastAsia="zh-CN"/>
        </w:rPr>
        <w:tab/>
      </w:r>
      <w:r w:rsidRPr="0052117D">
        <w:rPr>
          <w:rFonts w:asciiTheme="minorHAnsi" w:hAnsiTheme="minorHAnsi" w:cstheme="minorHAnsi"/>
          <w:szCs w:val="24"/>
        </w:rPr>
        <w:t xml:space="preserve">la Resolución 80/173 de la </w:t>
      </w:r>
      <w:proofErr w:type="spellStart"/>
      <w:r w:rsidRPr="0052117D">
        <w:rPr>
          <w:rFonts w:asciiTheme="minorHAnsi" w:hAnsiTheme="minorHAnsi" w:cstheme="minorHAnsi"/>
          <w:szCs w:val="24"/>
        </w:rPr>
        <w:t>AGNU</w:t>
      </w:r>
      <w:proofErr w:type="spellEnd"/>
      <w:r w:rsidRPr="0052117D">
        <w:rPr>
          <w:rFonts w:asciiTheme="minorHAnsi" w:hAnsiTheme="minorHAnsi" w:cstheme="minorHAnsi"/>
          <w:szCs w:val="24"/>
        </w:rPr>
        <w:t>, sobre el documento final de la reunión de alto nivel sobre el examen general de la aplicación de los resultados de la Cumbre Mundial sobre la Sociedad de la Información (</w:t>
      </w:r>
      <w:proofErr w:type="spellStart"/>
      <w:r w:rsidRPr="0052117D">
        <w:rPr>
          <w:rFonts w:asciiTheme="minorHAnsi" w:hAnsiTheme="minorHAnsi" w:cstheme="minorHAnsi"/>
          <w:szCs w:val="24"/>
        </w:rPr>
        <w:t>CMSI+20</w:t>
      </w:r>
      <w:proofErr w:type="spellEnd"/>
      <w:r w:rsidRPr="0052117D">
        <w:rPr>
          <w:rFonts w:asciiTheme="minorHAnsi" w:hAnsiTheme="minorHAnsi" w:cstheme="minorHAnsi"/>
          <w:szCs w:val="24"/>
        </w:rPr>
        <w:t>);</w:t>
      </w:r>
    </w:p>
    <w:p w14:paraId="4D4CAD2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c)</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182 (Rev. Bucarest, 2022) de la Conferencia de Plenipotenciarios, sobre el papel de las telecomunicaciones/tecnologías de la información y la comunicación (TIC) en el cambio climático y la protección del medio ambiente;</w:t>
      </w:r>
    </w:p>
    <w:p w14:paraId="119A98B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d)</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1429 del Consejo de la UIT, adoptada en su reunión de 2024, sobre la función de la UIT en la facilitación de la contribución de las TIC a la sostenibilidad y a la acción por el clima;</w:t>
      </w:r>
    </w:p>
    <w:p w14:paraId="72E07FA3"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e)</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73 (Rev. Nueva Delhi, 2024) de la Asamblea Mundial de Normalización de las Telecomunicaciones (AMNT), sobre las TIC, el medio ambiente, el cambio climático y la economía circular;</w:t>
      </w:r>
    </w:p>
    <w:p w14:paraId="298D790B" w14:textId="77777777" w:rsidR="00081E04" w:rsidRPr="0011605B"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pacing w:val="-2"/>
          <w:szCs w:val="24"/>
          <w:lang w:eastAsia="zh-CN"/>
        </w:rPr>
      </w:pPr>
      <w:r w:rsidRPr="0011605B">
        <w:rPr>
          <w:rFonts w:asciiTheme="minorHAnsi" w:eastAsiaTheme="minorEastAsia" w:hAnsiTheme="minorHAnsi" w:cstheme="minorHAnsi"/>
          <w:i/>
          <w:noProof/>
          <w:spacing w:val="-2"/>
          <w:szCs w:val="24"/>
          <w:lang w:eastAsia="zh-CN"/>
        </w:rPr>
        <w:t>f)</w:t>
      </w:r>
      <w:r w:rsidRPr="0011605B">
        <w:rPr>
          <w:rFonts w:asciiTheme="minorHAnsi" w:eastAsiaTheme="minorEastAsia" w:hAnsiTheme="minorHAnsi" w:cstheme="minorHAnsi"/>
          <w:i/>
          <w:noProof/>
          <w:spacing w:val="-2"/>
          <w:szCs w:val="24"/>
          <w:lang w:eastAsia="zh-CN"/>
        </w:rPr>
        <w:tab/>
      </w:r>
      <w:r w:rsidRPr="0011605B">
        <w:rPr>
          <w:rFonts w:asciiTheme="minorHAnsi" w:eastAsiaTheme="minorEastAsia" w:hAnsiTheme="minorHAnsi" w:cstheme="minorHAnsi"/>
          <w:noProof/>
          <w:spacing w:val="-2"/>
          <w:szCs w:val="24"/>
          <w:lang w:eastAsia="zh-CN"/>
        </w:rPr>
        <w:t>la Resolución 79 (Rev. Nueva Delhi, 2024) de la AMNT, sobre la función de las telecomunicaciones/TIC en el tratamiento y el control de los residuos electrónicos de equipos de telecomunicaciones y tecnologías de la información, y métodos para tratamiento de dichos residuos;</w:t>
      </w:r>
    </w:p>
    <w:p w14:paraId="336952F8" w14:textId="4D3FE77F"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g)</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66 (Rev. </w:t>
      </w:r>
      <w:r w:rsidR="00387BBE">
        <w:rPr>
          <w:rFonts w:asciiTheme="minorHAnsi" w:eastAsiaTheme="minorEastAsia" w:hAnsiTheme="minorHAnsi" w:cstheme="minorHAnsi"/>
          <w:noProof/>
          <w:szCs w:val="24"/>
          <w:lang w:eastAsia="zh-CN"/>
        </w:rPr>
        <w:t>Bak</w:t>
      </w:r>
      <w:r w:rsidR="002E0CA5">
        <w:rPr>
          <w:rFonts w:asciiTheme="minorHAnsi" w:eastAsiaTheme="minorEastAsia" w:hAnsiTheme="minorHAnsi" w:cstheme="minorHAnsi"/>
          <w:noProof/>
          <w:szCs w:val="24"/>
          <w:lang w:eastAsia="zh-CN"/>
        </w:rPr>
        <w:t>ú</w:t>
      </w:r>
      <w:r w:rsidRPr="0052117D">
        <w:rPr>
          <w:rFonts w:asciiTheme="minorHAnsi" w:eastAsiaTheme="minorEastAsia" w:hAnsiTheme="minorHAnsi" w:cstheme="minorHAnsi"/>
          <w:noProof/>
          <w:szCs w:val="24"/>
          <w:lang w:eastAsia="zh-CN"/>
        </w:rPr>
        <w:t>, 202</w:t>
      </w:r>
      <w:r w:rsidR="00387BBE">
        <w:rPr>
          <w:rFonts w:asciiTheme="minorHAnsi" w:eastAsiaTheme="minorEastAsia" w:hAnsiTheme="minorHAnsi" w:cstheme="minorHAnsi"/>
          <w:noProof/>
          <w:szCs w:val="24"/>
          <w:lang w:eastAsia="zh-CN"/>
        </w:rPr>
        <w:t>5</w:t>
      </w:r>
      <w:r w:rsidRPr="0052117D">
        <w:rPr>
          <w:rFonts w:asciiTheme="minorHAnsi" w:eastAsiaTheme="minorEastAsia" w:hAnsiTheme="minorHAnsi" w:cstheme="minorHAnsi"/>
          <w:noProof/>
          <w:szCs w:val="24"/>
          <w:lang w:eastAsia="zh-CN"/>
        </w:rPr>
        <w:t xml:space="preserve">) de la Conferencia Mundial de Desarrollo de las Telecomunicaciones, sobre las </w:t>
      </w:r>
      <w:r w:rsidR="00387BBE">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 medio ambiente, cambio climático y economía circular,</w:t>
      </w:r>
    </w:p>
    <w:p w14:paraId="6AA0C1DE" w14:textId="77777777" w:rsidR="00081E04" w:rsidRPr="00234542" w:rsidRDefault="00081E04" w:rsidP="00234542">
      <w:pPr>
        <w:pStyle w:val="Call"/>
      </w:pPr>
      <w:r w:rsidRPr="00234542">
        <w:t>destacando</w:t>
      </w:r>
    </w:p>
    <w:p w14:paraId="343A5052"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a)</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el cambio climático, la pérdida de biodiversidad y la contaminación representan retos considerables de nuestro tiempo, y que hacerles frente exige avanzar hacia el desarrollo sostenible;</w:t>
      </w:r>
    </w:p>
    <w:p w14:paraId="3C281821" w14:textId="77777777" w:rsidR="00081E04" w:rsidRPr="0052117D" w:rsidRDefault="00081E04" w:rsidP="00081E04">
      <w:pPr>
        <w:tabs>
          <w:tab w:val="clear" w:pos="1134"/>
          <w:tab w:val="clear" w:pos="1701"/>
          <w:tab w:val="clear" w:pos="2268"/>
          <w:tab w:val="clear" w:pos="2835"/>
        </w:tabs>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b)</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la limitación del calentamiento global exige reducciones rápidas, profundas y sostenidas de las emisiones mundiales de gases de efecto invernadero (GEI), en consonancia con los principios y compromisos establecidos en la Convención Marco de las Naciones Unidas sobre el Cambio Climático (</w:t>
      </w:r>
      <w:proofErr w:type="spellStart"/>
      <w:r w:rsidRPr="0052117D">
        <w:rPr>
          <w:rFonts w:asciiTheme="minorHAnsi" w:eastAsiaTheme="minorEastAsia" w:hAnsiTheme="minorHAnsi" w:cstheme="minorHAnsi"/>
          <w:szCs w:val="24"/>
          <w:lang w:eastAsia="zh-CN"/>
        </w:rPr>
        <w:t>CMNUCC</w:t>
      </w:r>
      <w:proofErr w:type="spellEnd"/>
      <w:r w:rsidRPr="0052117D">
        <w:rPr>
          <w:rFonts w:asciiTheme="minorHAnsi" w:eastAsiaTheme="minorEastAsia" w:hAnsiTheme="minorHAnsi" w:cstheme="minorHAnsi"/>
          <w:szCs w:val="24"/>
          <w:lang w:eastAsia="zh-CN"/>
        </w:rPr>
        <w:t>) y en el Acuerdo de París, a la luz de las diferentes circunstancias nacionales,</w:t>
      </w:r>
    </w:p>
    <w:p w14:paraId="6932889F" w14:textId="77777777" w:rsidR="00081E04" w:rsidRPr="00234542" w:rsidRDefault="00081E04" w:rsidP="00234542">
      <w:pPr>
        <w:pStyle w:val="Call"/>
      </w:pPr>
      <w:r w:rsidRPr="00234542">
        <w:t>teniendo en cuenta</w:t>
      </w:r>
    </w:p>
    <w:p w14:paraId="52B02569"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a)</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las telecomunicaciones/TIC contribuyen al cambio climático a lo largo de todo su ciclo de vida;</w:t>
      </w:r>
    </w:p>
    <w:p w14:paraId="4A980B54"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b)</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una transformación digital ecológica combate el cambio climático mediante el desarrollo, el despliegue y la eliminación de las telecomunicaciones/TIC de manera medioambientalmente sostenible;</w:t>
      </w:r>
    </w:p>
    <w:p w14:paraId="45F77BB8"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lastRenderedPageBreak/>
        <w:t>c)</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 xml:space="preserve">que una transformación digital ecológica reduce la huella medioambiental de las telecomunicaciones/TIC al promover la circularidad a lo largo de todo su ciclo de vida: prolongando la vida útil de los equipos, combatiendo la obsolescencia del </w:t>
      </w:r>
      <w:r w:rsidRPr="0052117D">
        <w:rPr>
          <w:rFonts w:asciiTheme="minorHAnsi" w:eastAsiaTheme="minorEastAsia" w:hAnsiTheme="minorHAnsi" w:cstheme="minorHAnsi"/>
          <w:i/>
          <w:iCs/>
          <w:szCs w:val="24"/>
          <w:lang w:eastAsia="zh-CN"/>
        </w:rPr>
        <w:t>software</w:t>
      </w:r>
      <w:r w:rsidRPr="0052117D">
        <w:rPr>
          <w:rFonts w:asciiTheme="minorHAnsi" w:eastAsiaTheme="minorEastAsia" w:hAnsiTheme="minorHAnsi" w:cstheme="minorHAnsi"/>
          <w:szCs w:val="24"/>
          <w:lang w:eastAsia="zh-CN"/>
        </w:rPr>
        <w:t>, fomentando la reparación y el reacondicionamiento de los dispositivos y mejorando la recuperación y reutilización de los recursos materiales procedentes de los residuos conexos;</w:t>
      </w:r>
    </w:p>
    <w:p w14:paraId="42521264" w14:textId="5CD9EA21"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d)</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las nuevas iniciativas normativas, tales como una transformación digital ecológica, resultan esenciales para cumplir los objetivos acordados en materia de cambio climático establecidos en el Acuerdo de París, firmado en la 21.</w:t>
      </w:r>
      <w:r w:rsidR="00E471D7">
        <w:rPr>
          <w:rFonts w:asciiTheme="minorHAnsi" w:eastAsiaTheme="minorEastAsia" w:hAnsiTheme="minorHAnsi" w:cstheme="minorHAnsi"/>
          <w:szCs w:val="24"/>
          <w:lang w:eastAsia="zh-CN"/>
        </w:rPr>
        <w:t>ª</w:t>
      </w:r>
      <w:r w:rsidRPr="0052117D">
        <w:rPr>
          <w:rFonts w:asciiTheme="minorHAnsi" w:eastAsiaTheme="minorEastAsia" w:hAnsiTheme="minorHAnsi" w:cstheme="minorHAnsi"/>
          <w:szCs w:val="24"/>
          <w:lang w:eastAsia="zh-CN"/>
        </w:rPr>
        <w:t xml:space="preserve"> Conferencia de las Naciones Unidas sobre el Cambio Climático (</w:t>
      </w:r>
      <w:proofErr w:type="spellStart"/>
      <w:r w:rsidRPr="0052117D">
        <w:rPr>
          <w:rFonts w:asciiTheme="minorHAnsi" w:eastAsiaTheme="minorEastAsia" w:hAnsiTheme="minorHAnsi" w:cstheme="minorHAnsi"/>
          <w:szCs w:val="24"/>
          <w:lang w:eastAsia="zh-CN"/>
        </w:rPr>
        <w:t>COP21</w:t>
      </w:r>
      <w:proofErr w:type="spellEnd"/>
      <w:r w:rsidRPr="0052117D">
        <w:rPr>
          <w:rFonts w:asciiTheme="minorHAnsi" w:eastAsiaTheme="minorEastAsia" w:hAnsiTheme="minorHAnsi" w:cstheme="minorHAnsi"/>
          <w:szCs w:val="24"/>
          <w:lang w:eastAsia="zh-CN"/>
        </w:rPr>
        <w:t>), habida cuenta de que el Programa de las Naciones Unidas para el Medio Ambiente señala que limitar</w:t>
      </w:r>
      <w:r w:rsidRPr="0052117D">
        <w:rPr>
          <w:rFonts w:asciiTheme="minorHAnsi" w:eastAsiaTheme="minorEastAsia" w:hAnsiTheme="minorHAnsi" w:cstheme="minorHAnsi"/>
          <w:bCs/>
          <w:szCs w:val="24"/>
          <w:lang w:eastAsia="zh-CN"/>
        </w:rPr>
        <w:t xml:space="preserve"> </w:t>
      </w:r>
      <w:r w:rsidRPr="0052117D">
        <w:rPr>
          <w:rFonts w:asciiTheme="minorHAnsi" w:eastAsiaTheme="minorEastAsia" w:hAnsiTheme="minorHAnsi" w:cstheme="minorHAnsi"/>
          <w:szCs w:val="24"/>
          <w:lang w:eastAsia="zh-CN"/>
        </w:rPr>
        <w:t>el calentamiento global a 1,5 °C resulta imposible con las contribuciones determinadas a nivel nacional actuales,</w:t>
      </w:r>
    </w:p>
    <w:p w14:paraId="61986A48" w14:textId="77777777" w:rsidR="00081E04" w:rsidRPr="00234542" w:rsidRDefault="00081E04" w:rsidP="00234542">
      <w:pPr>
        <w:pStyle w:val="Call"/>
      </w:pPr>
      <w:r w:rsidRPr="00234542">
        <w:t>considerando</w:t>
      </w:r>
    </w:p>
    <w:p w14:paraId="2F3231D6" w14:textId="77777777" w:rsidR="00081E04" w:rsidRPr="0052117D" w:rsidRDefault="00081E04" w:rsidP="00081E04">
      <w:pPr>
        <w:tabs>
          <w:tab w:val="clear" w:pos="1134"/>
          <w:tab w:val="clear" w:pos="1701"/>
          <w:tab w:val="clear" w:pos="2268"/>
          <w:tab w:val="clear" w:pos="2835"/>
        </w:tabs>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a)</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rPr>
        <w:t xml:space="preserve">el informe </w:t>
      </w:r>
      <w:r w:rsidRPr="0052117D">
        <w:rPr>
          <w:rFonts w:asciiTheme="minorHAnsi" w:eastAsiaTheme="minorEastAsia" w:hAnsiTheme="minorHAnsi" w:cstheme="minorHAnsi"/>
          <w:szCs w:val="24"/>
          <w:lang w:eastAsia="zh-CN"/>
        </w:rPr>
        <w:t xml:space="preserve">Green Digital </w:t>
      </w:r>
      <w:proofErr w:type="spellStart"/>
      <w:r w:rsidRPr="005E7270">
        <w:rPr>
          <w:rFonts w:asciiTheme="minorHAnsi" w:eastAsiaTheme="minorEastAsia" w:hAnsiTheme="minorHAnsi" w:cstheme="minorHAnsi"/>
          <w:szCs w:val="24"/>
          <w:lang w:val="es-ES" w:eastAsia="zh-CN"/>
        </w:rPr>
        <w:t>Companies</w:t>
      </w:r>
      <w:proofErr w:type="spellEnd"/>
      <w:r w:rsidRPr="0052117D">
        <w:rPr>
          <w:rFonts w:asciiTheme="minorHAnsi" w:eastAsiaTheme="minorEastAsia" w:hAnsiTheme="minorHAnsi" w:cstheme="minorHAnsi"/>
          <w:szCs w:val="24"/>
          <w:lang w:eastAsia="zh-CN"/>
        </w:rPr>
        <w:t xml:space="preserve"> (Empresas digitales ecológicas) de la UIT, elaborado con la </w:t>
      </w:r>
      <w:r w:rsidRPr="005E7270">
        <w:rPr>
          <w:rFonts w:asciiTheme="minorHAnsi" w:eastAsiaTheme="minorEastAsia" w:hAnsiTheme="minorHAnsi" w:cstheme="minorHAnsi"/>
          <w:szCs w:val="24"/>
          <w:lang w:val="es-ES" w:eastAsia="zh-CN"/>
        </w:rPr>
        <w:t>World</w:t>
      </w:r>
      <w:r w:rsidRPr="0052117D">
        <w:rPr>
          <w:rFonts w:asciiTheme="minorHAnsi" w:eastAsiaTheme="minorEastAsia" w:hAnsiTheme="minorHAnsi" w:cstheme="minorHAnsi"/>
          <w:szCs w:val="24"/>
          <w:lang w:eastAsia="zh-CN"/>
        </w:rPr>
        <w:t xml:space="preserve"> Benchmarking Alliance, en el que se revela que la carrera por desarrollar la inteligencia artificial y ampliar los centros de datos está impulsando un crecimiento sin precedentes del sector digital y alimentando un acusado aumento de las emisiones de GEI y del consumo energético;</w:t>
      </w:r>
    </w:p>
    <w:p w14:paraId="33AEA4E0" w14:textId="77777777" w:rsidR="00081E04" w:rsidRPr="0052117D" w:rsidRDefault="00081E04" w:rsidP="00081E04">
      <w:pPr>
        <w:jc w:val="both"/>
        <w:rPr>
          <w:rFonts w:asciiTheme="minorHAnsi" w:eastAsiaTheme="minorEastAsia" w:hAnsiTheme="minorHAnsi" w:cstheme="minorHAnsi"/>
          <w:spacing w:val="-2"/>
          <w:szCs w:val="24"/>
          <w:lang w:eastAsia="zh-CN"/>
        </w:rPr>
      </w:pPr>
      <w:r w:rsidRPr="0052117D">
        <w:rPr>
          <w:rFonts w:asciiTheme="minorHAnsi" w:eastAsiaTheme="minorEastAsia" w:hAnsiTheme="minorHAnsi" w:cstheme="minorHAnsi"/>
          <w:i/>
          <w:spacing w:val="-2"/>
          <w:szCs w:val="24"/>
          <w:lang w:eastAsia="zh-CN"/>
        </w:rPr>
        <w:t>b)</w:t>
      </w:r>
      <w:r w:rsidRPr="0052117D">
        <w:rPr>
          <w:rFonts w:asciiTheme="minorHAnsi" w:eastAsiaTheme="minorEastAsia" w:hAnsiTheme="minorHAnsi" w:cstheme="minorHAnsi"/>
          <w:i/>
          <w:spacing w:val="-2"/>
          <w:szCs w:val="24"/>
          <w:lang w:eastAsia="zh-CN"/>
        </w:rPr>
        <w:tab/>
      </w:r>
      <w:r w:rsidRPr="0052117D">
        <w:rPr>
          <w:rFonts w:asciiTheme="minorHAnsi" w:eastAsiaTheme="minorEastAsia" w:hAnsiTheme="minorHAnsi" w:cstheme="minorHAnsi"/>
          <w:spacing w:val="-2"/>
          <w:szCs w:val="24"/>
          <w:lang w:eastAsia="zh-CN"/>
        </w:rPr>
        <w:t xml:space="preserve">la importancia de movilizar las tecnologías digitales para alcanzar los objetivos últimos de la </w:t>
      </w:r>
      <w:proofErr w:type="spellStart"/>
      <w:r w:rsidRPr="0052117D">
        <w:rPr>
          <w:rFonts w:asciiTheme="minorHAnsi" w:eastAsiaTheme="minorEastAsia" w:hAnsiTheme="minorHAnsi" w:cstheme="minorHAnsi"/>
          <w:spacing w:val="-2"/>
          <w:szCs w:val="24"/>
          <w:lang w:eastAsia="zh-CN"/>
        </w:rPr>
        <w:t>CMNUCC</w:t>
      </w:r>
      <w:proofErr w:type="spellEnd"/>
      <w:r w:rsidRPr="0052117D">
        <w:rPr>
          <w:rFonts w:asciiTheme="minorHAnsi" w:eastAsiaTheme="minorEastAsia" w:hAnsiTheme="minorHAnsi" w:cstheme="minorHAnsi"/>
          <w:spacing w:val="-2"/>
          <w:szCs w:val="24"/>
          <w:lang w:eastAsia="zh-CN"/>
        </w:rPr>
        <w:t xml:space="preserve">, en el contexto del desarrollo sostenible, y del Acuerdo de París firmado en la </w:t>
      </w:r>
      <w:proofErr w:type="spellStart"/>
      <w:r w:rsidRPr="0052117D">
        <w:rPr>
          <w:rFonts w:asciiTheme="minorHAnsi" w:eastAsiaTheme="minorEastAsia" w:hAnsiTheme="minorHAnsi" w:cstheme="minorHAnsi"/>
          <w:spacing w:val="-2"/>
          <w:szCs w:val="24"/>
          <w:lang w:eastAsia="zh-CN"/>
        </w:rPr>
        <w:t>COP21</w:t>
      </w:r>
      <w:proofErr w:type="spellEnd"/>
      <w:r w:rsidRPr="0052117D">
        <w:rPr>
          <w:rFonts w:asciiTheme="minorHAnsi" w:eastAsiaTheme="minorEastAsia" w:hAnsiTheme="minorHAnsi" w:cstheme="minorHAnsi"/>
          <w:spacing w:val="-2"/>
          <w:szCs w:val="24"/>
          <w:lang w:eastAsia="zh-CN"/>
        </w:rPr>
        <w:t>;</w:t>
      </w:r>
    </w:p>
    <w:p w14:paraId="4DF7FFD0"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c)</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los marcos de contratación pública y los mecanismos de mercado pueden fomentar el despliegue de telecomunicaciones/TIC medioambientalmente sostenibles,</w:t>
      </w:r>
    </w:p>
    <w:p w14:paraId="3E1DB19E" w14:textId="77777777" w:rsidR="00081E04" w:rsidRPr="00234542" w:rsidRDefault="00081E04" w:rsidP="00234542">
      <w:pPr>
        <w:pStyle w:val="Call"/>
      </w:pPr>
      <w:r w:rsidRPr="00234542">
        <w:t>reconociendo</w:t>
      </w:r>
    </w:p>
    <w:p w14:paraId="1433D930"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a)</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los beneficios y perjuicios medioambientales de las telecomunicaciones/TIC no se distribuyen de manera uniforme, y que numerosos países en desarrollo padecen riesgos medioambientales derivados de los residuos electrónicos;</w:t>
      </w:r>
    </w:p>
    <w:p w14:paraId="241FB14C" w14:textId="41617DFA"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b)</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 xml:space="preserve">que, según el </w:t>
      </w:r>
      <w:r w:rsidRPr="0052117D">
        <w:rPr>
          <w:rFonts w:asciiTheme="minorHAnsi" w:eastAsiaTheme="minorEastAsia" w:hAnsiTheme="minorHAnsi" w:cstheme="minorHAnsi"/>
          <w:i/>
          <w:iCs/>
          <w:szCs w:val="24"/>
          <w:lang w:eastAsia="zh-CN"/>
        </w:rPr>
        <w:t xml:space="preserve">Digital Economy </w:t>
      </w:r>
      <w:proofErr w:type="spellStart"/>
      <w:r w:rsidRPr="0052117D">
        <w:rPr>
          <w:rFonts w:asciiTheme="minorHAnsi" w:eastAsiaTheme="minorEastAsia" w:hAnsiTheme="minorHAnsi" w:cstheme="minorHAnsi"/>
          <w:i/>
          <w:iCs/>
          <w:szCs w:val="24"/>
          <w:lang w:eastAsia="zh-CN"/>
        </w:rPr>
        <w:t>Report</w:t>
      </w:r>
      <w:proofErr w:type="spellEnd"/>
      <w:r w:rsidRPr="0052117D">
        <w:rPr>
          <w:rFonts w:asciiTheme="minorHAnsi" w:eastAsiaTheme="minorEastAsia" w:hAnsiTheme="minorHAnsi" w:cstheme="minorHAnsi"/>
          <w:i/>
          <w:iCs/>
          <w:szCs w:val="24"/>
          <w:lang w:eastAsia="zh-CN"/>
        </w:rPr>
        <w:t xml:space="preserve"> (Informe sobre la economía digital) de 2024 de las Naciones Unidas</w:t>
      </w:r>
      <w:r w:rsidRPr="0052117D">
        <w:rPr>
          <w:rFonts w:asciiTheme="minorHAnsi" w:eastAsiaTheme="minorEastAsia" w:hAnsiTheme="minorHAnsi" w:cstheme="minorHAnsi"/>
          <w:szCs w:val="24"/>
          <w:lang w:eastAsia="zh-CN"/>
        </w:rPr>
        <w:t>, en términos per cápita, los países desarrollados generaron una media de 3,25 kg de residuos relacionados con lo digital, frente a menos de 1 kg en los países en desarrollo y 0,21 kg en los países menos adelantados;</w:t>
      </w:r>
    </w:p>
    <w:p w14:paraId="6EE1868D" w14:textId="77777777" w:rsidR="00081E04" w:rsidRPr="0052117D" w:rsidRDefault="00081E04" w:rsidP="00081E04">
      <w:pPr>
        <w:jc w:val="both"/>
        <w:rPr>
          <w:rFonts w:asciiTheme="minorHAnsi" w:eastAsiaTheme="minorEastAsia" w:hAnsiTheme="minorHAnsi" w:cstheme="minorHAnsi"/>
          <w:spacing w:val="-2"/>
          <w:szCs w:val="24"/>
          <w:lang w:eastAsia="zh-CN"/>
        </w:rPr>
      </w:pPr>
      <w:r w:rsidRPr="0052117D">
        <w:rPr>
          <w:rFonts w:asciiTheme="minorHAnsi" w:eastAsiaTheme="minorEastAsia" w:hAnsiTheme="minorHAnsi" w:cstheme="minorHAnsi"/>
          <w:i/>
          <w:spacing w:val="-2"/>
          <w:szCs w:val="24"/>
          <w:lang w:eastAsia="zh-CN"/>
        </w:rPr>
        <w:t>c)</w:t>
      </w:r>
      <w:r w:rsidRPr="0052117D">
        <w:rPr>
          <w:rFonts w:asciiTheme="minorHAnsi" w:eastAsiaTheme="minorEastAsia" w:hAnsiTheme="minorHAnsi" w:cstheme="minorHAnsi"/>
          <w:i/>
          <w:spacing w:val="-2"/>
          <w:szCs w:val="24"/>
          <w:lang w:eastAsia="zh-CN"/>
        </w:rPr>
        <w:tab/>
      </w:r>
      <w:r w:rsidRPr="0052117D">
        <w:rPr>
          <w:rFonts w:asciiTheme="minorHAnsi" w:eastAsiaTheme="minorEastAsia" w:hAnsiTheme="minorHAnsi" w:cstheme="minorHAnsi"/>
          <w:spacing w:val="-2"/>
          <w:szCs w:val="24"/>
          <w:lang w:eastAsia="zh-CN"/>
        </w:rPr>
        <w:t>que las prácticas de la industria deberían promover oportunidades e incentivos para que los consumidores reutilicen, reparen y reciclen los productos TIC, con objeto de reducir los residuos electrónicos, en particular en los países en desarrollo;</w:t>
      </w:r>
    </w:p>
    <w:p w14:paraId="5CF3B62C" w14:textId="40CD815E" w:rsidR="00081E04" w:rsidRPr="0052117D" w:rsidRDefault="00081E04" w:rsidP="00081E04">
      <w:pPr>
        <w:jc w:val="both"/>
        <w:rPr>
          <w:rFonts w:asciiTheme="minorHAnsi" w:eastAsiaTheme="minorEastAsia" w:hAnsiTheme="minorHAnsi" w:cstheme="minorHAnsi"/>
          <w:szCs w:val="24"/>
        </w:rPr>
      </w:pPr>
      <w:r w:rsidRPr="0052117D">
        <w:rPr>
          <w:rFonts w:asciiTheme="minorHAnsi" w:eastAsiaTheme="minorEastAsia" w:hAnsiTheme="minorHAnsi" w:cstheme="minorHAnsi"/>
          <w:i/>
          <w:szCs w:val="24"/>
        </w:rPr>
        <w:t>d)</w:t>
      </w:r>
      <w:r w:rsidRPr="0052117D">
        <w:rPr>
          <w:rFonts w:asciiTheme="minorHAnsi" w:eastAsiaTheme="minorEastAsia" w:hAnsiTheme="minorHAnsi" w:cstheme="minorHAnsi"/>
          <w:i/>
          <w:szCs w:val="24"/>
        </w:rPr>
        <w:tab/>
      </w:r>
      <w:r w:rsidRPr="0052117D">
        <w:rPr>
          <w:rFonts w:asciiTheme="minorHAnsi" w:eastAsiaTheme="minorEastAsia" w:hAnsiTheme="minorHAnsi" w:cstheme="minorHAnsi"/>
          <w:szCs w:val="24"/>
        </w:rPr>
        <w:t>que las infraestructuras de telecomunicaciones/TIC, incluidos los centros de datos, pueden dar lugar a un elevado consumo energético y a importantes emisiones de carbono si no se gestionan de manera sostenible;</w:t>
      </w:r>
    </w:p>
    <w:p w14:paraId="0CA0A601" w14:textId="77777777" w:rsidR="00081E04" w:rsidRPr="0052117D" w:rsidRDefault="00081E04" w:rsidP="00081E04">
      <w:pPr>
        <w:jc w:val="both"/>
        <w:rPr>
          <w:rFonts w:asciiTheme="minorHAnsi" w:eastAsiaTheme="minorEastAsia" w:hAnsiTheme="minorHAnsi" w:cstheme="minorHAnsi"/>
          <w:szCs w:val="24"/>
        </w:rPr>
      </w:pPr>
      <w:r w:rsidRPr="0052117D">
        <w:rPr>
          <w:rFonts w:asciiTheme="minorHAnsi" w:eastAsiaTheme="minorEastAsia" w:hAnsiTheme="minorHAnsi" w:cstheme="minorHAnsi"/>
          <w:i/>
          <w:szCs w:val="24"/>
        </w:rPr>
        <w:t>e)</w:t>
      </w:r>
      <w:r w:rsidRPr="0052117D">
        <w:rPr>
          <w:rFonts w:asciiTheme="minorHAnsi" w:eastAsiaTheme="minorEastAsia" w:hAnsiTheme="minorHAnsi" w:cstheme="minorHAnsi"/>
          <w:i/>
          <w:szCs w:val="24"/>
        </w:rPr>
        <w:tab/>
      </w:r>
      <w:r w:rsidRPr="0052117D">
        <w:rPr>
          <w:rFonts w:asciiTheme="minorHAnsi" w:hAnsiTheme="minorHAnsi" w:cstheme="minorHAnsi"/>
          <w:szCs w:val="24"/>
        </w:rPr>
        <w:t xml:space="preserve">que el rápido desarrollo de las </w:t>
      </w:r>
      <w:r w:rsidRPr="0052117D">
        <w:rPr>
          <w:rFonts w:asciiTheme="minorHAnsi" w:eastAsiaTheme="minorEastAsia" w:hAnsiTheme="minorHAnsi" w:cstheme="minorHAnsi"/>
          <w:szCs w:val="24"/>
        </w:rPr>
        <w:t>telecomunicaciones/TIC</w:t>
      </w:r>
      <w:r w:rsidRPr="0052117D">
        <w:rPr>
          <w:rFonts w:asciiTheme="minorHAnsi" w:hAnsiTheme="minorHAnsi" w:cstheme="minorHAnsi"/>
          <w:szCs w:val="24"/>
        </w:rPr>
        <w:t xml:space="preserve"> puede provocar un aumento de los residuos electrónicos, lo que entraña riesgos medioambientales;</w:t>
      </w:r>
    </w:p>
    <w:p w14:paraId="0A0D3D0C"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f)</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los pequeños Estados insulares en desarrollo y otros países con poblaciones reducidas pueden enfrentarse a retos a la hora de ejecutar programas de transformación digital ecológica sin asociaciones que permitan ampliar la escala de las operaciones;</w:t>
      </w:r>
    </w:p>
    <w:p w14:paraId="38EBB02E"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g)</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los países en desarrollo pueden encontrar dificultades para cumplir los objetivos del Acuerdo de París y facilitar la transformación digital ecológica sin apoyo financiero y técnico;</w:t>
      </w:r>
    </w:p>
    <w:p w14:paraId="44D29EBD"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lastRenderedPageBreak/>
        <w:t>h)</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una transformación digital ecológica debe tener en cuenta que numerosos países en desarrollo aún precisan avanzar en su digitalización para participar eficazmente en la economía y la sociedad mundiales;</w:t>
      </w:r>
    </w:p>
    <w:p w14:paraId="5F20A42E" w14:textId="3145BF2E"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i)</w:t>
      </w:r>
      <w:r w:rsidRPr="0052117D">
        <w:rPr>
          <w:rFonts w:asciiTheme="minorHAnsi" w:eastAsiaTheme="minorEastAsia" w:hAnsiTheme="minorHAnsi" w:cstheme="minorHAnsi"/>
          <w:i/>
          <w:szCs w:val="24"/>
          <w:lang w:eastAsia="zh-CN"/>
        </w:rPr>
        <w:tab/>
      </w:r>
      <w:r w:rsidRPr="0052117D">
        <w:rPr>
          <w:rFonts w:asciiTheme="minorHAnsi" w:hAnsiTheme="minorHAnsi" w:cstheme="minorHAnsi"/>
          <w:szCs w:val="24"/>
        </w:rPr>
        <w:t>las contribuciones aportadas por las Comisiones de Estudio pertinentes de la UIT en los tres Sectores, tales como la Comisión de Estudio 5 del UIT</w:t>
      </w:r>
      <w:r w:rsidR="00932F7E">
        <w:rPr>
          <w:rFonts w:asciiTheme="minorHAnsi" w:hAnsiTheme="minorHAnsi" w:cstheme="minorHAnsi"/>
          <w:szCs w:val="24"/>
        </w:rPr>
        <w:t>-</w:t>
      </w:r>
      <w:r w:rsidRPr="0052117D">
        <w:rPr>
          <w:rFonts w:asciiTheme="minorHAnsi" w:hAnsiTheme="minorHAnsi" w:cstheme="minorHAnsi"/>
          <w:szCs w:val="24"/>
        </w:rPr>
        <w:t xml:space="preserve">T, </w:t>
      </w:r>
      <w:r w:rsidRPr="0052117D">
        <w:rPr>
          <w:rFonts w:asciiTheme="minorHAnsi" w:eastAsiaTheme="minorEastAsia" w:hAnsiTheme="minorHAnsi" w:cstheme="minorHAnsi"/>
          <w:szCs w:val="24"/>
          <w:lang w:eastAsia="zh-CN"/>
        </w:rPr>
        <w:t>la Comisión de Estudio 7 del UIT-R y la Comisión de Estudio 2 del UIT-D,</w:t>
      </w:r>
    </w:p>
    <w:p w14:paraId="02476BA8" w14:textId="5BC41D47" w:rsidR="00081E04" w:rsidRPr="00234542" w:rsidRDefault="00081E04" w:rsidP="00234542">
      <w:pPr>
        <w:pStyle w:val="Call"/>
      </w:pPr>
      <w:r w:rsidRPr="00234542">
        <w:t>opina</w:t>
      </w:r>
    </w:p>
    <w:p w14:paraId="08F9B193"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1</w:t>
      </w:r>
      <w:r w:rsidRPr="0052117D">
        <w:rPr>
          <w:rFonts w:asciiTheme="minorHAnsi" w:eastAsiaTheme="minorEastAsia" w:hAnsiTheme="minorHAnsi" w:cstheme="minorHAnsi"/>
          <w:szCs w:val="24"/>
          <w:lang w:eastAsia="zh-CN"/>
        </w:rPr>
        <w:tab/>
        <w:t>que unas reducciones rápidas, profundas y sostenidas de las emisiones mundiales de GEI son necesarias para lograr una transformación digital ecológica sostenible;</w:t>
      </w:r>
    </w:p>
    <w:p w14:paraId="6E1E07F4"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2</w:t>
      </w:r>
      <w:r w:rsidRPr="0052117D">
        <w:rPr>
          <w:rFonts w:asciiTheme="minorHAnsi" w:eastAsiaTheme="minorEastAsia" w:hAnsiTheme="minorHAnsi" w:cstheme="minorHAnsi"/>
          <w:szCs w:val="24"/>
          <w:lang w:eastAsia="zh-CN"/>
        </w:rPr>
        <w:tab/>
        <w:t>que los gobiernos nacionales, regionales y locales, el sector privado, la sociedad civil, la comunidad técnica y las instituciones académicas deberían asociarse y trabajar en pro de la transformación digital ecológica;</w:t>
      </w:r>
    </w:p>
    <w:p w14:paraId="11240B47" w14:textId="77777777" w:rsidR="00081E04" w:rsidRPr="0052117D" w:rsidRDefault="00081E04" w:rsidP="00081E04">
      <w:pPr>
        <w:widowControl w:val="0"/>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3</w:t>
      </w:r>
      <w:r w:rsidRPr="0052117D">
        <w:rPr>
          <w:rFonts w:asciiTheme="minorHAnsi" w:eastAsiaTheme="minorEastAsia" w:hAnsiTheme="minorHAnsi" w:cstheme="minorHAnsi"/>
          <w:szCs w:val="24"/>
          <w:lang w:eastAsia="zh-CN"/>
        </w:rPr>
        <w:tab/>
        <w:t>que, si bien las telecomunicaciones/TIC contribuyen de manera significativa a las emisiones mundiales de GEI, su poder transformador puede movilizarse para hacer frente al cambio climático;</w:t>
      </w:r>
    </w:p>
    <w:p w14:paraId="2ED15FDC"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4</w:t>
      </w:r>
      <w:r w:rsidRPr="0052117D">
        <w:rPr>
          <w:rFonts w:asciiTheme="minorHAnsi" w:eastAsiaTheme="minorEastAsia" w:hAnsiTheme="minorHAnsi" w:cstheme="minorHAnsi"/>
          <w:szCs w:val="24"/>
          <w:lang w:eastAsia="zh-CN"/>
        </w:rPr>
        <w:tab/>
        <w:t>que el ritmo creciente y dinámico del sector de las telecomunicaciones/TIC debería ser compatible con una transformación digital ecológica y representa una oportunidad para el crecimiento económico, la mejora de la competitividad y el desarrollo sostenible en todos los sectores económicos, al tiempo que se reducen las emisiones de GEI de otros sectores;</w:t>
      </w:r>
    </w:p>
    <w:p w14:paraId="31575630" w14:textId="77777777" w:rsidR="00081E04" w:rsidRPr="0052117D" w:rsidRDefault="00081E04" w:rsidP="00234542">
      <w:pPr>
        <w:jc w:val="both"/>
        <w:rPr>
          <w:rFonts w:eastAsiaTheme="minorEastAsia"/>
          <w:lang w:eastAsia="zh-CN"/>
        </w:rPr>
      </w:pPr>
      <w:r w:rsidRPr="0052117D">
        <w:rPr>
          <w:rFonts w:asciiTheme="minorHAnsi" w:eastAsiaTheme="minorEastAsia" w:hAnsiTheme="minorHAnsi" w:cstheme="minorHAnsi"/>
          <w:szCs w:val="24"/>
          <w:lang w:eastAsia="zh-CN"/>
        </w:rPr>
        <w:t>5</w:t>
      </w:r>
      <w:r w:rsidRPr="0052117D">
        <w:rPr>
          <w:rFonts w:asciiTheme="minorHAnsi" w:eastAsiaTheme="minorEastAsia" w:hAnsiTheme="minorHAnsi" w:cstheme="minorHAnsi"/>
          <w:szCs w:val="24"/>
          <w:lang w:eastAsia="zh-CN"/>
        </w:rPr>
        <w:tab/>
        <w:t>que las telecomunicaciones/TIC podrían contribuir a atenuar la repercusión medioambiental de otros sectores de</w:t>
      </w:r>
      <w:r w:rsidRPr="0052117D">
        <w:rPr>
          <w:rFonts w:cstheme="minorHAnsi"/>
          <w:szCs w:val="24"/>
        </w:rPr>
        <w:t xml:space="preserve"> </w:t>
      </w:r>
      <w:r w:rsidRPr="0052117D">
        <w:rPr>
          <w:rFonts w:asciiTheme="minorHAnsi" w:eastAsiaTheme="minorEastAsia" w:hAnsiTheme="minorHAnsi" w:cstheme="minorHAnsi"/>
          <w:szCs w:val="24"/>
        </w:rPr>
        <w:t xml:space="preserve">múltiples maneras, por </w:t>
      </w:r>
      <w:proofErr w:type="gramStart"/>
      <w:r w:rsidRPr="0052117D">
        <w:rPr>
          <w:rFonts w:asciiTheme="minorHAnsi" w:eastAsiaTheme="minorEastAsia" w:hAnsiTheme="minorHAnsi" w:cstheme="minorHAnsi"/>
          <w:szCs w:val="24"/>
        </w:rPr>
        <w:t>ejemplo</w:t>
      </w:r>
      <w:proofErr w:type="gramEnd"/>
      <w:r w:rsidRPr="0052117D">
        <w:rPr>
          <w:rFonts w:asciiTheme="minorHAnsi" w:eastAsiaTheme="minorEastAsia" w:hAnsiTheme="minorHAnsi" w:cstheme="minorHAnsi"/>
          <w:szCs w:val="24"/>
          <w:lang w:eastAsia="zh-CN"/>
        </w:rPr>
        <w:t xml:space="preserve"> determinando medidas prácticas basadas en datos;</w:t>
      </w:r>
    </w:p>
    <w:p w14:paraId="7E922C0D"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6</w:t>
      </w:r>
      <w:r w:rsidRPr="0052117D">
        <w:rPr>
          <w:rFonts w:asciiTheme="minorHAnsi" w:eastAsiaTheme="minorEastAsia" w:hAnsiTheme="minorHAnsi" w:cstheme="minorHAnsi"/>
          <w:szCs w:val="24"/>
          <w:lang w:eastAsia="zh-CN"/>
        </w:rPr>
        <w:tab/>
        <w:t>que la transición hacia una economía más circular optimizaría las repercusiones económicas y medioambientales de las telecomunicaciones/TIC, y respaldaría además las oportunidades de negocio y la creación de empleo;</w:t>
      </w:r>
    </w:p>
    <w:p w14:paraId="48B0ECE7"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7</w:t>
      </w:r>
      <w:r w:rsidRPr="0052117D">
        <w:rPr>
          <w:rFonts w:asciiTheme="minorHAnsi" w:eastAsiaTheme="minorEastAsia" w:hAnsiTheme="minorHAnsi" w:cstheme="minorHAnsi"/>
          <w:szCs w:val="24"/>
          <w:lang w:eastAsia="zh-CN"/>
        </w:rPr>
        <w:tab/>
        <w:t xml:space="preserve">que </w:t>
      </w:r>
      <w:r w:rsidRPr="0052117D">
        <w:rPr>
          <w:rFonts w:asciiTheme="minorHAnsi" w:eastAsiaTheme="minorEastAsia" w:hAnsiTheme="minorHAnsi" w:cstheme="minorHAnsi"/>
          <w:spacing w:val="-2"/>
          <w:szCs w:val="24"/>
          <w:lang w:eastAsia="zh-CN"/>
        </w:rPr>
        <w:t xml:space="preserve">la sostenibilidad y la eficiencia energética, </w:t>
      </w:r>
      <w:r w:rsidRPr="0052117D">
        <w:rPr>
          <w:rFonts w:asciiTheme="minorHAnsi" w:eastAsiaTheme="minorEastAsia" w:hAnsiTheme="minorHAnsi" w:cstheme="minorHAnsi"/>
          <w:i/>
          <w:iCs/>
          <w:spacing w:val="-2"/>
          <w:szCs w:val="24"/>
          <w:lang w:eastAsia="zh-CN"/>
        </w:rPr>
        <w:t xml:space="preserve">inter </w:t>
      </w:r>
      <w:proofErr w:type="spellStart"/>
      <w:r w:rsidRPr="0052117D">
        <w:rPr>
          <w:rFonts w:asciiTheme="minorHAnsi" w:eastAsiaTheme="minorEastAsia" w:hAnsiTheme="minorHAnsi" w:cstheme="minorHAnsi"/>
          <w:i/>
          <w:iCs/>
          <w:spacing w:val="-2"/>
          <w:szCs w:val="24"/>
          <w:lang w:eastAsia="zh-CN"/>
        </w:rPr>
        <w:t>alia</w:t>
      </w:r>
      <w:proofErr w:type="spellEnd"/>
      <w:r w:rsidRPr="0052117D">
        <w:rPr>
          <w:rFonts w:asciiTheme="minorHAnsi" w:eastAsiaTheme="minorEastAsia" w:hAnsiTheme="minorHAnsi" w:cstheme="minorHAnsi"/>
          <w:spacing w:val="-2"/>
          <w:szCs w:val="24"/>
          <w:lang w:eastAsia="zh-CN"/>
        </w:rPr>
        <w:t xml:space="preserve">, </w:t>
      </w:r>
      <w:r w:rsidRPr="0052117D">
        <w:rPr>
          <w:rFonts w:asciiTheme="minorHAnsi" w:eastAsiaTheme="minorEastAsia" w:hAnsiTheme="minorHAnsi" w:cstheme="minorHAnsi"/>
          <w:spacing w:val="-2"/>
          <w:szCs w:val="24"/>
        </w:rPr>
        <w:t xml:space="preserve">la compartición voluntaria de infraestructuras y </w:t>
      </w:r>
      <w:r w:rsidRPr="0052117D">
        <w:rPr>
          <w:rFonts w:asciiTheme="minorHAnsi" w:eastAsiaTheme="minorEastAsia" w:hAnsiTheme="minorHAnsi" w:cstheme="minorHAnsi"/>
          <w:spacing w:val="-2"/>
          <w:szCs w:val="24"/>
          <w:lang w:eastAsia="zh-CN"/>
        </w:rPr>
        <w:t>la reducción de los residuos electrónicos</w:t>
      </w:r>
      <w:r w:rsidRPr="0052117D">
        <w:rPr>
          <w:rFonts w:asciiTheme="minorHAnsi" w:eastAsiaTheme="minorEastAsia" w:hAnsiTheme="minorHAnsi" w:cstheme="minorHAnsi"/>
          <w:szCs w:val="24"/>
          <w:lang w:eastAsia="zh-CN"/>
        </w:rPr>
        <w:t xml:space="preserve"> </w:t>
      </w:r>
      <w:r w:rsidRPr="0052117D">
        <w:rPr>
          <w:rFonts w:asciiTheme="minorHAnsi" w:eastAsiaTheme="minorEastAsia" w:hAnsiTheme="minorHAnsi" w:cstheme="minorHAnsi"/>
          <w:szCs w:val="24"/>
        </w:rPr>
        <w:t xml:space="preserve">deberían </w:t>
      </w:r>
      <w:r w:rsidRPr="0052117D">
        <w:rPr>
          <w:rFonts w:asciiTheme="minorHAnsi" w:eastAsiaTheme="minorEastAsia" w:hAnsiTheme="minorHAnsi" w:cstheme="minorHAnsi"/>
          <w:szCs w:val="24"/>
          <w:lang w:eastAsia="zh-CN"/>
        </w:rPr>
        <w:t>constituir consideraciones fundamentales en el desarrollo, el despliegue y la utilización de las telecomunicaciones/TIC,</w:t>
      </w:r>
    </w:p>
    <w:p w14:paraId="467D2F43" w14:textId="77777777" w:rsidR="00081E04" w:rsidRPr="00234542" w:rsidRDefault="00081E04" w:rsidP="00234542">
      <w:pPr>
        <w:pStyle w:val="Call"/>
      </w:pPr>
      <w:r w:rsidRPr="00234542">
        <w:t>invita a los Estados Miembros</w:t>
      </w:r>
    </w:p>
    <w:p w14:paraId="4B8AF2E8"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1</w:t>
      </w:r>
      <w:r w:rsidRPr="0052117D">
        <w:rPr>
          <w:rFonts w:asciiTheme="minorHAnsi" w:eastAsiaTheme="minorEastAsia" w:hAnsiTheme="minorHAnsi" w:cstheme="minorHAnsi"/>
          <w:szCs w:val="24"/>
          <w:lang w:eastAsia="zh-CN"/>
        </w:rPr>
        <w:tab/>
        <w:t>a utilizar las telecomunicaciones/TIC como método eficaz para reducir las emisiones de GEI en múltiples sectores económicos;</w:t>
      </w:r>
    </w:p>
    <w:p w14:paraId="2C9598C2"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2</w:t>
      </w:r>
      <w:r w:rsidRPr="0052117D">
        <w:rPr>
          <w:rFonts w:asciiTheme="minorHAnsi" w:eastAsiaTheme="minorEastAsia" w:hAnsiTheme="minorHAnsi" w:cstheme="minorHAnsi"/>
          <w:szCs w:val="24"/>
          <w:lang w:eastAsia="zh-CN"/>
        </w:rPr>
        <w:tab/>
        <w:t>a formular estrategias y políticas adecuadas a escala regional, nacional y local que promuevan la circularidad de los equipos de telecomunicaciones/TIC en los ámbitos del sector público, del consumidor y de la industria;</w:t>
      </w:r>
    </w:p>
    <w:p w14:paraId="0212023A"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3</w:t>
      </w:r>
      <w:r w:rsidRPr="0052117D">
        <w:rPr>
          <w:rFonts w:asciiTheme="minorHAnsi" w:eastAsiaTheme="minorEastAsia" w:hAnsiTheme="minorHAnsi" w:cstheme="minorHAnsi"/>
          <w:szCs w:val="24"/>
          <w:lang w:eastAsia="zh-CN"/>
        </w:rPr>
        <w:tab/>
        <w:t>a promover el desarrollo de soluciones de bajo costo, seguras y sostenibles desde el diseño, con una huella de carbono reducida a lo largo de todo su ciclo de vida;</w:t>
      </w:r>
    </w:p>
    <w:p w14:paraId="07EC23F2" w14:textId="77777777" w:rsidR="00081E04" w:rsidRPr="00234542" w:rsidRDefault="00081E04" w:rsidP="00081E04">
      <w:pPr>
        <w:jc w:val="both"/>
        <w:rPr>
          <w:rFonts w:asciiTheme="minorHAnsi" w:eastAsiaTheme="minorEastAsia" w:hAnsiTheme="minorHAnsi" w:cstheme="minorHAnsi"/>
          <w:spacing w:val="-3"/>
          <w:szCs w:val="24"/>
          <w:lang w:eastAsia="zh-CN"/>
        </w:rPr>
      </w:pPr>
      <w:r w:rsidRPr="00234542">
        <w:rPr>
          <w:rFonts w:asciiTheme="minorHAnsi" w:eastAsiaTheme="minorEastAsia" w:hAnsiTheme="minorHAnsi" w:cstheme="minorHAnsi"/>
          <w:spacing w:val="-3"/>
          <w:szCs w:val="24"/>
          <w:lang w:eastAsia="zh-CN"/>
        </w:rPr>
        <w:t>4</w:t>
      </w:r>
      <w:r w:rsidRPr="00234542">
        <w:rPr>
          <w:rFonts w:asciiTheme="minorHAnsi" w:eastAsiaTheme="minorEastAsia" w:hAnsiTheme="minorHAnsi" w:cstheme="minorHAnsi"/>
          <w:spacing w:val="-3"/>
          <w:szCs w:val="24"/>
          <w:lang w:eastAsia="zh-CN"/>
        </w:rPr>
        <w:tab/>
        <w:t>a fomentar un entorno propicio a la inversión en telecomunicaciones/TIC medioambientalmente sostenibles;</w:t>
      </w:r>
    </w:p>
    <w:p w14:paraId="092BA93A" w14:textId="77777777" w:rsidR="00081E04" w:rsidRPr="00234542" w:rsidRDefault="00081E04" w:rsidP="00081E04">
      <w:pPr>
        <w:jc w:val="both"/>
        <w:rPr>
          <w:rFonts w:asciiTheme="minorHAnsi" w:eastAsiaTheme="minorEastAsia" w:hAnsiTheme="minorHAnsi" w:cstheme="minorHAnsi"/>
          <w:spacing w:val="-3"/>
          <w:szCs w:val="24"/>
          <w:lang w:eastAsia="zh-CN"/>
        </w:rPr>
      </w:pPr>
      <w:r w:rsidRPr="00234542">
        <w:rPr>
          <w:rFonts w:asciiTheme="minorHAnsi" w:eastAsiaTheme="minorEastAsia" w:hAnsiTheme="minorHAnsi" w:cstheme="minorHAnsi"/>
          <w:spacing w:val="-3"/>
          <w:szCs w:val="24"/>
          <w:lang w:eastAsia="zh-CN"/>
        </w:rPr>
        <w:t>5</w:t>
      </w:r>
      <w:r w:rsidRPr="00234542">
        <w:rPr>
          <w:rFonts w:asciiTheme="minorHAnsi" w:eastAsiaTheme="minorEastAsia" w:hAnsiTheme="minorHAnsi" w:cstheme="minorHAnsi"/>
          <w:spacing w:val="-3"/>
          <w:szCs w:val="24"/>
          <w:lang w:eastAsia="zh-CN"/>
        </w:rPr>
        <w:tab/>
        <w:t>a invertir en la investigación y el desarrollo de telecomunicaciones/TIC medioambientalmente sostenibles;</w:t>
      </w:r>
    </w:p>
    <w:p w14:paraId="6B07C3EA"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lastRenderedPageBreak/>
        <w:t>6</w:t>
      </w:r>
      <w:r w:rsidRPr="0052117D">
        <w:rPr>
          <w:rFonts w:asciiTheme="minorHAnsi" w:eastAsiaTheme="minorEastAsia" w:hAnsiTheme="minorHAnsi" w:cstheme="minorHAnsi"/>
          <w:szCs w:val="24"/>
          <w:lang w:eastAsia="zh-CN"/>
        </w:rPr>
        <w:tab/>
        <w:t>a considerar la posibilidad de recurrir a los requisitos de contratación pública para fomentar el despliegue de telecomunicaciones/TIC sostenibles entre las organizaciones pertinentes, cuando proceda;</w:t>
      </w:r>
    </w:p>
    <w:p w14:paraId="23F3DF40"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7</w:t>
      </w:r>
      <w:r w:rsidRPr="0052117D">
        <w:rPr>
          <w:rFonts w:asciiTheme="minorHAnsi" w:eastAsiaTheme="minorEastAsia" w:hAnsiTheme="minorHAnsi" w:cstheme="minorHAnsi"/>
          <w:szCs w:val="24"/>
          <w:lang w:eastAsia="zh-CN"/>
        </w:rPr>
        <w:tab/>
        <w:t xml:space="preserve">a alentar </w:t>
      </w:r>
      <w:r w:rsidRPr="0052117D">
        <w:rPr>
          <w:rFonts w:asciiTheme="minorHAnsi" w:eastAsiaTheme="minorEastAsia" w:hAnsiTheme="minorHAnsi" w:cstheme="minorHAnsi"/>
          <w:szCs w:val="24"/>
        </w:rPr>
        <w:t>la evaluación de toda la gama de</w:t>
      </w:r>
      <w:r w:rsidRPr="0052117D">
        <w:rPr>
          <w:rFonts w:asciiTheme="minorHAnsi" w:eastAsiaTheme="minorEastAsia" w:hAnsiTheme="minorHAnsi" w:cstheme="minorHAnsi"/>
          <w:color w:val="00B050"/>
          <w:szCs w:val="24"/>
          <w:lang w:eastAsia="zh-CN"/>
        </w:rPr>
        <w:t xml:space="preserve"> </w:t>
      </w:r>
      <w:r w:rsidRPr="0052117D">
        <w:rPr>
          <w:rFonts w:asciiTheme="minorHAnsi" w:eastAsiaTheme="minorEastAsia" w:hAnsiTheme="minorHAnsi" w:cstheme="minorHAnsi"/>
          <w:szCs w:val="24"/>
          <w:lang w:eastAsia="zh-CN"/>
        </w:rPr>
        <w:t xml:space="preserve">repercusiones medioambientales </w:t>
      </w:r>
      <w:r w:rsidRPr="0052117D">
        <w:rPr>
          <w:rFonts w:asciiTheme="minorHAnsi" w:eastAsiaTheme="minorEastAsia" w:hAnsiTheme="minorHAnsi" w:cstheme="minorHAnsi"/>
          <w:szCs w:val="24"/>
        </w:rPr>
        <w:t>de las telecomunicaciones/TIC a lo largo de su ciclo de vida, desde la planificación hasta la eliminación, con objeto de fundamentar las políticas, la innovación y las prácticas de diseño sostenible;</w:t>
      </w:r>
    </w:p>
    <w:p w14:paraId="5DC854C4"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8</w:t>
      </w:r>
      <w:r w:rsidRPr="0052117D">
        <w:rPr>
          <w:rFonts w:asciiTheme="minorHAnsi" w:eastAsiaTheme="minorEastAsia" w:hAnsiTheme="minorHAnsi" w:cstheme="minorHAnsi"/>
          <w:szCs w:val="24"/>
          <w:lang w:eastAsia="zh-CN"/>
        </w:rPr>
        <w:tab/>
        <w:t>a llevar a cabo campañas de sensibilización pública sobre la eliminación y el reciclado de los residuos electrónicos, que mejoren la comprensión de los consumidores acerca de las consecuencias de sus dispositivos en materia de residuos;</w:t>
      </w:r>
    </w:p>
    <w:p w14:paraId="6968DE15"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9</w:t>
      </w:r>
      <w:r w:rsidRPr="0052117D">
        <w:rPr>
          <w:rFonts w:asciiTheme="minorHAnsi" w:eastAsiaTheme="minorEastAsia" w:hAnsiTheme="minorHAnsi" w:cstheme="minorHAnsi"/>
          <w:szCs w:val="24"/>
          <w:lang w:eastAsia="zh-CN"/>
        </w:rPr>
        <w:tab/>
        <w:t xml:space="preserve">a incentivar la utilización de energías renovables y de dispositivos energéticamente eficientes con bajas emisiones de GEI, teniendo en cuenta las circunstancias y capacidades de </w:t>
      </w:r>
      <w:bookmarkStart w:id="5" w:name="_Hlk211347167"/>
      <w:r w:rsidRPr="0052117D">
        <w:rPr>
          <w:rFonts w:asciiTheme="minorHAnsi" w:eastAsiaTheme="minorEastAsia" w:hAnsiTheme="minorHAnsi" w:cstheme="minorHAnsi"/>
          <w:szCs w:val="24"/>
          <w:lang w:eastAsia="zh-CN"/>
        </w:rPr>
        <w:t xml:space="preserve">cada </w:t>
      </w:r>
      <w:bookmarkEnd w:id="5"/>
      <w:r w:rsidRPr="0052117D">
        <w:rPr>
          <w:rFonts w:asciiTheme="minorHAnsi" w:eastAsiaTheme="minorEastAsia" w:hAnsiTheme="minorHAnsi" w:cstheme="minorHAnsi"/>
          <w:szCs w:val="24"/>
          <w:lang w:eastAsia="zh-CN"/>
        </w:rPr>
        <w:t>Estado Miembro;</w:t>
      </w:r>
    </w:p>
    <w:p w14:paraId="771CC7A2"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10</w:t>
      </w:r>
      <w:r w:rsidRPr="0052117D">
        <w:rPr>
          <w:rFonts w:asciiTheme="minorHAnsi" w:eastAsiaTheme="minorEastAsia" w:hAnsiTheme="minorHAnsi" w:cstheme="minorHAnsi"/>
          <w:szCs w:val="24"/>
          <w:lang w:eastAsia="zh-CN"/>
        </w:rPr>
        <w:tab/>
        <w:t>a reforzar los marcos relativos a la eliminación y la gestión de los residuos electrónicos mediante la elaboración de políticas, reglamentaciones, marcos y estrategias,</w:t>
      </w:r>
    </w:p>
    <w:p w14:paraId="2623834B" w14:textId="77777777" w:rsidR="00081E04" w:rsidRPr="00234542" w:rsidRDefault="00081E04" w:rsidP="00234542">
      <w:pPr>
        <w:pStyle w:val="Call"/>
      </w:pPr>
      <w:r w:rsidRPr="00234542">
        <w:t>invita a los Estados Miembros, Miembros de Sector y otras partes interesadas</w:t>
      </w:r>
    </w:p>
    <w:p w14:paraId="3B70AE63"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1</w:t>
      </w:r>
      <w:r w:rsidRPr="0052117D">
        <w:rPr>
          <w:rFonts w:asciiTheme="minorHAnsi" w:eastAsiaTheme="minorEastAsia" w:hAnsiTheme="minorHAnsi" w:cstheme="minorHAnsi"/>
          <w:szCs w:val="24"/>
          <w:lang w:eastAsia="zh-CN"/>
        </w:rPr>
        <w:tab/>
        <w:t>a adoptar medidas urgentes e inmediatas para reducir la repercusión y los riesgos medioambientales negativos de las telecomunicaciones/TIC y de todas las infraestructuras conexas;</w:t>
      </w:r>
    </w:p>
    <w:p w14:paraId="6CDED325" w14:textId="77777777" w:rsidR="00081E04" w:rsidRPr="0052117D" w:rsidRDefault="00081E04" w:rsidP="00081E04">
      <w:pPr>
        <w:widowControl w:val="0"/>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2</w:t>
      </w:r>
      <w:r w:rsidRPr="0052117D">
        <w:rPr>
          <w:rFonts w:asciiTheme="minorHAnsi" w:eastAsiaTheme="minorEastAsia" w:hAnsiTheme="minorHAnsi" w:cstheme="minorHAnsi"/>
          <w:szCs w:val="24"/>
          <w:lang w:eastAsia="zh-CN"/>
        </w:rPr>
        <w:tab/>
        <w:t>a reforzar su compromiso de hacer frente a los residuos electrónicos, planificando el futuro reciclado desde la fase de diseño de las futuras TIC, con objeto de fomentar la utilización y el desarrollo de equipos de telecomunicaciones/TIC sostenibles y robustos, así como de materiales reciclables, en el marco de la economía circular;</w:t>
      </w:r>
    </w:p>
    <w:p w14:paraId="3B5721B6"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3</w:t>
      </w:r>
      <w:r w:rsidRPr="0052117D">
        <w:rPr>
          <w:rFonts w:asciiTheme="minorHAnsi" w:eastAsiaTheme="minorEastAsia" w:hAnsiTheme="minorHAnsi" w:cstheme="minorHAnsi"/>
          <w:szCs w:val="24"/>
          <w:lang w:eastAsia="zh-CN"/>
        </w:rPr>
        <w:tab/>
        <w:t>a promover modalidades de consumo y producción sostenibles, participando en la economía circular de las telecomunicaciones/TIC, fomentando la reparación, la reutilización y la reventa de los dispositivos pertinentes, y sensibilizando a la población sobre la eliminación y el reciclado de los residuos electrónicos;</w:t>
      </w:r>
    </w:p>
    <w:p w14:paraId="18B512E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a elaborar políticas que promuevan tecnologías energéticamente eficientes, capaces de contribuir a reducir la huella de carbono del sector;</w:t>
      </w:r>
    </w:p>
    <w:p w14:paraId="75A38601"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a adoptar políticas de gestión de los residuos electrónicos, incluidos programas de reciclado y la eliminación responsable de los aparatos electrónicos usados;</w:t>
      </w:r>
    </w:p>
    <w:p w14:paraId="1D58BCE4" w14:textId="77777777" w:rsidR="00081E04" w:rsidRPr="00234542" w:rsidRDefault="00081E04" w:rsidP="00081E04">
      <w:pPr>
        <w:jc w:val="both"/>
        <w:rPr>
          <w:rFonts w:asciiTheme="minorHAnsi" w:hAnsiTheme="minorHAnsi" w:cstheme="minorHAnsi"/>
          <w:spacing w:val="-2"/>
          <w:szCs w:val="24"/>
        </w:rPr>
      </w:pPr>
      <w:r w:rsidRPr="00234542">
        <w:rPr>
          <w:rFonts w:asciiTheme="minorHAnsi" w:hAnsiTheme="minorHAnsi" w:cstheme="minorHAnsi"/>
          <w:spacing w:val="-2"/>
          <w:szCs w:val="24"/>
        </w:rPr>
        <w:t>6</w:t>
      </w:r>
      <w:r w:rsidRPr="00234542">
        <w:rPr>
          <w:rFonts w:asciiTheme="minorHAnsi" w:hAnsiTheme="minorHAnsi" w:cstheme="minorHAnsi"/>
          <w:spacing w:val="-2"/>
          <w:szCs w:val="24"/>
        </w:rPr>
        <w:tab/>
        <w:t>a movilizar el poder de la transformación digital para impulsar un desarrollo inclusivo y sostenible, atenuando al mismo tiempo sus repercusiones medioambientales negativas mediante la transición hacia una economía digital circular, caracterizada por un consumo y una producción responsables, la utilización de energías renovables y una gestión integral de los residuos electrónicos;</w:t>
      </w:r>
    </w:p>
    <w:p w14:paraId="70533949"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7</w:t>
      </w:r>
      <w:r w:rsidRPr="0052117D">
        <w:rPr>
          <w:rFonts w:asciiTheme="minorHAnsi" w:eastAsiaTheme="minorEastAsia" w:hAnsiTheme="minorHAnsi" w:cstheme="minorHAnsi"/>
          <w:szCs w:val="24"/>
          <w:lang w:eastAsia="zh-CN"/>
        </w:rPr>
        <w:tab/>
      </w:r>
      <w:r w:rsidRPr="0052117D">
        <w:rPr>
          <w:rFonts w:asciiTheme="minorHAnsi" w:hAnsiTheme="minorHAnsi" w:cstheme="minorHAnsi"/>
          <w:szCs w:val="24"/>
        </w:rPr>
        <w:t>a incentivar la reducción de las emisiones de carbono con objeto de fomentar prácticas sostenibles en las industrias digitales;</w:t>
      </w:r>
    </w:p>
    <w:p w14:paraId="43C9AA25"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8</w:t>
      </w:r>
      <w:r w:rsidRPr="0052117D">
        <w:rPr>
          <w:rFonts w:asciiTheme="minorHAnsi" w:eastAsiaTheme="minorEastAsia" w:hAnsiTheme="minorHAnsi" w:cstheme="minorHAnsi"/>
          <w:szCs w:val="24"/>
          <w:lang w:eastAsia="zh-CN"/>
        </w:rPr>
        <w:tab/>
        <w:t>a utilizar las telecomunicaciones/TIC para combatir el cambio climático y promover la circularidad en otros sectores, tales como la energía, las industrias manufactureras, el transporte, la edificación y la agricultura y ganadería, a fin de alcanzar los Objetivos de Desarrollo Sostenible;</w:t>
      </w:r>
    </w:p>
    <w:p w14:paraId="2A911466"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9</w:t>
      </w:r>
      <w:r w:rsidRPr="0052117D">
        <w:rPr>
          <w:rFonts w:asciiTheme="minorHAnsi" w:eastAsiaTheme="minorEastAsia" w:hAnsiTheme="minorHAnsi" w:cstheme="minorHAnsi"/>
          <w:szCs w:val="24"/>
          <w:lang w:eastAsia="zh-CN"/>
        </w:rPr>
        <w:tab/>
        <w:t xml:space="preserve">a reconocer la importancia de la colaboración internacional en pro de una transformación digital ecológica, incluidas la transferencia y el desarrollo de tecnología con carácter voluntario y en condiciones mutuamente convenidas, entre todos los actores de la sociedad, los sectores y las </w:t>
      </w:r>
      <w:r w:rsidRPr="0052117D">
        <w:rPr>
          <w:rFonts w:asciiTheme="minorHAnsi" w:eastAsiaTheme="minorEastAsia" w:hAnsiTheme="minorHAnsi" w:cstheme="minorHAnsi"/>
          <w:szCs w:val="24"/>
          <w:lang w:eastAsia="zh-CN"/>
        </w:rPr>
        <w:lastRenderedPageBreak/>
        <w:t xml:space="preserve">regiones, como contribución al avance hacia los objetivos de las conferencias de la </w:t>
      </w:r>
      <w:proofErr w:type="spellStart"/>
      <w:r w:rsidRPr="0052117D">
        <w:rPr>
          <w:rFonts w:asciiTheme="minorHAnsi" w:eastAsiaTheme="minorEastAsia" w:hAnsiTheme="minorHAnsi" w:cstheme="minorHAnsi"/>
          <w:szCs w:val="24"/>
          <w:lang w:eastAsia="zh-CN"/>
        </w:rPr>
        <w:t>CMNUCC</w:t>
      </w:r>
      <w:proofErr w:type="spellEnd"/>
      <w:r w:rsidRPr="0052117D">
        <w:rPr>
          <w:rFonts w:asciiTheme="minorHAnsi" w:eastAsiaTheme="minorEastAsia" w:hAnsiTheme="minorHAnsi" w:cstheme="minorHAnsi"/>
          <w:szCs w:val="24"/>
          <w:lang w:eastAsia="zh-CN"/>
        </w:rPr>
        <w:t xml:space="preserve"> y del Acuerdo de París;</w:t>
      </w:r>
    </w:p>
    <w:p w14:paraId="1AC8676C"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10</w:t>
      </w:r>
      <w:r w:rsidRPr="0052117D">
        <w:rPr>
          <w:rFonts w:asciiTheme="minorHAnsi" w:eastAsiaTheme="minorEastAsia" w:hAnsiTheme="minorHAnsi" w:cstheme="minorHAnsi"/>
          <w:szCs w:val="24"/>
          <w:lang w:eastAsia="zh-CN"/>
        </w:rPr>
        <w:tab/>
        <w:t>a considerar la posibilidad de adoptar las Recomendaciones pertinentes del UIT-T sobre los residuos electrónicos y el medio ambiente;</w:t>
      </w:r>
    </w:p>
    <w:p w14:paraId="15344FF6"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11</w:t>
      </w:r>
      <w:r w:rsidRPr="0052117D">
        <w:rPr>
          <w:rFonts w:asciiTheme="minorHAnsi" w:eastAsiaTheme="minorEastAsia" w:hAnsiTheme="minorHAnsi" w:cstheme="minorHAnsi"/>
          <w:szCs w:val="24"/>
          <w:lang w:eastAsia="zh-CN"/>
        </w:rPr>
        <w:tab/>
        <w:t>a participar activamente en las actividades de la UIT relativas al desarrollo sostenible y en los esfuerzos intersectoriales conexos;</w:t>
      </w:r>
    </w:p>
    <w:p w14:paraId="12EC4CEA" w14:textId="77777777" w:rsidR="00081E04" w:rsidRPr="0052117D" w:rsidRDefault="00081E04" w:rsidP="00081E04">
      <w:pPr>
        <w:jc w:val="both"/>
        <w:rPr>
          <w:rFonts w:asciiTheme="minorHAnsi" w:eastAsiaTheme="minorEastAsia" w:hAnsiTheme="minorHAnsi" w:cstheme="minorHAnsi"/>
          <w:spacing w:val="-2"/>
          <w:szCs w:val="24"/>
          <w:lang w:eastAsia="zh-CN"/>
        </w:rPr>
      </w:pPr>
      <w:r w:rsidRPr="0052117D">
        <w:rPr>
          <w:rFonts w:asciiTheme="minorHAnsi" w:eastAsiaTheme="minorEastAsia" w:hAnsiTheme="minorHAnsi" w:cstheme="minorHAnsi"/>
          <w:spacing w:val="-2"/>
          <w:szCs w:val="24"/>
          <w:lang w:eastAsia="zh-CN"/>
        </w:rPr>
        <w:t>12</w:t>
      </w:r>
      <w:r w:rsidRPr="0052117D">
        <w:rPr>
          <w:rFonts w:asciiTheme="minorHAnsi" w:eastAsiaTheme="minorEastAsia" w:hAnsiTheme="minorHAnsi" w:cstheme="minorHAnsi"/>
          <w:spacing w:val="-2"/>
          <w:szCs w:val="24"/>
          <w:lang w:eastAsia="zh-CN"/>
        </w:rPr>
        <w:tab/>
        <w:t>a promover la compartición de infraestructuras y recursos (así como la compartición intersectorial de infraestructuras cuando resulte viable), con objeto de reducir las infraestructuras redundantes, minimizar el consumo de recursos, disminuir la utilización de energía y movilizar activos en sectores tales como la energía, el transporte y las telecomunicaciones/TIC;</w:t>
      </w:r>
    </w:p>
    <w:p w14:paraId="0E4F577F"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13</w:t>
      </w:r>
      <w:r w:rsidRPr="0052117D">
        <w:rPr>
          <w:rFonts w:asciiTheme="minorHAnsi" w:eastAsiaTheme="minorEastAsia" w:hAnsiTheme="minorHAnsi" w:cstheme="minorHAnsi"/>
          <w:szCs w:val="24"/>
          <w:lang w:eastAsia="zh-CN"/>
        </w:rPr>
        <w:tab/>
        <w:t>a integrar las telecomunicaciones/TIC en las estrategias de protección del medio ambiente, con objeto de crear un ecosistema general que permita avanzar hacia un futuro sostenible,</w:t>
      </w:r>
    </w:p>
    <w:p w14:paraId="14DC563E" w14:textId="77777777" w:rsidR="00081E04" w:rsidRPr="00234542" w:rsidRDefault="00081E04" w:rsidP="00234542">
      <w:pPr>
        <w:pStyle w:val="Call"/>
      </w:pPr>
      <w:r w:rsidRPr="00234542">
        <w:t>invita a la Secretaria General</w:t>
      </w:r>
    </w:p>
    <w:p w14:paraId="63E5375A"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1</w:t>
      </w:r>
      <w:r w:rsidRPr="0052117D">
        <w:rPr>
          <w:rFonts w:asciiTheme="minorHAnsi" w:eastAsiaTheme="minorEastAsia" w:hAnsiTheme="minorHAnsi" w:cstheme="minorHAnsi"/>
          <w:szCs w:val="24"/>
          <w:lang w:eastAsia="zh-CN"/>
        </w:rPr>
        <w:tab/>
        <w:t xml:space="preserve">a trabajar en el fortalecimiento de la </w:t>
      </w:r>
      <w:r w:rsidRPr="0052117D">
        <w:rPr>
          <w:rFonts w:asciiTheme="minorHAnsi" w:eastAsiaTheme="minorEastAsia" w:hAnsiTheme="minorHAnsi" w:cstheme="minorHAnsi"/>
          <w:szCs w:val="24"/>
        </w:rPr>
        <w:t>capacidad</w:t>
      </w:r>
      <w:r w:rsidRPr="0052117D">
        <w:rPr>
          <w:rFonts w:asciiTheme="minorHAnsi" w:eastAsiaTheme="minorEastAsia" w:hAnsiTheme="minorHAnsi" w:cstheme="minorHAnsi"/>
          <w:szCs w:val="24"/>
          <w:lang w:eastAsia="zh-CN"/>
        </w:rPr>
        <w:t xml:space="preserve"> de todas las partes interesadas pertinentes, especialmente las más afectadas por el cambio climático, y teniendo en cuenta sus planes de desarrollo, en las cuestiones relativas a la protección del medio ambiente en el ámbito de las TIC y en aras del bienestar de la población;</w:t>
      </w:r>
    </w:p>
    <w:p w14:paraId="6B8965B0"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2</w:t>
      </w:r>
      <w:r w:rsidRPr="0052117D">
        <w:rPr>
          <w:rFonts w:asciiTheme="minorHAnsi" w:eastAsiaTheme="minorEastAsia" w:hAnsiTheme="minorHAnsi" w:cstheme="minorHAnsi"/>
          <w:szCs w:val="24"/>
          <w:lang w:eastAsia="zh-CN"/>
        </w:rPr>
        <w:tab/>
        <w:t>a promover asociaciones internacionales en pro de la transformación digital ecológica que doten a los países, en particular a los países en desarrollo, de capacidad para participar en la economía digital;</w:t>
      </w:r>
    </w:p>
    <w:p w14:paraId="110F03A8" w14:textId="77777777" w:rsidR="00081E04" w:rsidRPr="0052117D" w:rsidRDefault="00081E04" w:rsidP="00081E04">
      <w:pPr>
        <w:jc w:val="both"/>
        <w:rPr>
          <w:rFonts w:asciiTheme="minorHAnsi" w:eastAsiaTheme="minorEastAsia" w:hAnsiTheme="minorHAnsi" w:cstheme="minorHAnsi"/>
          <w:szCs w:val="24"/>
          <w:lang w:eastAsia="zh-CN"/>
        </w:rPr>
      </w:pPr>
      <w:r w:rsidRPr="0052117D">
        <w:rPr>
          <w:rFonts w:asciiTheme="minorHAnsi" w:eastAsiaTheme="minorEastAsia" w:hAnsiTheme="minorHAnsi" w:cstheme="minorHAnsi"/>
          <w:szCs w:val="24"/>
          <w:lang w:eastAsia="zh-CN"/>
        </w:rPr>
        <w:t>3</w:t>
      </w:r>
      <w:r w:rsidRPr="0052117D">
        <w:rPr>
          <w:rFonts w:asciiTheme="minorHAnsi" w:eastAsiaTheme="minorEastAsia" w:hAnsiTheme="minorHAnsi" w:cstheme="minorHAnsi"/>
          <w:szCs w:val="24"/>
          <w:lang w:eastAsia="zh-CN"/>
        </w:rPr>
        <w:tab/>
        <w:t>a seguir reforzando la coordinación entre los tres Sectores en sus trabajos relativos a la transformación digital ecológica;</w:t>
      </w:r>
    </w:p>
    <w:p w14:paraId="3377DA8E" w14:textId="77777777" w:rsidR="00234542" w:rsidRDefault="00081E04" w:rsidP="00081E04">
      <w:pPr>
        <w:jc w:val="both"/>
        <w:rPr>
          <w:rFonts w:asciiTheme="minorHAnsi" w:eastAsiaTheme="minorEastAsia" w:hAnsiTheme="minorHAnsi" w:cstheme="minorHAnsi"/>
          <w:szCs w:val="24"/>
          <w:lang w:eastAsia="zh-CN"/>
        </w:rPr>
      </w:pPr>
      <w:r w:rsidRPr="0052117D">
        <w:rPr>
          <w:rFonts w:asciiTheme="minorHAnsi" w:hAnsiTheme="minorHAnsi" w:cstheme="minorHAnsi"/>
          <w:szCs w:val="24"/>
        </w:rPr>
        <w:t>4</w:t>
      </w:r>
      <w:r w:rsidRPr="0052117D">
        <w:rPr>
          <w:rFonts w:asciiTheme="minorHAnsi" w:hAnsiTheme="minorHAnsi" w:cstheme="minorHAnsi"/>
          <w:szCs w:val="24"/>
        </w:rPr>
        <w:tab/>
      </w:r>
      <w:r w:rsidRPr="0052117D">
        <w:rPr>
          <w:rFonts w:asciiTheme="minorHAnsi" w:eastAsiaTheme="minorEastAsia" w:hAnsiTheme="minorHAnsi" w:cstheme="minorHAnsi"/>
          <w:szCs w:val="24"/>
          <w:lang w:eastAsia="zh-CN"/>
        </w:rPr>
        <w:t>a facilitar la colaboración entre los Estados Miembros, las entidades regionales y otras partes interesadas fundamentales, con miras a compartir conocimientos y prácticas idóneas que respalden la creación de capacidad institucional de los Estados Miembros para impulsar las iniciativas de transformación digital ecológica.</w:t>
      </w:r>
    </w:p>
    <w:p w14:paraId="080BFB1B" w14:textId="47A8D81E" w:rsidR="00081E04" w:rsidRPr="0052117D" w:rsidRDefault="00081E04" w:rsidP="00081E04">
      <w:pPr>
        <w:jc w:val="both"/>
        <w:rPr>
          <w:rFonts w:asciiTheme="minorHAnsi" w:hAnsiTheme="minorHAnsi" w:cstheme="minorHAnsi"/>
          <w:sz w:val="22"/>
          <w:szCs w:val="22"/>
        </w:rPr>
      </w:pPr>
      <w:r w:rsidRPr="0052117D">
        <w:rPr>
          <w:rFonts w:asciiTheme="minorHAnsi" w:hAnsiTheme="minorHAnsi" w:cstheme="minorHAnsi"/>
          <w:sz w:val="22"/>
          <w:szCs w:val="22"/>
        </w:rPr>
        <w:br w:type="page"/>
      </w:r>
    </w:p>
    <w:p w14:paraId="4EAD01B1" w14:textId="77777777" w:rsidR="00081E04" w:rsidRPr="0052117D" w:rsidRDefault="00081E04" w:rsidP="00081E04">
      <w:pPr>
        <w:pStyle w:val="OpNo"/>
        <w:rPr>
          <w:lang w:val="es-ES_tradnl"/>
        </w:rPr>
      </w:pPr>
      <w:r w:rsidRPr="0052117D">
        <w:rPr>
          <w:lang w:val="es-ES_tradnl"/>
        </w:rPr>
        <w:lastRenderedPageBreak/>
        <w:t>PROYECTO DE OPINIÓN 3</w:t>
      </w:r>
    </w:p>
    <w:p w14:paraId="5E26B6B2" w14:textId="77777777" w:rsidR="00081E04" w:rsidRPr="0052117D" w:rsidRDefault="00081E04" w:rsidP="00081E04">
      <w:pPr>
        <w:pStyle w:val="Optitle0"/>
        <w:rPr>
          <w:lang w:val="es-ES_tradnl"/>
        </w:rPr>
      </w:pPr>
      <w:r w:rsidRPr="0052117D">
        <w:rPr>
          <w:lang w:val="es-ES_tradnl"/>
        </w:rPr>
        <w:t>La resiliencia de las telecomunicaciones/TIC</w:t>
      </w:r>
    </w:p>
    <w:p w14:paraId="0E3BAAE0" w14:textId="77777777" w:rsidR="00081E04" w:rsidRPr="007115E6" w:rsidRDefault="00081E04" w:rsidP="007115E6">
      <w:pPr>
        <w:pStyle w:val="Normalaftertitle"/>
      </w:pPr>
      <w:r w:rsidRPr="007115E6">
        <w:t>El séptimo Foro Mundial de Política de Telecomunicaciones/TIC (Nassau, 2026),</w:t>
      </w:r>
    </w:p>
    <w:p w14:paraId="22170F8B" w14:textId="77777777" w:rsidR="00081E04" w:rsidRPr="00234542" w:rsidRDefault="00081E04" w:rsidP="00234542">
      <w:pPr>
        <w:pStyle w:val="Call"/>
      </w:pPr>
      <w:r w:rsidRPr="00234542">
        <w:t>recordando</w:t>
      </w:r>
    </w:p>
    <w:p w14:paraId="69BC1BDD" w14:textId="6142E934"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a)</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79/1 de la Asamblea General de las Naciones Unidas (AGNU), sobre el Pacto para el Futuro;</w:t>
      </w:r>
    </w:p>
    <w:p w14:paraId="7085DB5A" w14:textId="1E68A745"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b)</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70/1 de la AGNU, </w:t>
      </w:r>
      <w:r w:rsidRPr="0052117D">
        <w:rPr>
          <w:rFonts w:asciiTheme="minorHAnsi" w:eastAsiaTheme="minorEastAsia" w:hAnsiTheme="minorHAnsi" w:cstheme="minorHAnsi"/>
          <w:i/>
          <w:noProof/>
          <w:szCs w:val="24"/>
          <w:lang w:eastAsia="zh-CN"/>
        </w:rPr>
        <w:t>Transformar nuestro mundo: la Agenda 2030 para el Desarrollo Sostenible</w:t>
      </w:r>
      <w:r w:rsidRPr="0052117D">
        <w:rPr>
          <w:rFonts w:asciiTheme="minorHAnsi" w:eastAsiaTheme="minorEastAsia" w:hAnsiTheme="minorHAnsi" w:cstheme="minorHAnsi"/>
          <w:noProof/>
          <w:szCs w:val="24"/>
          <w:lang w:eastAsia="zh-CN"/>
        </w:rPr>
        <w:t>, en particular los Objetivos de Desarrollo Sostenible 12 (</w:t>
      </w:r>
      <w:r w:rsidR="00387BBE">
        <w:rPr>
          <w:rFonts w:asciiTheme="minorHAnsi" w:eastAsiaTheme="minorEastAsia" w:hAnsiTheme="minorHAnsi" w:cstheme="minorHAnsi"/>
          <w:noProof/>
          <w:szCs w:val="24"/>
          <w:lang w:eastAsia="zh-CN"/>
        </w:rPr>
        <w:t>garantizar modalidades de consumo y producción sostenibles</w:t>
      </w:r>
      <w:r w:rsidRPr="0052117D">
        <w:rPr>
          <w:rFonts w:asciiTheme="minorHAnsi" w:eastAsiaTheme="minorEastAsia" w:hAnsiTheme="minorHAnsi" w:cstheme="minorHAnsi"/>
          <w:noProof/>
          <w:szCs w:val="24"/>
          <w:lang w:eastAsia="zh-CN"/>
        </w:rPr>
        <w:t>) y 13 (</w:t>
      </w:r>
      <w:r w:rsidR="00387BBE">
        <w:rPr>
          <w:rFonts w:asciiTheme="minorHAnsi" w:eastAsiaTheme="minorEastAsia" w:hAnsiTheme="minorHAnsi" w:cstheme="minorHAnsi"/>
          <w:noProof/>
          <w:szCs w:val="24"/>
          <w:lang w:eastAsia="zh-CN"/>
        </w:rPr>
        <w:t>combatir el cambio climático y sus efectos</w:t>
      </w:r>
      <w:r w:rsidRPr="0052117D">
        <w:rPr>
          <w:rFonts w:asciiTheme="minorHAnsi" w:eastAsiaTheme="minorEastAsia" w:hAnsiTheme="minorHAnsi" w:cstheme="minorHAnsi"/>
          <w:noProof/>
          <w:szCs w:val="24"/>
          <w:lang w:eastAsia="zh-CN"/>
        </w:rPr>
        <w:t>);</w:t>
      </w:r>
    </w:p>
    <w:p w14:paraId="5A3D0561" w14:textId="2FE5BFA9"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c)</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80/173 de la AGNU, sobre el documento final de la reunión de alto nivel sobre el examen general de la aplicación de los resultados de la Cumbre Mundial sobre la Sociedad de la Información (CMSI+20);</w:t>
      </w:r>
    </w:p>
    <w:p w14:paraId="7204337A" w14:textId="62712FCB"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d)</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130 (Rev. Bucarest, 2022) de la Conferencia de Plenipotenciarios, sobre el fortalecimiento del papel de la UIT en la creación de confianza y seguridad en la utilización de las tecnologías de la información y la comunicación (TIC);</w:t>
      </w:r>
    </w:p>
    <w:p w14:paraId="2637B5F9" w14:textId="590E8D40"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e)</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136 (Rev. Bucarest, 2022) de la </w:t>
      </w:r>
      <w:r w:rsidR="00387BBE">
        <w:rPr>
          <w:rFonts w:asciiTheme="minorHAnsi" w:eastAsiaTheme="minorEastAsia" w:hAnsiTheme="minorHAnsi" w:cstheme="minorHAnsi"/>
          <w:noProof/>
          <w:szCs w:val="24"/>
          <w:lang w:eastAsia="zh-CN"/>
        </w:rPr>
        <w:t>Conferencia de Plenipotenciarios</w:t>
      </w:r>
      <w:r w:rsidRPr="0052117D">
        <w:rPr>
          <w:rFonts w:asciiTheme="minorHAnsi" w:eastAsiaTheme="minorEastAsia" w:hAnsiTheme="minorHAnsi" w:cstheme="minorHAnsi"/>
          <w:noProof/>
          <w:szCs w:val="24"/>
          <w:lang w:eastAsia="zh-CN"/>
        </w:rPr>
        <w:t>, sobre la utilización de las telecomunicaciones/TIC para la asistencia humanitaria y el control y la gestión en situaciones de emergencia y catástrofes, incluidas las situaciones de emergencia sanitaria, la alerta temprana, la prevención, la mitigación y las operaciones de socorro;</w:t>
      </w:r>
    </w:p>
    <w:p w14:paraId="424CE59A" w14:textId="1E4DAAB1"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f)</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139 (Rev. Bucarest, 2022) de la Conferencia de Plenipotenciarios, sobre la utilización de las telecomunicaciones/</w:t>
      </w:r>
      <w:r w:rsidR="00387BBE">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 xml:space="preserve"> para reducir la brecha digital y crear una sociedad de la información inclusiva;</w:t>
      </w:r>
    </w:p>
    <w:p w14:paraId="1B111E1D" w14:textId="4E25801A"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g)</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182 (Rev. Bucarest, 2022) de la Conferencia de Plenipotenciarios, sobre el papel de las telecomunicaciones/TIC en el cambio climático y la protección del medio ambiente;</w:t>
      </w:r>
    </w:p>
    <w:p w14:paraId="7ABCF7DA" w14:textId="249A04FF"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h)</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200 (Rev. Bucarest, 2022) de la Conferencia de Plenipotenciarios, sobre la Agenda Conectar 2030 de las telecomunicaciones/</w:t>
      </w:r>
      <w:r w:rsidR="00387BBE">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 xml:space="preserve"> mundiales, incluida la banda ancha, para el desarrollo sostenible;</w:t>
      </w:r>
    </w:p>
    <w:p w14:paraId="3E7D64AD" w14:textId="43BE630F"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i)</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11 (Rev. Bakú, 2025) de la Conferencia Mundial de Desarrollo de las Telecomunicaciones (CMDT), sobre los servicios de telecomunicaciones/</w:t>
      </w:r>
      <w:r w:rsidR="00387BBE">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 xml:space="preserve"> en las zonas rurales, aisladas, desatendidas o subatendidas;</w:t>
      </w:r>
    </w:p>
    <w:p w14:paraId="6B8C0BB3"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j)</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34 (Rev. Bakú, 2025) de la CMDT, sobre la función de las telecomunicaciones/TIC en la preparación, alerta temprana, rescate, mitigación, socorro y respuesta en situaciones de catástrofe;</w:t>
      </w:r>
    </w:p>
    <w:p w14:paraId="76A9BD7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k)</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37 (Rev. Bakú, 2025) de la CMDT, sobre la reducción de la brecha digital;</w:t>
      </w:r>
    </w:p>
    <w:p w14:paraId="68D6B714" w14:textId="4DE45A10"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l)</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45 (Rev. Bakú, 2025) de la CMDT, sobre los mecanismos para mejorar la cooperación en materia de ciberseguridad,</w:t>
      </w:r>
      <w:r w:rsidR="00387BBE">
        <w:rPr>
          <w:rFonts w:asciiTheme="minorHAnsi" w:eastAsiaTheme="minorEastAsia" w:hAnsiTheme="minorHAnsi" w:cstheme="minorHAnsi"/>
          <w:noProof/>
          <w:szCs w:val="24"/>
          <w:lang w:eastAsia="zh-CN"/>
        </w:rPr>
        <w:t xml:space="preserve"> incluida la lucha contra el correo basura,</w:t>
      </w:r>
    </w:p>
    <w:p w14:paraId="103A584E" w14:textId="77777777" w:rsidR="00081E04" w:rsidRPr="00234542" w:rsidRDefault="00081E04" w:rsidP="00234542">
      <w:pPr>
        <w:pStyle w:val="Call"/>
      </w:pPr>
      <w:r w:rsidRPr="00234542">
        <w:lastRenderedPageBreak/>
        <w:t>observando</w:t>
      </w:r>
    </w:p>
    <w:p w14:paraId="295A5A3D"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bCs/>
          <w:szCs w:val="24"/>
        </w:rPr>
      </w:pPr>
      <w:r w:rsidRPr="0052117D">
        <w:rPr>
          <w:rFonts w:asciiTheme="minorHAnsi" w:hAnsiTheme="minorHAnsi" w:cstheme="minorHAnsi"/>
          <w:szCs w:val="24"/>
        </w:rPr>
        <w:t xml:space="preserve">que las telecomunicaciones/TIC resilientes son capaces de predecir y soportar diversas situaciones de emergencia, así como de responder a ellas, entre ellas, sin ánimo exhaustivo, </w:t>
      </w:r>
      <w:r w:rsidRPr="0052117D">
        <w:rPr>
          <w:rFonts w:asciiTheme="minorHAnsi" w:hAnsiTheme="minorHAnsi" w:cstheme="minorHAnsi"/>
          <w:bCs/>
          <w:szCs w:val="24"/>
        </w:rPr>
        <w:t xml:space="preserve">las relacionadas con el clima, los </w:t>
      </w:r>
      <w:proofErr w:type="spellStart"/>
      <w:r w:rsidRPr="0052117D">
        <w:rPr>
          <w:rFonts w:asciiTheme="minorHAnsi" w:hAnsiTheme="minorHAnsi" w:cstheme="minorHAnsi"/>
          <w:bCs/>
          <w:szCs w:val="24"/>
        </w:rPr>
        <w:t>ciberincidentes</w:t>
      </w:r>
      <w:proofErr w:type="spellEnd"/>
      <w:r w:rsidRPr="0052117D">
        <w:rPr>
          <w:rFonts w:asciiTheme="minorHAnsi" w:hAnsiTheme="minorHAnsi" w:cstheme="minorHAnsi"/>
          <w:bCs/>
          <w:szCs w:val="24"/>
        </w:rPr>
        <w:t xml:space="preserve"> y los peligros o catástrofes naturales,</w:t>
      </w:r>
    </w:p>
    <w:p w14:paraId="0A44AEF4" w14:textId="77777777" w:rsidR="00081E04" w:rsidRPr="00234542" w:rsidRDefault="00081E04" w:rsidP="00234542">
      <w:pPr>
        <w:pStyle w:val="Call"/>
      </w:pPr>
      <w:r w:rsidRPr="00234542">
        <w:t>teniendo en cuenta</w:t>
      </w:r>
    </w:p>
    <w:p w14:paraId="07F8837C"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a)</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 xml:space="preserve">que la construcción de telecomunicaciones/TIC resilientes, capaces de soportar catástrofes o </w:t>
      </w:r>
      <w:r w:rsidRPr="0052117D">
        <w:rPr>
          <w:rFonts w:asciiTheme="minorHAnsi" w:eastAsiaTheme="minorEastAsia" w:hAnsiTheme="minorHAnsi" w:cstheme="minorHAnsi"/>
          <w:noProof/>
          <w:szCs w:val="24"/>
          <w:lang w:eastAsia="zh-CN"/>
        </w:rPr>
        <w:t>peligros naturales</w:t>
      </w:r>
      <w:r w:rsidRPr="0052117D">
        <w:rPr>
          <w:rFonts w:asciiTheme="minorHAnsi" w:eastAsiaTheme="minorEastAsia" w:hAnsiTheme="minorHAnsi" w:cstheme="minorHAnsi"/>
          <w:szCs w:val="24"/>
          <w:lang w:eastAsia="zh-CN"/>
        </w:rPr>
        <w:t xml:space="preserve">, diversas </w:t>
      </w:r>
      <w:proofErr w:type="spellStart"/>
      <w:r w:rsidRPr="0052117D">
        <w:rPr>
          <w:rFonts w:asciiTheme="minorHAnsi" w:eastAsiaTheme="minorEastAsia" w:hAnsiTheme="minorHAnsi" w:cstheme="minorHAnsi"/>
          <w:szCs w:val="24"/>
          <w:lang w:eastAsia="zh-CN"/>
        </w:rPr>
        <w:t>ciberamenazas</w:t>
      </w:r>
      <w:proofErr w:type="spellEnd"/>
      <w:r w:rsidRPr="0052117D">
        <w:rPr>
          <w:rFonts w:asciiTheme="minorHAnsi" w:eastAsiaTheme="minorEastAsia" w:hAnsiTheme="minorHAnsi" w:cstheme="minorHAnsi"/>
          <w:szCs w:val="24"/>
          <w:lang w:eastAsia="zh-CN"/>
        </w:rPr>
        <w:t xml:space="preserve"> e interrupciones técnicas no malintencionadas, resulta vital en una época en que el acceso a los servicios e información esenciales y su prestación dependen de Internet;</w:t>
      </w:r>
    </w:p>
    <w:p w14:paraId="63D8F267" w14:textId="77A982FD"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b)</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las iniciativas en materia de resiliencia revisten una importancia creciente, puesto que el cambio climático contribuye a un mayor número de catástrofes que afectan a las telecomunicaciones/TIC;</w:t>
      </w:r>
    </w:p>
    <w:p w14:paraId="14D848C4" w14:textId="3D132A55"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c)</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la importancia de garantizar que las telecomunicaciones/TIC resilientes sean accesibles para todos, en particular para los grupos no atendidos e insuficientemente atendidos, dado que las crisis pueden agravar las desigualdades y brechas digitales preexistentes;</w:t>
      </w:r>
    </w:p>
    <w:p w14:paraId="486C3788" w14:textId="234BD3A0"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d)</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los múltiples retos interrelacionados que plantean las brechas digitales geográficas a la hora de concebir y desplegar telecomunicaciones/TIC resilientes en los países menos adelantados (</w:t>
      </w:r>
      <w:proofErr w:type="spellStart"/>
      <w:r w:rsidRPr="0052117D">
        <w:rPr>
          <w:rFonts w:asciiTheme="minorHAnsi" w:eastAsiaTheme="minorEastAsia" w:hAnsiTheme="minorHAnsi" w:cstheme="minorHAnsi"/>
          <w:szCs w:val="24"/>
          <w:lang w:eastAsia="zh-CN"/>
        </w:rPr>
        <w:t>PMA</w:t>
      </w:r>
      <w:proofErr w:type="spellEnd"/>
      <w:r w:rsidRPr="0052117D">
        <w:rPr>
          <w:rFonts w:asciiTheme="minorHAnsi" w:eastAsiaTheme="minorEastAsia" w:hAnsiTheme="minorHAnsi" w:cstheme="minorHAnsi"/>
          <w:szCs w:val="24"/>
          <w:lang w:eastAsia="zh-CN"/>
        </w:rPr>
        <w:t>), los países en desarrollo sin litoral (</w:t>
      </w:r>
      <w:proofErr w:type="spellStart"/>
      <w:r w:rsidRPr="0052117D">
        <w:rPr>
          <w:rFonts w:asciiTheme="minorHAnsi" w:eastAsiaTheme="minorEastAsia" w:hAnsiTheme="minorHAnsi" w:cstheme="minorHAnsi"/>
          <w:szCs w:val="24"/>
          <w:lang w:eastAsia="zh-CN"/>
        </w:rPr>
        <w:t>PDSL</w:t>
      </w:r>
      <w:proofErr w:type="spellEnd"/>
      <w:r w:rsidRPr="0052117D">
        <w:rPr>
          <w:rFonts w:asciiTheme="minorHAnsi" w:eastAsiaTheme="minorEastAsia" w:hAnsiTheme="minorHAnsi" w:cstheme="minorHAnsi"/>
          <w:szCs w:val="24"/>
          <w:lang w:eastAsia="zh-CN"/>
        </w:rPr>
        <w:t>) y los pequeños Estados insulares en desarrollo (</w:t>
      </w:r>
      <w:proofErr w:type="spellStart"/>
      <w:r w:rsidRPr="0052117D">
        <w:rPr>
          <w:rFonts w:asciiTheme="minorHAnsi" w:eastAsiaTheme="minorEastAsia" w:hAnsiTheme="minorHAnsi" w:cstheme="minorHAnsi"/>
          <w:szCs w:val="24"/>
          <w:lang w:eastAsia="zh-CN"/>
        </w:rPr>
        <w:t>PEID</w:t>
      </w:r>
      <w:proofErr w:type="spellEnd"/>
      <w:r w:rsidRPr="0052117D">
        <w:rPr>
          <w:rFonts w:asciiTheme="minorHAnsi" w:eastAsiaTheme="minorEastAsia" w:hAnsiTheme="minorHAnsi" w:cstheme="minorHAnsi"/>
          <w:szCs w:val="24"/>
          <w:lang w:eastAsia="zh-CN"/>
        </w:rPr>
        <w:t>), donde la limitada capacidad para crear resiliencia y la vulnerabilidad de sus emplazamientos agravan los efectos de las emergencias sobre sus economías e infraestructuras;</w:t>
      </w:r>
    </w:p>
    <w:p w14:paraId="7A9B3C50"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e)</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la importancia de desarrollar telecomunicaciones/TIC resilientes capaces de soportar diversas amenazas y que respondan al mismo tiempo a los distintos requisitos de acceso de los usuarios, en particular a los de las personas con discapacidad y las personas con necesidades específicas, con objeto de garantizar un despliegue equitativo de las telecomunicaciones/TIC resilientes;</w:t>
      </w:r>
    </w:p>
    <w:p w14:paraId="3065B616" w14:textId="2F026550"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f)</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 xml:space="preserve">que el Comité de las Naciones Unidas para la Eliminación de la Discriminación contra la Mujer señaló, en su Recomendación general núm. 37, que la falta de </w:t>
      </w:r>
      <w:proofErr w:type="gramStart"/>
      <w:r w:rsidRPr="0052117D">
        <w:rPr>
          <w:rFonts w:asciiTheme="minorHAnsi" w:eastAsiaTheme="minorEastAsia" w:hAnsiTheme="minorHAnsi" w:cstheme="minorHAnsi"/>
          <w:szCs w:val="24"/>
          <w:lang w:eastAsia="zh-CN"/>
        </w:rPr>
        <w:t>participación activa</w:t>
      </w:r>
      <w:proofErr w:type="gramEnd"/>
      <w:r w:rsidRPr="0052117D">
        <w:rPr>
          <w:rFonts w:asciiTheme="minorHAnsi" w:eastAsiaTheme="minorEastAsia" w:hAnsiTheme="minorHAnsi" w:cstheme="minorHAnsi"/>
          <w:szCs w:val="24"/>
          <w:lang w:eastAsia="zh-CN"/>
        </w:rPr>
        <w:t xml:space="preserve"> de las mujeres en los programas relativos a la reducción del riesgo de catástrofes y a la resiliencia climática puede menoscabar su desarrollo y su eficacia,</w:t>
      </w:r>
    </w:p>
    <w:p w14:paraId="4907288F" w14:textId="77777777" w:rsidR="00081E04" w:rsidRPr="00234542" w:rsidRDefault="00081E04" w:rsidP="00234542">
      <w:pPr>
        <w:pStyle w:val="Call"/>
      </w:pPr>
      <w:r w:rsidRPr="00234542">
        <w:t>considerando</w:t>
      </w:r>
    </w:p>
    <w:p w14:paraId="32ABC320" w14:textId="46E445E4"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a)</w:t>
      </w:r>
      <w:r w:rsidRPr="0052117D">
        <w:rPr>
          <w:rFonts w:asciiTheme="minorHAnsi" w:hAnsiTheme="minorHAnsi" w:cstheme="minorHAnsi"/>
          <w:i/>
          <w:szCs w:val="24"/>
        </w:rPr>
        <w:tab/>
      </w:r>
      <w:r w:rsidRPr="0052117D">
        <w:rPr>
          <w:rFonts w:asciiTheme="minorHAnsi" w:hAnsiTheme="minorHAnsi" w:cstheme="minorHAnsi"/>
          <w:szCs w:val="24"/>
        </w:rPr>
        <w:t>que unas infraestructuras de telecomunicaciones/TIC resilientes resultan esenciales para respaldar la economía digital mundial, fomentar la innovación e impulsar el crecimiento, especialmente a medida que las economías dependen cada vez más de unos sistemas TIC robustos;</w:t>
      </w:r>
    </w:p>
    <w:p w14:paraId="02697FEA" w14:textId="3E5A1631"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b)</w:t>
      </w:r>
      <w:r w:rsidRPr="0052117D">
        <w:rPr>
          <w:rFonts w:asciiTheme="minorHAnsi" w:hAnsiTheme="minorHAnsi" w:cstheme="minorHAnsi"/>
          <w:i/>
          <w:szCs w:val="24"/>
        </w:rPr>
        <w:tab/>
      </w:r>
      <w:r w:rsidRPr="0052117D">
        <w:rPr>
          <w:rFonts w:asciiTheme="minorHAnsi" w:hAnsiTheme="minorHAnsi" w:cstheme="minorHAnsi"/>
          <w:szCs w:val="24"/>
        </w:rPr>
        <w:t>que la promoción de una conectividad fiable y segura y de la accesibilidad de los sistemas de telecomunicaciones/TIC para todos los segmentos de la sociedad puede mejorar las oportunidades económicas, la educación, la sanidad y otros sectores esenciales, contribuyendo así a un desarrollo económico</w:t>
      </w:r>
      <w:r w:rsidRPr="0052117D">
        <w:rPr>
          <w:b/>
          <w:szCs w:val="24"/>
        </w:rPr>
        <w:t xml:space="preserve"> </w:t>
      </w:r>
      <w:r w:rsidRPr="0052117D">
        <w:rPr>
          <w:rFonts w:asciiTheme="minorHAnsi" w:hAnsiTheme="minorHAnsi" w:cstheme="minorHAnsi"/>
          <w:szCs w:val="24"/>
        </w:rPr>
        <w:t>sostenible;</w:t>
      </w:r>
    </w:p>
    <w:p w14:paraId="245CECF5"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c)</w:t>
      </w:r>
      <w:r w:rsidRPr="0052117D">
        <w:rPr>
          <w:rFonts w:asciiTheme="minorHAnsi" w:hAnsiTheme="minorHAnsi" w:cstheme="minorHAnsi"/>
          <w:i/>
          <w:szCs w:val="24"/>
        </w:rPr>
        <w:tab/>
      </w:r>
      <w:r w:rsidRPr="0052117D">
        <w:rPr>
          <w:rFonts w:asciiTheme="minorHAnsi" w:hAnsiTheme="minorHAnsi" w:cstheme="minorHAnsi"/>
          <w:szCs w:val="24"/>
        </w:rPr>
        <w:t>que el fortalecimiento de las infraestructuras de telecomunicaciones/TIC en las zonas insuficientemente atendidas y remotas, mediante soluciones innovadoras, contribuiría a unas economías digitales resilientes;</w:t>
      </w:r>
    </w:p>
    <w:p w14:paraId="1BFB2848"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d)</w:t>
      </w:r>
      <w:r w:rsidRPr="0052117D">
        <w:rPr>
          <w:rFonts w:asciiTheme="minorHAnsi" w:hAnsiTheme="minorHAnsi" w:cstheme="minorHAnsi"/>
          <w:i/>
          <w:szCs w:val="24"/>
        </w:rPr>
        <w:tab/>
      </w:r>
      <w:r w:rsidRPr="0052117D">
        <w:rPr>
          <w:rFonts w:asciiTheme="minorHAnsi" w:hAnsiTheme="minorHAnsi" w:cstheme="minorHAnsi"/>
          <w:szCs w:val="24"/>
        </w:rPr>
        <w:t xml:space="preserve">que unos sistemas de telecomunicaciones/TIC resilientes y seguros resultan esenciales para respaldar la continuidad de las actividades, la prestación de servicios públicos y el acceso a servicios </w:t>
      </w:r>
      <w:r w:rsidRPr="0052117D">
        <w:rPr>
          <w:rFonts w:asciiTheme="minorHAnsi" w:hAnsiTheme="minorHAnsi" w:cstheme="minorHAnsi"/>
          <w:szCs w:val="24"/>
        </w:rPr>
        <w:lastRenderedPageBreak/>
        <w:t xml:space="preserve">esenciales en tiempos de crisis, catástrofes naturales, diversas </w:t>
      </w:r>
      <w:proofErr w:type="spellStart"/>
      <w:r w:rsidRPr="0052117D">
        <w:rPr>
          <w:rFonts w:asciiTheme="minorHAnsi" w:hAnsiTheme="minorHAnsi" w:cstheme="minorHAnsi"/>
          <w:szCs w:val="24"/>
        </w:rPr>
        <w:t>ciberamenazas</w:t>
      </w:r>
      <w:proofErr w:type="spellEnd"/>
      <w:r w:rsidRPr="0052117D">
        <w:rPr>
          <w:rFonts w:asciiTheme="minorHAnsi" w:hAnsiTheme="minorHAnsi" w:cstheme="minorHAnsi"/>
          <w:szCs w:val="24"/>
        </w:rPr>
        <w:t>, interrupciones técnicas no malintencionadas y emergencias sanitarias mundiales;</w:t>
      </w:r>
    </w:p>
    <w:p w14:paraId="0D452242"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e)</w:t>
      </w:r>
      <w:r w:rsidRPr="0052117D">
        <w:rPr>
          <w:rFonts w:asciiTheme="minorHAnsi" w:hAnsiTheme="minorHAnsi" w:cstheme="minorHAnsi"/>
          <w:i/>
          <w:szCs w:val="24"/>
        </w:rPr>
        <w:tab/>
      </w:r>
      <w:r w:rsidRPr="0052117D">
        <w:rPr>
          <w:rFonts w:asciiTheme="minorHAnsi" w:hAnsiTheme="minorHAnsi" w:cstheme="minorHAnsi"/>
          <w:szCs w:val="24"/>
        </w:rPr>
        <w:t>que la utilización de las telecomunicaciones/TIC para el intercambio de información en caso de crisis constituye una potente herramienta de adopción de decisiones para los servicios de salvamento y respuesta y las entidades explotadoras, así como para la comunicación con las personas y entre ellas; que las TIC resultan esenciales para las actividades de resiliencia climática, tales como el seguimiento del clima y la protección de los ecosistemas naturales, la recopilación de datos, la transmisión rápida de información y la gestión de los riesgos del cambio climático;</w:t>
      </w:r>
    </w:p>
    <w:p w14:paraId="303FF81F"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f)</w:t>
      </w:r>
      <w:r w:rsidRPr="0052117D">
        <w:rPr>
          <w:rFonts w:asciiTheme="minorHAnsi" w:hAnsiTheme="minorHAnsi" w:cstheme="minorHAnsi"/>
          <w:i/>
          <w:szCs w:val="24"/>
        </w:rPr>
        <w:tab/>
      </w:r>
      <w:r w:rsidRPr="0052117D">
        <w:rPr>
          <w:rFonts w:asciiTheme="minorHAnsi" w:hAnsiTheme="minorHAnsi" w:cstheme="minorHAnsi"/>
          <w:szCs w:val="24"/>
        </w:rPr>
        <w:t xml:space="preserve">que las telecomunicaciones/TIC deben mantenerse resilientes y fiables frente a un abanico de perturbaciones externas, tales como las catástrofes o peligros naturales, los cortes de suministro eléctrico y los </w:t>
      </w:r>
      <w:proofErr w:type="spellStart"/>
      <w:r w:rsidRPr="0052117D">
        <w:rPr>
          <w:rFonts w:asciiTheme="minorHAnsi" w:hAnsiTheme="minorHAnsi" w:cstheme="minorHAnsi"/>
          <w:szCs w:val="24"/>
        </w:rPr>
        <w:t>ciberincidentes</w:t>
      </w:r>
      <w:proofErr w:type="spellEnd"/>
      <w:r w:rsidRPr="0052117D">
        <w:rPr>
          <w:rFonts w:asciiTheme="minorHAnsi" w:hAnsiTheme="minorHAnsi" w:cstheme="minorHAnsi"/>
          <w:szCs w:val="24"/>
        </w:rPr>
        <w:t>;</w:t>
      </w:r>
    </w:p>
    <w:p w14:paraId="211E954E" w14:textId="211231E4"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g)</w:t>
      </w:r>
      <w:r w:rsidRPr="0052117D">
        <w:rPr>
          <w:rFonts w:asciiTheme="minorHAnsi" w:hAnsiTheme="minorHAnsi" w:cstheme="minorHAnsi"/>
          <w:i/>
          <w:szCs w:val="24"/>
        </w:rPr>
        <w:tab/>
      </w:r>
      <w:r w:rsidRPr="0052117D">
        <w:rPr>
          <w:rFonts w:asciiTheme="minorHAnsi" w:hAnsiTheme="minorHAnsi" w:cstheme="minorHAnsi"/>
          <w:szCs w:val="24"/>
        </w:rPr>
        <w:t>que la mejora de la ciberseguridad de los sistemas de telecomunicaciones/TIC resulta esencial para generar confianza en las economías digitales, respaldar las transacciones financieras y el comercio electrónico y salvaguardar la información de identificación personal;</w:t>
      </w:r>
    </w:p>
    <w:p w14:paraId="2D529539" w14:textId="5210B45F"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h)</w:t>
      </w:r>
      <w:r w:rsidRPr="0052117D">
        <w:rPr>
          <w:rFonts w:asciiTheme="minorHAnsi" w:hAnsiTheme="minorHAnsi" w:cstheme="minorHAnsi"/>
          <w:i/>
          <w:szCs w:val="24"/>
        </w:rPr>
        <w:tab/>
      </w:r>
      <w:r w:rsidRPr="0052117D">
        <w:rPr>
          <w:rFonts w:asciiTheme="minorHAnsi" w:hAnsiTheme="minorHAnsi" w:cstheme="minorHAnsi"/>
          <w:szCs w:val="24"/>
        </w:rPr>
        <w:t>que la resiliencia debería incorporarse en todas las fases del diseño y el despliegue de las telecomunicaciones/TIC, con objeto de preservar su durabilidad a lo largo de todo su ciclo de vida, soportar entornos cambiantes y evitar agravar las amenazas y vulnerabilidades;</w:t>
      </w:r>
    </w:p>
    <w:p w14:paraId="543374E9"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i)</w:t>
      </w:r>
      <w:r w:rsidRPr="0052117D">
        <w:rPr>
          <w:rFonts w:asciiTheme="minorHAnsi" w:hAnsiTheme="minorHAnsi" w:cstheme="minorHAnsi"/>
          <w:i/>
          <w:szCs w:val="24"/>
        </w:rPr>
        <w:tab/>
      </w:r>
      <w:r w:rsidRPr="0052117D">
        <w:rPr>
          <w:rFonts w:asciiTheme="minorHAnsi" w:hAnsiTheme="minorHAnsi" w:cstheme="minorHAnsi"/>
          <w:szCs w:val="24"/>
        </w:rPr>
        <w:t>la necesidad de fomentar la sensibilización de la población sobre las medidas básicas de seguridad en materia de resiliencia, incluida la ciberhigiene, y de garantizar que los mensajes sean accesibles para todos los usuarios;</w:t>
      </w:r>
    </w:p>
    <w:p w14:paraId="5518FA3E" w14:textId="65E4715B"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j)</w:t>
      </w:r>
      <w:r w:rsidRPr="0052117D">
        <w:rPr>
          <w:rFonts w:asciiTheme="minorHAnsi" w:hAnsiTheme="minorHAnsi" w:cstheme="minorHAnsi"/>
          <w:i/>
          <w:szCs w:val="24"/>
        </w:rPr>
        <w:tab/>
      </w:r>
      <w:r w:rsidRPr="0052117D">
        <w:rPr>
          <w:rFonts w:asciiTheme="minorHAnsi" w:hAnsiTheme="minorHAnsi" w:cstheme="minorHAnsi"/>
          <w:szCs w:val="24"/>
        </w:rPr>
        <w:t>que el fomento de asociaciones entre los gobiernos, el sector privado, las autoridades reguladoras, la sociedad civil, la comunidad técnica, las instituciones académicas y las organizaciones internacionales resulta fundamental para garantizar el desarrollo de ecosistemas de telecomunicaciones/TIC resilientes, capaces de adaptarse a la evolución de las amenazas y oportunidades de la economía digital;</w:t>
      </w:r>
    </w:p>
    <w:p w14:paraId="3A44F012" w14:textId="07DDAFE4"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k)</w:t>
      </w:r>
      <w:r w:rsidRPr="0052117D">
        <w:rPr>
          <w:rFonts w:asciiTheme="minorHAnsi" w:hAnsiTheme="minorHAnsi" w:cstheme="minorHAnsi"/>
          <w:i/>
          <w:szCs w:val="24"/>
        </w:rPr>
        <w:tab/>
      </w:r>
      <w:r w:rsidRPr="0052117D">
        <w:rPr>
          <w:rFonts w:asciiTheme="minorHAnsi" w:hAnsiTheme="minorHAnsi" w:cstheme="minorHAnsi"/>
          <w:szCs w:val="24"/>
        </w:rPr>
        <w:t>que la colaboración internacional y el intercambio de prácticas idóneas pueden reforzar las capacidades nacionales para construir sistemas de telecomunicaciones/TIC robustos, garantizando que todos los países se beneficien de las oportunidades que brinda la economía digital;</w:t>
      </w:r>
    </w:p>
    <w:p w14:paraId="01BAAA53"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l)</w:t>
      </w:r>
      <w:r w:rsidRPr="0052117D">
        <w:rPr>
          <w:rFonts w:asciiTheme="minorHAnsi" w:hAnsiTheme="minorHAnsi" w:cstheme="minorHAnsi"/>
          <w:i/>
          <w:szCs w:val="24"/>
        </w:rPr>
        <w:tab/>
      </w:r>
      <w:r w:rsidRPr="0052117D">
        <w:rPr>
          <w:rFonts w:asciiTheme="minorHAnsi" w:hAnsiTheme="minorHAnsi" w:cstheme="minorHAnsi"/>
          <w:szCs w:val="24"/>
        </w:rPr>
        <w:t>la importancia de las estrategias iterativas a largo plazo y de los planes de gestión de riesgos que coordinen la resiliencia de una amplia gama de telecomunicaciones/TIC, los cuales facilitan la anticipación y la respuesta a los problemas en distintos contextos y permiten hacer frente a unas amenazas y vulnerabilidades en constante evolución;</w:t>
      </w:r>
    </w:p>
    <w:p w14:paraId="7124E613" w14:textId="5EB16CA8"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m)</w:t>
      </w:r>
      <w:r w:rsidRPr="0052117D">
        <w:rPr>
          <w:rFonts w:asciiTheme="minorHAnsi" w:hAnsiTheme="minorHAnsi" w:cstheme="minorHAnsi"/>
          <w:i/>
          <w:szCs w:val="24"/>
        </w:rPr>
        <w:tab/>
      </w:r>
      <w:r w:rsidRPr="0052117D">
        <w:rPr>
          <w:rFonts w:asciiTheme="minorHAnsi" w:hAnsiTheme="minorHAnsi" w:cstheme="minorHAnsi"/>
          <w:szCs w:val="24"/>
        </w:rPr>
        <w:t>que la promoción y utilización de tecnologías innovadoras pueden desempeñar una función crucial en la construcción de economías de telecomunicaciones/TIC resilientes, capaces de adaptarse a los avances tecnológicos y a los cambios del mercado;</w:t>
      </w:r>
    </w:p>
    <w:p w14:paraId="2F9B6263"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n)</w:t>
      </w:r>
      <w:r w:rsidRPr="0052117D">
        <w:rPr>
          <w:rFonts w:asciiTheme="minorHAnsi" w:hAnsiTheme="minorHAnsi" w:cstheme="minorHAnsi"/>
          <w:i/>
          <w:szCs w:val="24"/>
        </w:rPr>
        <w:tab/>
      </w:r>
      <w:r w:rsidRPr="0052117D">
        <w:rPr>
          <w:rFonts w:asciiTheme="minorHAnsi" w:hAnsiTheme="minorHAnsi" w:cstheme="minorHAnsi"/>
          <w:szCs w:val="24"/>
        </w:rPr>
        <w:t>la importancia de las infraestructuras de cables submarinos y de su resiliencia, así como los resultados de las Cumbres Internacionales sobre la Resiliencia de los Cables Submarinos celebradas en Abuya en 2025 y en Oporto en 2026,</w:t>
      </w:r>
    </w:p>
    <w:p w14:paraId="771A47B4" w14:textId="77777777" w:rsidR="00081E04" w:rsidRPr="00234542" w:rsidRDefault="00081E04" w:rsidP="00234542">
      <w:pPr>
        <w:pStyle w:val="Call"/>
      </w:pPr>
      <w:r w:rsidRPr="00234542">
        <w:t>reconociendo</w:t>
      </w:r>
    </w:p>
    <w:p w14:paraId="463DB921" w14:textId="57A25706"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a)</w:t>
      </w:r>
      <w:r w:rsidRPr="0052117D">
        <w:rPr>
          <w:rFonts w:asciiTheme="minorHAnsi" w:hAnsiTheme="minorHAnsi" w:cstheme="minorHAnsi"/>
          <w:i/>
          <w:szCs w:val="24"/>
        </w:rPr>
        <w:tab/>
      </w:r>
      <w:r w:rsidRPr="0052117D">
        <w:rPr>
          <w:rFonts w:asciiTheme="minorHAnsi" w:hAnsiTheme="minorHAnsi" w:cstheme="minorHAnsi"/>
          <w:szCs w:val="24"/>
        </w:rPr>
        <w:t>que unas telecomunicaciones/TIC resilientes constituyen un fundamento esencial del desarrollo sostenible y de la reducción de las brechas digitales;</w:t>
      </w:r>
    </w:p>
    <w:p w14:paraId="48F400D4"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lastRenderedPageBreak/>
        <w:t>b)</w:t>
      </w:r>
      <w:r w:rsidRPr="0052117D">
        <w:rPr>
          <w:rFonts w:asciiTheme="minorHAnsi" w:hAnsiTheme="minorHAnsi" w:cstheme="minorHAnsi"/>
          <w:i/>
          <w:szCs w:val="24"/>
        </w:rPr>
        <w:tab/>
      </w:r>
      <w:r w:rsidRPr="0052117D">
        <w:rPr>
          <w:rFonts w:asciiTheme="minorHAnsi" w:hAnsiTheme="minorHAnsi" w:cstheme="minorHAnsi"/>
          <w:szCs w:val="24"/>
        </w:rPr>
        <w:t>que la adopción de tecnologías avanzadas exigiría una inversión de capital considerable que puede resultar inaccesible para los países en desarrollo, lo que se traduce en una dependencia continuada de infraestructuras TIC obsoletas;</w:t>
      </w:r>
    </w:p>
    <w:p w14:paraId="53D096B0"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c)</w:t>
      </w:r>
      <w:r w:rsidRPr="0052117D">
        <w:rPr>
          <w:rFonts w:asciiTheme="minorHAnsi" w:hAnsiTheme="minorHAnsi" w:cstheme="minorHAnsi"/>
          <w:i/>
          <w:szCs w:val="24"/>
        </w:rPr>
        <w:tab/>
      </w:r>
      <w:r w:rsidRPr="0052117D">
        <w:rPr>
          <w:rFonts w:asciiTheme="minorHAnsi" w:hAnsiTheme="minorHAnsi" w:cstheme="minorHAnsi"/>
          <w:szCs w:val="24"/>
        </w:rPr>
        <w:t>que la inexistencia o inestabilidad del suministro eléctrico de la red en numerosos países en desarrollo dificulta considerablemente la adopción, el despliegue, la explotación y el mantenimiento de infraestructuras TIC modernas;</w:t>
      </w:r>
    </w:p>
    <w:p w14:paraId="0431B755" w14:textId="09F173E6"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d)</w:t>
      </w:r>
      <w:r w:rsidRPr="0052117D">
        <w:rPr>
          <w:rFonts w:asciiTheme="minorHAnsi" w:hAnsiTheme="minorHAnsi" w:cstheme="minorHAnsi"/>
          <w:i/>
          <w:szCs w:val="24"/>
        </w:rPr>
        <w:tab/>
      </w:r>
      <w:r w:rsidRPr="0052117D">
        <w:rPr>
          <w:rFonts w:asciiTheme="minorHAnsi" w:hAnsiTheme="minorHAnsi" w:cstheme="minorHAnsi"/>
          <w:szCs w:val="24"/>
        </w:rPr>
        <w:t>la función del sector privado, la sociedad civil, la comunidad técnica, las instituciones académicas y las organizaciones regionales e internacionales en la provisión de equipos y servicios de telecomunicaciones/TIC, conocimientos especializados y asistencia para la creación de capacidad, con objeto de respaldar las iniciativas en materia de resiliencia;</w:t>
      </w:r>
    </w:p>
    <w:p w14:paraId="0252DFBF"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e)</w:t>
      </w:r>
      <w:r w:rsidRPr="0052117D">
        <w:rPr>
          <w:rFonts w:asciiTheme="minorHAnsi" w:hAnsiTheme="minorHAnsi" w:cstheme="minorHAnsi"/>
          <w:i/>
          <w:szCs w:val="24"/>
        </w:rPr>
        <w:tab/>
      </w:r>
      <w:r w:rsidRPr="0052117D">
        <w:rPr>
          <w:rFonts w:asciiTheme="minorHAnsi" w:hAnsiTheme="minorHAnsi" w:cstheme="minorHAnsi"/>
          <w:szCs w:val="24"/>
        </w:rPr>
        <w:t>la labor de la UIT en actividades fundamentales relativas a la resiliencia, tales como la Iniciativa Alerta Temprana para Todos, así como las contribuciones de las Comisiones de Estudio de la UIT en los tres Sectores a la elaboración de recomendaciones técnicas y prácticas idóneas,</w:t>
      </w:r>
    </w:p>
    <w:p w14:paraId="405E47C7" w14:textId="77777777" w:rsidR="00081E04" w:rsidRPr="00234542" w:rsidRDefault="00081E04" w:rsidP="00234542">
      <w:pPr>
        <w:pStyle w:val="Call"/>
      </w:pPr>
      <w:r w:rsidRPr="00234542">
        <w:t>opina</w:t>
      </w:r>
    </w:p>
    <w:p w14:paraId="7BF46945"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t xml:space="preserve">que las políticas e iniciativas en materia de resiliencia deberían ser polifacéticas e integrales, y abarcar la </w:t>
      </w:r>
      <w:r w:rsidRPr="0052117D">
        <w:rPr>
          <w:rFonts w:asciiTheme="minorHAnsi" w:eastAsiaTheme="minorEastAsia" w:hAnsiTheme="minorHAnsi" w:cstheme="minorHAnsi"/>
          <w:szCs w:val="24"/>
          <w:lang w:eastAsia="zh-CN"/>
        </w:rPr>
        <w:t>ciberseguridad</w:t>
      </w:r>
      <w:r w:rsidRPr="0052117D">
        <w:rPr>
          <w:rFonts w:asciiTheme="minorHAnsi" w:hAnsiTheme="minorHAnsi" w:cstheme="minorHAnsi"/>
          <w:szCs w:val="24"/>
        </w:rPr>
        <w:t xml:space="preserve">, los sistemas de </w:t>
      </w:r>
      <w:proofErr w:type="gramStart"/>
      <w:r w:rsidRPr="0052117D">
        <w:rPr>
          <w:rFonts w:asciiTheme="minorHAnsi" w:hAnsiTheme="minorHAnsi" w:cstheme="minorHAnsi"/>
          <w:szCs w:val="24"/>
        </w:rPr>
        <w:t>alerta temprana y la acción temprana</w:t>
      </w:r>
      <w:proofErr w:type="gramEnd"/>
      <w:r w:rsidRPr="0052117D">
        <w:rPr>
          <w:rFonts w:asciiTheme="minorHAnsi" w:hAnsiTheme="minorHAnsi" w:cstheme="minorHAnsi"/>
          <w:szCs w:val="24"/>
        </w:rPr>
        <w:t xml:space="preserve">, la actualización y el mantenimiento periódicos de las infraestructuras de telecomunicaciones/TIC, </w:t>
      </w:r>
      <w:r w:rsidRPr="0052117D">
        <w:rPr>
          <w:rFonts w:asciiTheme="minorHAnsi" w:hAnsiTheme="minorHAnsi" w:cstheme="minorHAnsi"/>
          <w:bCs/>
          <w:szCs w:val="24"/>
        </w:rPr>
        <w:t>el seguimiento medioambiental,</w:t>
      </w:r>
      <w:r w:rsidRPr="0052117D">
        <w:rPr>
          <w:rFonts w:asciiTheme="minorHAnsi" w:hAnsiTheme="minorHAnsi" w:cstheme="minorHAnsi"/>
          <w:b/>
          <w:szCs w:val="24"/>
        </w:rPr>
        <w:t xml:space="preserve"> </w:t>
      </w:r>
      <w:r w:rsidRPr="0052117D">
        <w:rPr>
          <w:rFonts w:asciiTheme="minorHAnsi" w:hAnsiTheme="minorHAnsi" w:cstheme="minorHAnsi"/>
          <w:szCs w:val="24"/>
        </w:rPr>
        <w:t>las iniciativas de reducción del riesgo de catástrofes y la colaboración público-privada;</w:t>
      </w:r>
    </w:p>
    <w:p w14:paraId="6A7773F3"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 xml:space="preserve">que la mejora de la resiliencia exige una acción coordinada entre los gobiernos, las autoridades reguladoras, el sector privado, la sociedad civil, la comunidad técnica y las instituciones académicas, correspondiendo a las autoridades nacionales una función esencial a la hora de dar prioridad al desarrollo de sistemas de telecomunicaciones/TIC resilientes, seguros y adaptables que respalden el </w:t>
      </w:r>
      <w:r w:rsidRPr="0052117D">
        <w:rPr>
          <w:rFonts w:asciiTheme="minorHAnsi" w:hAnsiTheme="minorHAnsi" w:cstheme="minorHAnsi"/>
          <w:bCs/>
          <w:szCs w:val="24"/>
        </w:rPr>
        <w:t>crecimiento</w:t>
      </w:r>
      <w:r w:rsidRPr="0052117D">
        <w:rPr>
          <w:rFonts w:asciiTheme="minorHAnsi" w:hAnsiTheme="minorHAnsi" w:cstheme="minorHAnsi"/>
          <w:b/>
          <w:szCs w:val="24"/>
        </w:rPr>
        <w:t xml:space="preserve"> </w:t>
      </w:r>
      <w:r w:rsidRPr="0052117D">
        <w:rPr>
          <w:rFonts w:asciiTheme="minorHAnsi" w:hAnsiTheme="minorHAnsi" w:cstheme="minorHAnsi"/>
          <w:szCs w:val="24"/>
        </w:rPr>
        <w:t>digital a largo plazo y la continuidad de los servicios esenciales;</w:t>
      </w:r>
    </w:p>
    <w:p w14:paraId="03A82319" w14:textId="0EF7F58E"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3</w:t>
      </w:r>
      <w:r w:rsidRPr="0052117D">
        <w:rPr>
          <w:rFonts w:asciiTheme="minorHAnsi" w:hAnsiTheme="minorHAnsi" w:cstheme="minorHAnsi"/>
          <w:szCs w:val="24"/>
        </w:rPr>
        <w:tab/>
        <w:t>que resulta esencial incorporar la resiliencia en todas las fases del diseño, el desarrollo y el despliegue de las telecomunicaciones/TIC;</w:t>
      </w:r>
    </w:p>
    <w:p w14:paraId="6457262F" w14:textId="59940880"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que unas infraestructuras de telecomunicaciones/TIC resilientes constituyen un factor propiciador esencial del crecimiento económico, la inclusión digital y la innovación, y deben poder adaptarse a los retos incipientes;</w:t>
      </w:r>
    </w:p>
    <w:p w14:paraId="7E60CA70" w14:textId="1F16EE05"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que la reducción de la brecha digital y la garantía de un acceso asequible a las telecomunicaciones/TIC forman parte integrante de la construcción de la resiliencia;</w:t>
      </w:r>
    </w:p>
    <w:p w14:paraId="62432412"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6</w:t>
      </w:r>
      <w:r w:rsidRPr="0052117D">
        <w:rPr>
          <w:rFonts w:asciiTheme="minorHAnsi" w:hAnsiTheme="minorHAnsi" w:cstheme="minorHAnsi"/>
          <w:szCs w:val="24"/>
        </w:rPr>
        <w:tab/>
        <w:t>que la cooperación y la colaboración, las prácticas idóneas, los entornos propicios a la inversión y los mecanismos innovadores de financiación desempeñan funciones importantes en la construcción de sistemas de telecomunicaciones/TIC resilientes, capaces de responder a los retos mundiales y de respaldar la estabilidad económica, especialmente durante las catástrofes naturales y las emergencias;</w:t>
      </w:r>
    </w:p>
    <w:p w14:paraId="44CBAA45" w14:textId="4DB5EF49"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7</w:t>
      </w:r>
      <w:r w:rsidRPr="0052117D">
        <w:rPr>
          <w:rFonts w:asciiTheme="minorHAnsi" w:hAnsiTheme="minorHAnsi" w:cstheme="minorHAnsi"/>
          <w:szCs w:val="24"/>
        </w:rPr>
        <w:tab/>
        <w:t>que debería adoptarse un enfoque multicanal de sensibilización de la población, a fin de garantizar que los mensajes pertinentes en materia de resiliencia, tales como las comunicaciones de emergencia y los consejos relativos a la ciberhigiene, lleguen a un público amplio y permitan a las personas actuar con antelación y protegerse;</w:t>
      </w:r>
    </w:p>
    <w:p w14:paraId="544FE9D7"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8</w:t>
      </w:r>
      <w:r w:rsidRPr="0052117D">
        <w:rPr>
          <w:rFonts w:asciiTheme="minorHAnsi" w:hAnsiTheme="minorHAnsi" w:cstheme="minorHAnsi"/>
          <w:szCs w:val="24"/>
        </w:rPr>
        <w:tab/>
        <w:t xml:space="preserve">que la protección del medio ambiente representa uno de los mayores retos de nuestro tiempo, y que la resiliencia frente a las catástrofes naturales puede reforzarse mediante el </w:t>
      </w:r>
      <w:r w:rsidRPr="0052117D">
        <w:rPr>
          <w:rFonts w:asciiTheme="minorHAnsi" w:hAnsiTheme="minorHAnsi" w:cstheme="minorHAnsi"/>
          <w:szCs w:val="24"/>
        </w:rPr>
        <w:lastRenderedPageBreak/>
        <w:t>establecimiento de sistemas de alerta temprana y de planes nacionales de telecomunicaciones de emergencia;</w:t>
      </w:r>
    </w:p>
    <w:p w14:paraId="18CAAF9B" w14:textId="57A9A992"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9</w:t>
      </w:r>
      <w:r w:rsidRPr="0052117D">
        <w:rPr>
          <w:rFonts w:asciiTheme="minorHAnsi" w:hAnsiTheme="minorHAnsi" w:cstheme="minorHAnsi"/>
          <w:szCs w:val="24"/>
        </w:rPr>
        <w:tab/>
        <w:t xml:space="preserve">que la construcción de la ciberresiliencia en el conjunto de la sociedad resulta esencial para hacer frente a la creciente </w:t>
      </w:r>
      <w:proofErr w:type="spellStart"/>
      <w:r w:rsidRPr="0052117D">
        <w:rPr>
          <w:rFonts w:asciiTheme="minorHAnsi" w:hAnsiTheme="minorHAnsi" w:cstheme="minorHAnsi"/>
          <w:szCs w:val="24"/>
        </w:rPr>
        <w:t>ciberamenaza</w:t>
      </w:r>
      <w:proofErr w:type="spellEnd"/>
      <w:r w:rsidRPr="0052117D">
        <w:rPr>
          <w:rFonts w:asciiTheme="minorHAnsi" w:hAnsiTheme="minorHAnsi" w:cstheme="minorHAnsi"/>
          <w:szCs w:val="24"/>
        </w:rPr>
        <w:t>;</w:t>
      </w:r>
    </w:p>
    <w:p w14:paraId="32BF8043" w14:textId="22DB2F04"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10</w:t>
      </w:r>
      <w:r w:rsidRPr="0052117D">
        <w:rPr>
          <w:rFonts w:asciiTheme="minorHAnsi" w:hAnsiTheme="minorHAnsi" w:cstheme="minorHAnsi"/>
          <w:szCs w:val="24"/>
        </w:rPr>
        <w:tab/>
        <w:t>que la promoción de la innovación y el despliegue de nuevas tecnologías son necesarios para garantizar que las economías de telecomunicaciones/TIC sigan siendo competitivas, seguras y resilientes;</w:t>
      </w:r>
    </w:p>
    <w:p w14:paraId="77A85198"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11</w:t>
      </w:r>
      <w:r w:rsidRPr="0052117D">
        <w:rPr>
          <w:rFonts w:asciiTheme="minorHAnsi" w:hAnsiTheme="minorHAnsi" w:cstheme="minorHAnsi"/>
          <w:szCs w:val="24"/>
        </w:rPr>
        <w:tab/>
        <w:t>que las innovaciones en materia de resiliencia energética pueden respaldar la resiliencia de las infraestructuras, garantizando que las infraestructuras de telecomunicaciones y TIC puedan acceder a fuentes alternativas de energía;</w:t>
      </w:r>
    </w:p>
    <w:p w14:paraId="0F4F2A75"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12</w:t>
      </w:r>
      <w:r w:rsidRPr="0052117D">
        <w:rPr>
          <w:rFonts w:asciiTheme="minorHAnsi" w:hAnsiTheme="minorHAnsi" w:cstheme="minorHAnsi"/>
          <w:szCs w:val="24"/>
        </w:rPr>
        <w:tab/>
        <w:t>que la UIT debería seguir impartiendo programas de formación y talleres y llevando a cabo actividades de creación de capacidad para promover la resiliencia de las telecomunicaciones/TIC,</w:t>
      </w:r>
    </w:p>
    <w:p w14:paraId="6B1C9641" w14:textId="77777777" w:rsidR="00081E04" w:rsidRPr="00234542" w:rsidRDefault="00081E04" w:rsidP="00234542">
      <w:pPr>
        <w:pStyle w:val="Call"/>
      </w:pPr>
      <w:r w:rsidRPr="00234542">
        <w:t xml:space="preserve">invita a los Estados Miembros, Miembros de Sector y otras partes interesadas a trabajar en colaboración </w:t>
      </w:r>
    </w:p>
    <w:p w14:paraId="42BD2DF4" w14:textId="4DA77249"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t>para dar prioridad al intercambio de información sobre la elaboración y aplicación de políticas que promuevan unas infraestructuras de telecomunicaciones/TIC resilientes, seguras y robustas, garantizando su conformidad con las normas internacionales y las prácticas idóneas;</w:t>
      </w:r>
    </w:p>
    <w:p w14:paraId="6E98CAAC" w14:textId="2BD83F73"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para seguir facilitando e intensificando los esfuerzos encaminados a reforzar la resiliencia de las telecomunicaciones/TIC, incluidas las infraestructuras digitales, garantizando que dichos sistemas sean seguros, robustos y adaptables a los retos futuros, y capaces de asegurar la continuidad del servicio en momentos de perturbación;</w:t>
      </w:r>
    </w:p>
    <w:p w14:paraId="76A40AF0"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3</w:t>
      </w:r>
      <w:r w:rsidRPr="0052117D">
        <w:rPr>
          <w:rFonts w:asciiTheme="minorHAnsi" w:hAnsiTheme="minorHAnsi" w:cstheme="minorHAnsi"/>
          <w:szCs w:val="24"/>
        </w:rPr>
        <w:tab/>
        <w:t>para estudiar las oportunidades y abordar los retos que plantea la construcción de sistemas de telecomunicaciones/TIC resilientes, garantizando la continuidad del servicio en momentos de perturbación;</w:t>
      </w:r>
    </w:p>
    <w:p w14:paraId="0E448D1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para colaborar con el sector privado, la sociedad civil, la comunidad técnica y las instituciones académicas con miras a promover unas telecomunicaciones/TIC resilientes, mediante programas de apoyo técnico y de creación de capacidad;</w:t>
      </w:r>
    </w:p>
    <w:p w14:paraId="76E5F848" w14:textId="2206EBF5"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para reforzar las asociaciones público-privadas con objeto de fomentar la resiliencia en el ecosistema de las telecomunicaciones/TIC y abordar los retos y oportunidades incipientes conexos;</w:t>
      </w:r>
    </w:p>
    <w:p w14:paraId="6F72DA30"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6</w:t>
      </w:r>
      <w:r w:rsidRPr="0052117D">
        <w:rPr>
          <w:rFonts w:asciiTheme="minorHAnsi" w:hAnsiTheme="minorHAnsi" w:cstheme="minorHAnsi"/>
          <w:szCs w:val="24"/>
        </w:rPr>
        <w:tab/>
        <w:t>para incorporar una perspectiva de género en las estrategias nacionales relativas a la resiliencia y garantizar que la adopción de decisiones sea inclusiva;</w:t>
      </w:r>
    </w:p>
    <w:p w14:paraId="24296358" w14:textId="7E96CCEC"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7</w:t>
      </w:r>
      <w:r w:rsidRPr="0052117D">
        <w:rPr>
          <w:rFonts w:asciiTheme="minorHAnsi" w:hAnsiTheme="minorHAnsi" w:cstheme="minorHAnsi"/>
          <w:szCs w:val="24"/>
        </w:rPr>
        <w:tab/>
        <w:t xml:space="preserve">para seguir desplegando todos los esfuerzos necesarios con miras a integrar la respuesta a los </w:t>
      </w:r>
      <w:proofErr w:type="spellStart"/>
      <w:r w:rsidRPr="0052117D">
        <w:rPr>
          <w:rFonts w:asciiTheme="minorHAnsi" w:hAnsiTheme="minorHAnsi" w:cstheme="minorHAnsi"/>
          <w:szCs w:val="24"/>
        </w:rPr>
        <w:t>ciberincidentes</w:t>
      </w:r>
      <w:proofErr w:type="spellEnd"/>
      <w:r w:rsidRPr="0052117D">
        <w:rPr>
          <w:rFonts w:asciiTheme="minorHAnsi" w:hAnsiTheme="minorHAnsi" w:cstheme="minorHAnsi"/>
          <w:szCs w:val="24"/>
        </w:rPr>
        <w:t>, la reducción del riesgo de catástrofes, la atenuación de las catástrofes, el socorro en caso de catástrofe y la resiliencia en los planes de desarrollo de las telecomunicaciones/TIC, teniendo en cuenta a las personas con discapacidad y a las personas con necesidades específicas, así como la importancia de colaborar con todas las partes interesadas en todas las fases de una catástrofe;</w:t>
      </w:r>
    </w:p>
    <w:p w14:paraId="62D4DCD7"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8</w:t>
      </w:r>
      <w:r w:rsidRPr="0052117D">
        <w:rPr>
          <w:rFonts w:asciiTheme="minorHAnsi" w:hAnsiTheme="minorHAnsi" w:cstheme="minorHAnsi"/>
          <w:szCs w:val="24"/>
        </w:rPr>
        <w:tab/>
        <w:t xml:space="preserve">para adoptar las Recomendaciones pertinentes de la UIT que puedan contribuir a la construcción de la resiliencia de las telecomunicaciones/TIC y a una respuesta eficaz ante las crisis; </w:t>
      </w:r>
    </w:p>
    <w:p w14:paraId="1B2914F3"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9</w:t>
      </w:r>
      <w:r w:rsidRPr="0052117D">
        <w:rPr>
          <w:rFonts w:asciiTheme="minorHAnsi" w:hAnsiTheme="minorHAnsi" w:cstheme="minorHAnsi"/>
          <w:szCs w:val="24"/>
        </w:rPr>
        <w:tab/>
        <w:t xml:space="preserve">para participar activamente en los foros internacionales sobre la resiliencia de las telecomunicaciones/TIC, compartiendo conocimientos y experiencias; </w:t>
      </w:r>
    </w:p>
    <w:p w14:paraId="121576E3"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lastRenderedPageBreak/>
        <w:t>10</w:t>
      </w:r>
      <w:r w:rsidRPr="0052117D">
        <w:rPr>
          <w:rFonts w:asciiTheme="minorHAnsi" w:hAnsiTheme="minorHAnsi" w:cstheme="minorHAnsi"/>
          <w:szCs w:val="24"/>
        </w:rPr>
        <w:tab/>
        <w:t xml:space="preserve">para respaldar las actividades internacionales de promoción de la creación de capacidad en materia de resiliencia, especialmente en favor de los </w:t>
      </w:r>
      <w:proofErr w:type="spellStart"/>
      <w:r w:rsidRPr="0052117D">
        <w:rPr>
          <w:rFonts w:asciiTheme="minorHAnsi" w:hAnsiTheme="minorHAnsi" w:cstheme="minorHAnsi"/>
          <w:szCs w:val="24"/>
        </w:rPr>
        <w:t>PMA</w:t>
      </w:r>
      <w:proofErr w:type="spellEnd"/>
      <w:r w:rsidRPr="0052117D">
        <w:rPr>
          <w:rFonts w:asciiTheme="minorHAnsi" w:hAnsiTheme="minorHAnsi" w:cstheme="minorHAnsi"/>
          <w:szCs w:val="24"/>
        </w:rPr>
        <w:t xml:space="preserve">, los </w:t>
      </w:r>
      <w:proofErr w:type="spellStart"/>
      <w:r w:rsidRPr="0052117D">
        <w:rPr>
          <w:rFonts w:asciiTheme="minorHAnsi" w:hAnsiTheme="minorHAnsi" w:cstheme="minorHAnsi"/>
          <w:szCs w:val="24"/>
        </w:rPr>
        <w:t>PDSL</w:t>
      </w:r>
      <w:proofErr w:type="spellEnd"/>
      <w:r w:rsidRPr="0052117D">
        <w:rPr>
          <w:rFonts w:asciiTheme="minorHAnsi" w:hAnsiTheme="minorHAnsi" w:cstheme="minorHAnsi"/>
          <w:szCs w:val="24"/>
        </w:rPr>
        <w:t xml:space="preserve"> y los </w:t>
      </w:r>
      <w:proofErr w:type="spellStart"/>
      <w:r w:rsidRPr="0052117D">
        <w:rPr>
          <w:rFonts w:asciiTheme="minorHAnsi" w:hAnsiTheme="minorHAnsi" w:cstheme="minorHAnsi"/>
          <w:szCs w:val="24"/>
        </w:rPr>
        <w:t>PEID</w:t>
      </w:r>
      <w:proofErr w:type="spellEnd"/>
      <w:r w:rsidRPr="0052117D">
        <w:rPr>
          <w:rFonts w:asciiTheme="minorHAnsi" w:hAnsiTheme="minorHAnsi" w:cstheme="minorHAnsi"/>
          <w:szCs w:val="24"/>
        </w:rPr>
        <w:t>;</w:t>
      </w:r>
    </w:p>
    <w:p w14:paraId="5C7E9650"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11</w:t>
      </w:r>
      <w:r w:rsidRPr="0052117D">
        <w:rPr>
          <w:rFonts w:asciiTheme="minorHAnsi" w:hAnsiTheme="minorHAnsi" w:cstheme="minorHAnsi"/>
          <w:szCs w:val="24"/>
        </w:rPr>
        <w:tab/>
        <w:t>para fomentar y posibilitar la inversión en infraestructuras de telecomunicaciones/TIC resilientes, en particular en las zonas no atendidas, insuficientemente atendidas y geográficamente complejas;</w:t>
      </w:r>
    </w:p>
    <w:p w14:paraId="7F596F93"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12</w:t>
      </w:r>
      <w:r w:rsidRPr="0052117D">
        <w:rPr>
          <w:rFonts w:asciiTheme="minorHAnsi" w:hAnsiTheme="minorHAnsi" w:cstheme="minorHAnsi"/>
          <w:szCs w:val="24"/>
        </w:rPr>
        <w:tab/>
        <w:t>para adoptar estrategias de resiliencia de las telecomunicaciones/TIC, incluidos planes de gestión del riesgo de catástrofes y de respuesta ante interrupciones;</w:t>
      </w:r>
    </w:p>
    <w:p w14:paraId="251A458D"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13</w:t>
      </w:r>
      <w:r w:rsidRPr="0052117D">
        <w:rPr>
          <w:rFonts w:asciiTheme="minorHAnsi" w:hAnsiTheme="minorHAnsi" w:cstheme="minorHAnsi"/>
          <w:szCs w:val="24"/>
        </w:rPr>
        <w:tab/>
        <w:t>para promover políticas que refuercen la seguridad y la resiliencia de las cadenas de suministro de telecomunicaciones/TIC, garantizando que los equipos sean seguros y resilientes;</w:t>
      </w:r>
    </w:p>
    <w:p w14:paraId="7BEB0278"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14</w:t>
      </w:r>
      <w:r w:rsidRPr="0052117D">
        <w:rPr>
          <w:rFonts w:asciiTheme="minorHAnsi" w:hAnsiTheme="minorHAnsi" w:cstheme="minorHAnsi"/>
          <w:szCs w:val="24"/>
        </w:rPr>
        <w:tab/>
        <w:t>para respaldar la función de los servicios y tecnologías de telecomunicaciones/TIC nuevos e incipientes en la mejora de los sistemas de alerta temprana, la detección de amenazas y las estrategias de respuesta adaptativa en pro de la resiliencia de las telecomunicaciones/TIC;</w:t>
      </w:r>
    </w:p>
    <w:p w14:paraId="01CAA40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15</w:t>
      </w:r>
      <w:r w:rsidRPr="0052117D">
        <w:rPr>
          <w:rFonts w:asciiTheme="minorHAnsi" w:hAnsiTheme="minorHAnsi" w:cstheme="minorHAnsi"/>
          <w:szCs w:val="24"/>
        </w:rPr>
        <w:tab/>
        <w:t>para considerar la posibilidad de tener en cuenta los resultados de las Cumbres de Abuya y Oporto al adoptar y aplicar políticas destinadas a mejorar la resiliencia de los cables submarinos,</w:t>
      </w:r>
    </w:p>
    <w:p w14:paraId="5603E395" w14:textId="77777777" w:rsidR="00081E04" w:rsidRPr="00234542" w:rsidRDefault="00081E04" w:rsidP="00234542">
      <w:pPr>
        <w:pStyle w:val="Call"/>
      </w:pPr>
      <w:r w:rsidRPr="00234542">
        <w:t>invita a la Secretaria General</w:t>
      </w:r>
    </w:p>
    <w:p w14:paraId="6E3E9DB3"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t>a seguir facilitando e intensificando los esfuerzos internacionales encaminados a reforzar y promover la resiliencia de las telecomunicaciones/TIC;</w:t>
      </w:r>
    </w:p>
    <w:p w14:paraId="7334D34F"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a velar por que la UIT siga respaldando a los Estados Miembros en la elaboración y el fortalecimiento de marcos normativos y reglamentarios para la resiliencia de las TIC y las telecomunicaciones.</w:t>
      </w:r>
    </w:p>
    <w:p w14:paraId="4C9B847F"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asciiTheme="minorHAnsi" w:hAnsiTheme="minorHAnsi" w:cstheme="minorHAnsi"/>
          <w:sz w:val="22"/>
          <w:szCs w:val="22"/>
        </w:rPr>
      </w:pPr>
      <w:r w:rsidRPr="0052117D">
        <w:rPr>
          <w:rFonts w:asciiTheme="minorHAnsi" w:hAnsiTheme="minorHAnsi" w:cstheme="minorHAnsi"/>
          <w:sz w:val="22"/>
          <w:szCs w:val="22"/>
        </w:rPr>
        <w:br w:type="page"/>
      </w:r>
    </w:p>
    <w:p w14:paraId="0536CD4A" w14:textId="77777777" w:rsidR="00081E04" w:rsidRPr="0052117D" w:rsidRDefault="00081E04" w:rsidP="00081E04">
      <w:pPr>
        <w:pStyle w:val="OpNo"/>
        <w:rPr>
          <w:lang w:val="es-ES_tradnl"/>
        </w:rPr>
      </w:pPr>
      <w:bookmarkStart w:id="6" w:name="_Hlk133586559"/>
      <w:bookmarkStart w:id="7" w:name="_Hlk133421428"/>
      <w:r w:rsidRPr="0052117D">
        <w:rPr>
          <w:lang w:val="es-ES_tradnl"/>
        </w:rPr>
        <w:lastRenderedPageBreak/>
        <w:t>PROYECTO DE OPINIÓN 4</w:t>
      </w:r>
    </w:p>
    <w:p w14:paraId="226E387F" w14:textId="77777777" w:rsidR="00081E04" w:rsidRPr="0052117D" w:rsidRDefault="00081E04" w:rsidP="00081E04">
      <w:pPr>
        <w:pStyle w:val="Optitle0"/>
        <w:rPr>
          <w:lang w:val="es-ES_tradnl"/>
        </w:rPr>
      </w:pPr>
      <w:r w:rsidRPr="0052117D">
        <w:rPr>
          <w:lang w:val="es-ES_tradnl"/>
        </w:rPr>
        <w:t>La conectividad espacial</w:t>
      </w:r>
    </w:p>
    <w:bookmarkEnd w:id="6"/>
    <w:bookmarkEnd w:id="7"/>
    <w:p w14:paraId="797A24D8" w14:textId="77777777" w:rsidR="00081E04" w:rsidRPr="007115E6" w:rsidRDefault="00081E04" w:rsidP="007115E6">
      <w:pPr>
        <w:pStyle w:val="Normalaftertitle"/>
      </w:pPr>
      <w:r w:rsidRPr="007115E6">
        <w:t>El séptimo Foro Mundial de Política de Telecomunicaciones/TIC (Nassau, 2026),</w:t>
      </w:r>
    </w:p>
    <w:p w14:paraId="5DE461F6" w14:textId="77777777" w:rsidR="00081E04" w:rsidRPr="00234542" w:rsidRDefault="00081E04" w:rsidP="00234542">
      <w:pPr>
        <w:pStyle w:val="Call"/>
      </w:pPr>
      <w:r w:rsidRPr="00234542">
        <w:t>recordando</w:t>
      </w:r>
    </w:p>
    <w:p w14:paraId="1D8EFF00" w14:textId="4892276D"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a)</w:t>
      </w:r>
      <w:r w:rsidRPr="0052117D">
        <w:rPr>
          <w:rFonts w:asciiTheme="minorHAnsi" w:hAnsiTheme="minorHAnsi" w:cstheme="minorHAnsi"/>
          <w:i/>
          <w:szCs w:val="24"/>
        </w:rPr>
        <w:tab/>
      </w:r>
      <w:r w:rsidRPr="0052117D">
        <w:rPr>
          <w:rFonts w:asciiTheme="minorHAnsi" w:hAnsiTheme="minorHAnsi" w:cstheme="minorHAnsi"/>
          <w:szCs w:val="24"/>
        </w:rPr>
        <w:t>la Resolución 70/1 de la Asamblea General de las Naciones Unidas (</w:t>
      </w:r>
      <w:proofErr w:type="spellStart"/>
      <w:r w:rsidRPr="0052117D">
        <w:rPr>
          <w:rFonts w:asciiTheme="minorHAnsi" w:hAnsiTheme="minorHAnsi" w:cstheme="minorHAnsi"/>
          <w:szCs w:val="24"/>
        </w:rPr>
        <w:t>AGNU</w:t>
      </w:r>
      <w:proofErr w:type="spellEnd"/>
      <w:r w:rsidRPr="0052117D">
        <w:rPr>
          <w:rFonts w:asciiTheme="minorHAnsi" w:hAnsiTheme="minorHAnsi" w:cstheme="minorHAnsi"/>
          <w:szCs w:val="24"/>
        </w:rPr>
        <w:t>),</w:t>
      </w:r>
      <w:r w:rsidR="001006D5">
        <w:rPr>
          <w:rFonts w:asciiTheme="minorHAnsi" w:hAnsiTheme="minorHAnsi" w:cstheme="minorHAnsi"/>
          <w:szCs w:val="24"/>
        </w:rPr>
        <w:t xml:space="preserve"> de </w:t>
      </w:r>
      <w:r w:rsidR="001006D5">
        <w:rPr>
          <w:rFonts w:asciiTheme="minorHAnsi" w:hAnsiTheme="minorHAnsi" w:cstheme="minorHAnsi"/>
          <w:i/>
          <w:szCs w:val="24"/>
        </w:rPr>
        <w:t>t</w:t>
      </w:r>
      <w:r w:rsidR="001006D5" w:rsidRPr="002E0CA5">
        <w:rPr>
          <w:rFonts w:asciiTheme="minorHAnsi" w:hAnsiTheme="minorHAnsi" w:cstheme="minorHAnsi"/>
          <w:szCs w:val="24"/>
        </w:rPr>
        <w:t xml:space="preserve">ransformar </w:t>
      </w:r>
      <w:r w:rsidRPr="002E0CA5">
        <w:rPr>
          <w:rFonts w:asciiTheme="minorHAnsi" w:hAnsiTheme="minorHAnsi" w:cstheme="minorHAnsi"/>
          <w:szCs w:val="24"/>
        </w:rPr>
        <w:t>nuestro mundo: la Agenda 2030 para el Desarrollo Sostenible</w:t>
      </w:r>
      <w:r w:rsidRPr="0052117D">
        <w:rPr>
          <w:rFonts w:asciiTheme="minorHAnsi" w:hAnsiTheme="minorHAnsi" w:cstheme="minorHAnsi"/>
          <w:szCs w:val="24"/>
        </w:rPr>
        <w:t>;</w:t>
      </w:r>
    </w:p>
    <w:p w14:paraId="11D9544E" w14:textId="26F4EF1C"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b)</w:t>
      </w:r>
      <w:r w:rsidRPr="0052117D">
        <w:rPr>
          <w:rFonts w:asciiTheme="minorHAnsi" w:hAnsiTheme="minorHAnsi" w:cstheme="minorHAnsi"/>
          <w:i/>
          <w:szCs w:val="24"/>
        </w:rPr>
        <w:tab/>
      </w:r>
      <w:r w:rsidRPr="0052117D">
        <w:rPr>
          <w:rFonts w:asciiTheme="minorHAnsi" w:hAnsiTheme="minorHAnsi" w:cstheme="minorHAnsi"/>
          <w:szCs w:val="24"/>
        </w:rPr>
        <w:t xml:space="preserve">la Resolución 76/3 de la </w:t>
      </w:r>
      <w:proofErr w:type="spellStart"/>
      <w:r w:rsidRPr="0052117D">
        <w:rPr>
          <w:rFonts w:asciiTheme="minorHAnsi" w:hAnsiTheme="minorHAnsi" w:cstheme="minorHAnsi"/>
          <w:szCs w:val="24"/>
        </w:rPr>
        <w:t>AGNU</w:t>
      </w:r>
      <w:proofErr w:type="spellEnd"/>
      <w:r w:rsidRPr="0052117D">
        <w:rPr>
          <w:rFonts w:asciiTheme="minorHAnsi" w:hAnsiTheme="minorHAnsi" w:cstheme="minorHAnsi"/>
          <w:szCs w:val="24"/>
        </w:rPr>
        <w:t>, sobre la Agenda "</w:t>
      </w:r>
      <w:proofErr w:type="spellStart"/>
      <w:r w:rsidRPr="0052117D">
        <w:rPr>
          <w:rFonts w:asciiTheme="minorHAnsi" w:hAnsiTheme="minorHAnsi" w:cstheme="minorHAnsi"/>
          <w:szCs w:val="24"/>
        </w:rPr>
        <w:t>Espacio2030</w:t>
      </w:r>
      <w:proofErr w:type="spellEnd"/>
      <w:r w:rsidRPr="0052117D">
        <w:rPr>
          <w:rFonts w:asciiTheme="minorHAnsi" w:hAnsiTheme="minorHAnsi" w:cstheme="minorHAnsi"/>
          <w:szCs w:val="24"/>
        </w:rPr>
        <w:t>": el espacio como motor del desarrollo sostenible;</w:t>
      </w:r>
    </w:p>
    <w:p w14:paraId="5983FBBE"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c)</w:t>
      </w:r>
      <w:r w:rsidRPr="0052117D">
        <w:rPr>
          <w:rFonts w:asciiTheme="minorHAnsi" w:hAnsiTheme="minorHAnsi" w:cstheme="minorHAnsi"/>
          <w:i/>
          <w:szCs w:val="24"/>
        </w:rPr>
        <w:tab/>
      </w:r>
      <w:r w:rsidRPr="0052117D">
        <w:rPr>
          <w:rFonts w:asciiTheme="minorHAnsi" w:hAnsiTheme="minorHAnsi" w:cstheme="minorHAnsi"/>
          <w:szCs w:val="24"/>
        </w:rPr>
        <w:t>la disposición pertinente del Artículo 44 de la Constitución de la UIT;</w:t>
      </w:r>
    </w:p>
    <w:p w14:paraId="375D85D6" w14:textId="3251340F"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d)</w:t>
      </w:r>
      <w:r w:rsidRPr="0052117D">
        <w:rPr>
          <w:rFonts w:asciiTheme="minorHAnsi" w:hAnsiTheme="minorHAnsi" w:cstheme="minorHAnsi"/>
          <w:i/>
          <w:szCs w:val="24"/>
        </w:rPr>
        <w:tab/>
      </w:r>
      <w:r w:rsidRPr="0052117D">
        <w:rPr>
          <w:rFonts w:asciiTheme="minorHAnsi" w:hAnsiTheme="minorHAnsi" w:cstheme="minorHAnsi"/>
          <w:szCs w:val="24"/>
        </w:rPr>
        <w:t>las Resoluciones pertinentes de la Conferencia de Plenipotenciarios relativas al tema de las redes y los servicios de telecomunicaciones/tecnologías de la información y la comunicación (TIC) espaciales, entre otras, la Resolución 139 (</w:t>
      </w:r>
      <w:r w:rsidR="00387BBE">
        <w:rPr>
          <w:rFonts w:asciiTheme="minorHAnsi" w:hAnsiTheme="minorHAnsi" w:cstheme="minorHAnsi"/>
          <w:szCs w:val="24"/>
        </w:rPr>
        <w:t xml:space="preserve">Rev. </w:t>
      </w:r>
      <w:r w:rsidRPr="0052117D">
        <w:rPr>
          <w:rFonts w:asciiTheme="minorHAnsi" w:hAnsiTheme="minorHAnsi" w:cstheme="minorHAnsi"/>
          <w:szCs w:val="24"/>
        </w:rPr>
        <w:t>Bucarest, 2022), la Resolución 186 (Rev. Bucarest, 2022), la Resolución 218 (Bucarest, 2022) y la Resolución 219 (Bucarest, 2022);</w:t>
      </w:r>
    </w:p>
    <w:p w14:paraId="19E4261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e)</w:t>
      </w:r>
      <w:r w:rsidRPr="0052117D">
        <w:rPr>
          <w:rFonts w:asciiTheme="minorHAnsi" w:hAnsiTheme="minorHAnsi" w:cstheme="minorHAnsi"/>
          <w:i/>
          <w:szCs w:val="24"/>
        </w:rPr>
        <w:tab/>
      </w:r>
      <w:r w:rsidRPr="0052117D">
        <w:rPr>
          <w:rFonts w:asciiTheme="minorHAnsi" w:hAnsiTheme="minorHAnsi" w:cstheme="minorHAnsi"/>
          <w:szCs w:val="24"/>
        </w:rPr>
        <w:t>las Resoluciones pertinentes de las principales conferencias y asambleas de los tres Sectores de la UIT relativas al tema de las redes y los servicios de telecomunicaciones/TIC espaciales, entre otras, la Resolución 22 (Rev. Dubái, 2023) de la Conferencia Mundial de Radiocomunicaciones; las Resoluciones 11 (Rev. Bakú, 2025), 37 (Rev. Bakú, 2025) y 77 (Rev. Bakú, 2025)</w:t>
      </w:r>
      <w:r w:rsidRPr="0052117D">
        <w:rPr>
          <w:szCs w:val="24"/>
        </w:rPr>
        <w:t xml:space="preserve"> de la </w:t>
      </w:r>
      <w:r w:rsidRPr="0052117D">
        <w:rPr>
          <w:rFonts w:asciiTheme="minorHAnsi" w:hAnsiTheme="minorHAnsi" w:cstheme="minorHAnsi"/>
          <w:szCs w:val="24"/>
        </w:rPr>
        <w:t>Conferencia Mundial de Desarrollo de las Telecomunicaciones, y la Resolución 74 (Dubái, 2023) de la Asamblea de Radiocomunicaciones;</w:t>
      </w:r>
    </w:p>
    <w:p w14:paraId="60969899" w14:textId="7F952FEB"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f)</w:t>
      </w:r>
      <w:r w:rsidRPr="0052117D">
        <w:rPr>
          <w:rFonts w:asciiTheme="minorHAnsi" w:hAnsiTheme="minorHAnsi" w:cstheme="minorHAnsi"/>
          <w:i/>
          <w:szCs w:val="24"/>
        </w:rPr>
        <w:tab/>
      </w:r>
      <w:r w:rsidRPr="0052117D">
        <w:rPr>
          <w:rFonts w:asciiTheme="minorHAnsi" w:hAnsiTheme="minorHAnsi" w:cstheme="minorHAnsi"/>
          <w:szCs w:val="24"/>
        </w:rPr>
        <w:t>las disposiciones pertinentes del Artículo 18 del Reglamento de Radiocomunicaciones (Rev.</w:t>
      </w:r>
      <w:r w:rsidR="0056471B">
        <w:rPr>
          <w:rFonts w:asciiTheme="minorHAnsi" w:hAnsiTheme="minorHAnsi" w:cstheme="minorHAnsi"/>
          <w:szCs w:val="24"/>
        </w:rPr>
        <w:t> </w:t>
      </w:r>
      <w:r w:rsidRPr="0052117D">
        <w:rPr>
          <w:rFonts w:asciiTheme="minorHAnsi" w:hAnsiTheme="minorHAnsi" w:cstheme="minorHAnsi"/>
          <w:szCs w:val="24"/>
        </w:rPr>
        <w:t>Dubái, 2023);</w:t>
      </w:r>
    </w:p>
    <w:p w14:paraId="0C6907A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i/>
          <w:szCs w:val="24"/>
        </w:rPr>
        <w:t>g)</w:t>
      </w:r>
      <w:r w:rsidRPr="0052117D">
        <w:rPr>
          <w:rFonts w:asciiTheme="minorHAnsi" w:hAnsiTheme="minorHAnsi" w:cstheme="minorHAnsi"/>
          <w:i/>
          <w:szCs w:val="24"/>
        </w:rPr>
        <w:tab/>
      </w:r>
      <w:r w:rsidRPr="0052117D">
        <w:rPr>
          <w:rFonts w:asciiTheme="minorHAnsi" w:hAnsiTheme="minorHAnsi" w:cstheme="minorHAnsi"/>
          <w:szCs w:val="24"/>
        </w:rPr>
        <w:t>las directrices pertinentes sobre prácticas idóneas elaboradas en el marco del Simposio Mundial para Organismos Reguladores (</w:t>
      </w:r>
      <w:proofErr w:type="spellStart"/>
      <w:r w:rsidRPr="0052117D">
        <w:rPr>
          <w:rFonts w:asciiTheme="minorHAnsi" w:hAnsiTheme="minorHAnsi" w:cstheme="minorHAnsi"/>
          <w:szCs w:val="24"/>
        </w:rPr>
        <w:t>GSR</w:t>
      </w:r>
      <w:proofErr w:type="spellEnd"/>
      <w:r w:rsidRPr="0052117D">
        <w:rPr>
          <w:rFonts w:asciiTheme="minorHAnsi" w:hAnsiTheme="minorHAnsi" w:cstheme="minorHAnsi"/>
          <w:szCs w:val="24"/>
        </w:rPr>
        <w:t>),</w:t>
      </w:r>
    </w:p>
    <w:p w14:paraId="3457D5AE" w14:textId="77777777" w:rsidR="00081E04" w:rsidRPr="00234542" w:rsidRDefault="00081E04" w:rsidP="00234542">
      <w:pPr>
        <w:pStyle w:val="Call"/>
      </w:pPr>
      <w:r w:rsidRPr="00234542">
        <w:t>considerando</w:t>
      </w:r>
    </w:p>
    <w:p w14:paraId="28AD54A5"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i/>
          <w:szCs w:val="24"/>
          <w:lang w:eastAsia="zh-CN"/>
        </w:rPr>
        <w:t>a)</w:t>
      </w:r>
      <w:r w:rsidRPr="0052117D">
        <w:rPr>
          <w:rFonts w:asciiTheme="minorHAnsi" w:eastAsia="Calibri" w:hAnsiTheme="minorHAnsi" w:cstheme="minorHAnsi"/>
          <w:i/>
          <w:szCs w:val="24"/>
          <w:lang w:eastAsia="zh-CN"/>
        </w:rPr>
        <w:tab/>
      </w:r>
      <w:r w:rsidRPr="0052117D">
        <w:rPr>
          <w:rFonts w:asciiTheme="minorHAnsi" w:hAnsiTheme="minorHAnsi" w:cstheme="minorHAnsi"/>
          <w:szCs w:val="24"/>
        </w:rPr>
        <w:t>que</w:t>
      </w:r>
      <w:r w:rsidRPr="0052117D">
        <w:rPr>
          <w:rFonts w:asciiTheme="minorHAnsi" w:eastAsia="Calibri" w:hAnsiTheme="minorHAnsi" w:cstheme="minorHAnsi"/>
          <w:szCs w:val="24"/>
          <w:lang w:eastAsia="zh-CN"/>
        </w:rPr>
        <w:t xml:space="preserve"> la determinación y promoción de herramientas y medidas destinadas a acelerar </w:t>
      </w:r>
      <w:r w:rsidRPr="0052117D">
        <w:rPr>
          <w:rFonts w:asciiTheme="minorHAnsi" w:eastAsia="Aptos" w:hAnsiTheme="minorHAnsi" w:cstheme="minorHAnsi"/>
          <w:szCs w:val="24"/>
        </w:rPr>
        <w:t xml:space="preserve">las redes y los servicios de telecomunicaciones/TIC espaciales pueden respaldar la prosperidad económica mundial, mejorar la inclusión digital y </w:t>
      </w:r>
      <w:r w:rsidRPr="0052117D">
        <w:rPr>
          <w:rFonts w:asciiTheme="minorHAnsi" w:eastAsia="Calibri" w:hAnsiTheme="minorHAnsi" w:cstheme="minorHAnsi"/>
          <w:szCs w:val="24"/>
          <w:lang w:eastAsia="zh-CN"/>
        </w:rPr>
        <w:t>abordar las disparidades en el acceso a las tecnologías espaciales;</w:t>
      </w:r>
    </w:p>
    <w:p w14:paraId="1C950F04"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i/>
          <w:szCs w:val="24"/>
          <w:lang w:eastAsia="zh-CN"/>
        </w:rPr>
        <w:t>b)</w:t>
      </w:r>
      <w:r w:rsidRPr="0052117D">
        <w:rPr>
          <w:rFonts w:asciiTheme="minorHAnsi" w:eastAsia="Calibri" w:hAnsiTheme="minorHAnsi" w:cstheme="minorHAnsi"/>
          <w:i/>
          <w:szCs w:val="24"/>
          <w:lang w:eastAsia="zh-CN"/>
        </w:rPr>
        <w:tab/>
      </w:r>
      <w:r w:rsidRPr="0052117D">
        <w:rPr>
          <w:rFonts w:asciiTheme="minorHAnsi" w:eastAsia="Aptos" w:hAnsiTheme="minorHAnsi" w:cstheme="minorHAnsi"/>
          <w:szCs w:val="24"/>
        </w:rPr>
        <w:t>que el fortalecimiento de las herramientas y plataformas destinadas a una cooperación internacional eficaz en relación con el Reglamento de Radiocomunicaciones resulta esencial para posibilitar una participación inclusiva en las telecomunicaciones/TIC</w:t>
      </w:r>
      <w:r w:rsidRPr="0052117D">
        <w:rPr>
          <w:rFonts w:asciiTheme="minorHAnsi" w:eastAsia="Calibri" w:hAnsiTheme="minorHAnsi" w:cstheme="minorHAnsi"/>
          <w:szCs w:val="24"/>
          <w:lang w:eastAsia="zh-CN"/>
        </w:rPr>
        <w:t xml:space="preserve"> espaciales;</w:t>
      </w:r>
    </w:p>
    <w:p w14:paraId="1D6DD476"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i/>
          <w:szCs w:val="24"/>
          <w:lang w:eastAsia="zh-CN"/>
        </w:rPr>
        <w:t>c)</w:t>
      </w:r>
      <w:r w:rsidRPr="0052117D">
        <w:rPr>
          <w:rFonts w:asciiTheme="minorHAnsi" w:eastAsia="Calibri" w:hAnsiTheme="minorHAnsi" w:cstheme="minorHAnsi"/>
          <w:i/>
          <w:szCs w:val="24"/>
          <w:lang w:eastAsia="zh-CN"/>
        </w:rPr>
        <w:tab/>
      </w:r>
      <w:r w:rsidRPr="0052117D">
        <w:rPr>
          <w:rFonts w:asciiTheme="minorHAnsi" w:eastAsia="Calibri" w:hAnsiTheme="minorHAnsi" w:cstheme="minorHAnsi"/>
          <w:szCs w:val="24"/>
          <w:lang w:eastAsia="zh-CN"/>
        </w:rPr>
        <w:t xml:space="preserve">que </w:t>
      </w:r>
      <w:r w:rsidRPr="0052117D">
        <w:rPr>
          <w:rFonts w:asciiTheme="minorHAnsi" w:eastAsia="Aptos" w:hAnsiTheme="minorHAnsi" w:cstheme="minorHAnsi"/>
          <w:szCs w:val="24"/>
        </w:rPr>
        <w:t>los enfoques innovadores para abordar los efectos de los residuos relacionados con las telecomunicaciones/TIC espaciales pueden contribuir a respaldar la continuidad a largo plazo de los servicios de telecomunicaciones/TIC espaciales;</w:t>
      </w:r>
    </w:p>
    <w:p w14:paraId="197C7BB3"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i/>
          <w:szCs w:val="24"/>
          <w:lang w:eastAsia="zh-CN"/>
        </w:rPr>
        <w:t>d)</w:t>
      </w:r>
      <w:r w:rsidRPr="0052117D">
        <w:rPr>
          <w:rFonts w:asciiTheme="minorHAnsi" w:eastAsia="Calibri" w:hAnsiTheme="minorHAnsi" w:cstheme="minorHAnsi"/>
          <w:i/>
          <w:szCs w:val="24"/>
          <w:lang w:eastAsia="zh-CN"/>
        </w:rPr>
        <w:tab/>
      </w:r>
      <w:r w:rsidRPr="0052117D">
        <w:rPr>
          <w:rFonts w:asciiTheme="minorHAnsi" w:eastAsia="Calibri" w:hAnsiTheme="minorHAnsi" w:cstheme="minorHAnsi"/>
          <w:szCs w:val="24"/>
          <w:lang w:eastAsia="zh-CN"/>
        </w:rPr>
        <w:t>que los gobiernos se enfrentan tanto a oportunidades como a retos a la hora de aprovechar las redes y los servicios de telecomunicaciones/TIC espaciales, y que su función resulta crucial en la configuración de políticas que fomenten la innovación garantizando al mismo tiempo la utilización responsable del espectro de frecuencias radioeléctricas y de las órbitas de satélite asociadas;</w:t>
      </w:r>
    </w:p>
    <w:p w14:paraId="57A24AC8"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i/>
          <w:szCs w:val="24"/>
          <w:lang w:eastAsia="zh-CN"/>
        </w:rPr>
        <w:lastRenderedPageBreak/>
        <w:t>e)</w:t>
      </w:r>
      <w:r w:rsidRPr="0052117D">
        <w:rPr>
          <w:rFonts w:asciiTheme="minorHAnsi" w:eastAsia="Calibri" w:hAnsiTheme="minorHAnsi" w:cstheme="minorHAnsi"/>
          <w:i/>
          <w:szCs w:val="24"/>
          <w:lang w:eastAsia="zh-CN"/>
        </w:rPr>
        <w:tab/>
      </w:r>
      <w:r w:rsidRPr="0052117D">
        <w:rPr>
          <w:rFonts w:asciiTheme="minorHAnsi" w:eastAsia="Calibri" w:hAnsiTheme="minorHAnsi" w:cstheme="minorHAnsi"/>
          <w:szCs w:val="24"/>
          <w:lang w:eastAsia="zh-CN"/>
        </w:rPr>
        <w:t>que la Constitución de la UIT reconoce el derecho soberano de cada Estado Miembro a reglamentar sus telecomunicaciones, tanto terrenales como espaciales;</w:t>
      </w:r>
    </w:p>
    <w:p w14:paraId="081BC2CF"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i/>
          <w:szCs w:val="24"/>
          <w:lang w:eastAsia="zh-CN"/>
        </w:rPr>
        <w:t>f)</w:t>
      </w:r>
      <w:r w:rsidRPr="0052117D">
        <w:rPr>
          <w:rFonts w:asciiTheme="minorHAnsi" w:eastAsia="Calibri" w:hAnsiTheme="minorHAnsi" w:cstheme="minorHAnsi"/>
          <w:i/>
          <w:szCs w:val="24"/>
          <w:lang w:eastAsia="zh-CN"/>
        </w:rPr>
        <w:tab/>
      </w:r>
      <w:r w:rsidRPr="0052117D">
        <w:rPr>
          <w:rFonts w:asciiTheme="minorHAnsi" w:eastAsia="Calibri" w:hAnsiTheme="minorHAnsi" w:cstheme="minorHAnsi"/>
          <w:szCs w:val="24"/>
          <w:lang w:eastAsia="zh-CN"/>
        </w:rPr>
        <w:t>que las iniciativas de la UIT, tales como el Foro sobre la Sostenibilidad del Espacio, están concebidas como oportunidades para presentar y debatir las buenas prácticas, directrices y estrategias necesarias para garantizar que el espacio siga siendo accesible y sostenible tanto para las actividades espaciales actuales como para las futuras,</w:t>
      </w:r>
    </w:p>
    <w:p w14:paraId="2C0D451C" w14:textId="77777777" w:rsidR="00081E04" w:rsidRPr="00234542" w:rsidRDefault="00081E04" w:rsidP="00234542">
      <w:pPr>
        <w:pStyle w:val="Call"/>
      </w:pPr>
      <w:r w:rsidRPr="00234542">
        <w:t>reconociendo</w:t>
      </w:r>
    </w:p>
    <w:p w14:paraId="142108B5" w14:textId="77777777" w:rsidR="00081E04" w:rsidRPr="0052117D" w:rsidRDefault="00081E04" w:rsidP="00081E04">
      <w:pPr>
        <w:jc w:val="both"/>
        <w:rPr>
          <w:rFonts w:asciiTheme="minorHAnsi" w:eastAsia="Aptos" w:hAnsiTheme="minorHAnsi" w:cstheme="minorHAnsi"/>
          <w:szCs w:val="24"/>
        </w:rPr>
      </w:pPr>
      <w:r w:rsidRPr="0052117D">
        <w:rPr>
          <w:rFonts w:asciiTheme="minorHAnsi" w:eastAsia="Aptos" w:hAnsiTheme="minorHAnsi" w:cstheme="minorHAnsi"/>
          <w:i/>
          <w:szCs w:val="24"/>
        </w:rPr>
        <w:t>a)</w:t>
      </w:r>
      <w:r w:rsidRPr="0052117D">
        <w:rPr>
          <w:rFonts w:asciiTheme="minorHAnsi" w:eastAsia="Aptos" w:hAnsiTheme="minorHAnsi" w:cstheme="minorHAnsi"/>
          <w:i/>
          <w:szCs w:val="24"/>
        </w:rPr>
        <w:tab/>
      </w:r>
      <w:r w:rsidRPr="0052117D">
        <w:rPr>
          <w:rFonts w:asciiTheme="minorHAnsi" w:hAnsiTheme="minorHAnsi" w:cstheme="minorHAnsi"/>
          <w:szCs w:val="24"/>
          <w:lang w:eastAsia="zh-CN"/>
        </w:rPr>
        <w:t>que el s</w:t>
      </w:r>
      <w:r w:rsidRPr="0052117D">
        <w:rPr>
          <w:rFonts w:asciiTheme="minorHAnsi" w:eastAsia="Aptos" w:hAnsiTheme="minorHAnsi" w:cstheme="minorHAnsi"/>
          <w:szCs w:val="24"/>
        </w:rPr>
        <w:t xml:space="preserve">ector privado desempeña una función destacada en el despliegue de las redes y los </w:t>
      </w:r>
      <w:r w:rsidRPr="0052117D">
        <w:rPr>
          <w:rFonts w:asciiTheme="minorHAnsi" w:eastAsia="Calibri" w:hAnsiTheme="minorHAnsi" w:cstheme="minorHAnsi"/>
          <w:szCs w:val="24"/>
          <w:lang w:eastAsia="zh-CN"/>
        </w:rPr>
        <w:t>servicios de telecomunicaciones/TIC espaciales</w:t>
      </w:r>
      <w:r w:rsidRPr="0052117D">
        <w:rPr>
          <w:rFonts w:asciiTheme="minorHAnsi" w:eastAsia="Aptos" w:hAnsiTheme="minorHAnsi" w:cstheme="minorHAnsi"/>
          <w:szCs w:val="24"/>
        </w:rPr>
        <w:t>, y que sigue desarrollando innovaciones tecnológicas y modelos de negocio creativos junto con otras partes interesadas, entre ellas los gobiernos, las instituciones académicas y la sociedad civil;</w:t>
      </w:r>
    </w:p>
    <w:p w14:paraId="5257D0CF" w14:textId="77777777" w:rsidR="00081E04" w:rsidRPr="0052117D" w:rsidRDefault="00081E04" w:rsidP="00081E04">
      <w:pPr>
        <w:jc w:val="both"/>
        <w:rPr>
          <w:rFonts w:asciiTheme="minorHAnsi" w:eastAsia="Aptos" w:hAnsiTheme="minorHAnsi" w:cstheme="minorHAnsi"/>
          <w:szCs w:val="24"/>
        </w:rPr>
      </w:pPr>
      <w:r w:rsidRPr="0052117D">
        <w:rPr>
          <w:rFonts w:asciiTheme="minorHAnsi" w:eastAsia="Aptos" w:hAnsiTheme="minorHAnsi" w:cstheme="minorHAnsi"/>
          <w:i/>
          <w:szCs w:val="24"/>
        </w:rPr>
        <w:t>b)</w:t>
      </w:r>
      <w:r w:rsidRPr="0052117D">
        <w:rPr>
          <w:rFonts w:asciiTheme="minorHAnsi" w:eastAsia="Aptos" w:hAnsiTheme="minorHAnsi" w:cstheme="minorHAnsi"/>
          <w:i/>
          <w:szCs w:val="24"/>
        </w:rPr>
        <w:tab/>
      </w:r>
      <w:r w:rsidRPr="0052117D">
        <w:rPr>
          <w:rFonts w:asciiTheme="minorHAnsi" w:eastAsia="Aptos" w:hAnsiTheme="minorHAnsi" w:cstheme="minorHAnsi"/>
          <w:szCs w:val="24"/>
        </w:rPr>
        <w:t>que las redes y los servicios de telecomunicaciones/TIC espaciales, incluidos los satélites situados en la órbita de los satélites geoestacionarios (</w:t>
      </w:r>
      <w:proofErr w:type="spellStart"/>
      <w:r w:rsidRPr="0052117D">
        <w:rPr>
          <w:rFonts w:asciiTheme="minorHAnsi" w:eastAsia="Aptos" w:hAnsiTheme="minorHAnsi" w:cstheme="minorHAnsi"/>
          <w:szCs w:val="24"/>
        </w:rPr>
        <w:t>OSG</w:t>
      </w:r>
      <w:proofErr w:type="spellEnd"/>
      <w:r w:rsidRPr="0052117D">
        <w:rPr>
          <w:rFonts w:asciiTheme="minorHAnsi" w:eastAsia="Aptos" w:hAnsiTheme="minorHAnsi" w:cstheme="minorHAnsi"/>
          <w:szCs w:val="24"/>
        </w:rPr>
        <w:t xml:space="preserve">) y en órbitas no geoestacionarias (no </w:t>
      </w:r>
      <w:proofErr w:type="spellStart"/>
      <w:r w:rsidRPr="0052117D">
        <w:rPr>
          <w:rFonts w:asciiTheme="minorHAnsi" w:eastAsia="Aptos" w:hAnsiTheme="minorHAnsi" w:cstheme="minorHAnsi"/>
          <w:szCs w:val="24"/>
        </w:rPr>
        <w:t>OSG</w:t>
      </w:r>
      <w:proofErr w:type="spellEnd"/>
      <w:r w:rsidRPr="0052117D">
        <w:rPr>
          <w:rFonts w:asciiTheme="minorHAnsi" w:eastAsia="Aptos" w:hAnsiTheme="minorHAnsi" w:cstheme="minorHAnsi"/>
          <w:szCs w:val="24"/>
        </w:rPr>
        <w:t>), pueden contribuir a reducir las brechas digitales al proporcionar conectividad en amplias zonas geográficas con un posible ahorro en los costos de despliegue, gracias a una menor necesidad de infraestructuras terrenas, ofreciendo así una solución resiliente de conectividad para las poblaciones de zonas de baja densidad demográfica, incluidas las regiones insuficientemente atendidas, especialmente en los países menos adelantados (</w:t>
      </w:r>
      <w:proofErr w:type="spellStart"/>
      <w:r w:rsidRPr="0052117D">
        <w:rPr>
          <w:rFonts w:asciiTheme="minorHAnsi" w:eastAsia="Aptos" w:hAnsiTheme="minorHAnsi" w:cstheme="minorHAnsi"/>
          <w:szCs w:val="24"/>
        </w:rPr>
        <w:t>PMA</w:t>
      </w:r>
      <w:proofErr w:type="spellEnd"/>
      <w:r w:rsidRPr="0052117D">
        <w:rPr>
          <w:rFonts w:asciiTheme="minorHAnsi" w:eastAsia="Aptos" w:hAnsiTheme="minorHAnsi" w:cstheme="minorHAnsi"/>
          <w:szCs w:val="24"/>
        </w:rPr>
        <w:t xml:space="preserve">), los </w:t>
      </w:r>
      <w:r w:rsidRPr="0052117D">
        <w:rPr>
          <w:rFonts w:asciiTheme="minorHAnsi" w:eastAsiaTheme="minorEastAsia" w:hAnsiTheme="minorHAnsi" w:cstheme="minorHAnsi"/>
          <w:szCs w:val="24"/>
          <w:lang w:eastAsia="zh-CN"/>
        </w:rPr>
        <w:t>países en desarrollo sin litoral</w:t>
      </w:r>
      <w:r w:rsidRPr="0052117D">
        <w:rPr>
          <w:rFonts w:asciiTheme="minorHAnsi" w:eastAsia="Aptos" w:hAnsiTheme="minorHAnsi" w:cstheme="minorHAnsi"/>
          <w:szCs w:val="24"/>
        </w:rPr>
        <w:t xml:space="preserve"> (</w:t>
      </w:r>
      <w:proofErr w:type="spellStart"/>
      <w:r w:rsidRPr="0052117D">
        <w:rPr>
          <w:rFonts w:asciiTheme="minorHAnsi" w:eastAsia="Aptos" w:hAnsiTheme="minorHAnsi" w:cstheme="minorHAnsi"/>
          <w:szCs w:val="24"/>
        </w:rPr>
        <w:t>PDSL</w:t>
      </w:r>
      <w:proofErr w:type="spellEnd"/>
      <w:r w:rsidRPr="0052117D">
        <w:rPr>
          <w:rFonts w:asciiTheme="minorHAnsi" w:eastAsia="Aptos" w:hAnsiTheme="minorHAnsi" w:cstheme="minorHAnsi"/>
          <w:szCs w:val="24"/>
        </w:rPr>
        <w:t xml:space="preserve">) y los </w:t>
      </w:r>
      <w:r w:rsidRPr="0052117D">
        <w:rPr>
          <w:rFonts w:asciiTheme="minorHAnsi" w:eastAsiaTheme="minorEastAsia" w:hAnsiTheme="minorHAnsi" w:cstheme="minorHAnsi"/>
          <w:szCs w:val="24"/>
          <w:lang w:eastAsia="zh-CN"/>
        </w:rPr>
        <w:t>pequeños Estados insulares en desarrollo</w:t>
      </w:r>
      <w:r w:rsidRPr="0052117D">
        <w:rPr>
          <w:rFonts w:asciiTheme="minorHAnsi" w:eastAsia="Aptos" w:hAnsiTheme="minorHAnsi" w:cstheme="minorHAnsi"/>
          <w:szCs w:val="24"/>
        </w:rPr>
        <w:t xml:space="preserve"> (</w:t>
      </w:r>
      <w:proofErr w:type="spellStart"/>
      <w:r w:rsidRPr="0052117D">
        <w:rPr>
          <w:rFonts w:asciiTheme="minorHAnsi" w:eastAsia="Aptos" w:hAnsiTheme="minorHAnsi" w:cstheme="minorHAnsi"/>
          <w:szCs w:val="24"/>
        </w:rPr>
        <w:t>PEID</w:t>
      </w:r>
      <w:proofErr w:type="spellEnd"/>
      <w:r w:rsidRPr="0052117D">
        <w:rPr>
          <w:rFonts w:asciiTheme="minorHAnsi" w:eastAsia="Aptos" w:hAnsiTheme="minorHAnsi" w:cstheme="minorHAnsi"/>
          <w:szCs w:val="24"/>
        </w:rPr>
        <w:t>);</w:t>
      </w:r>
    </w:p>
    <w:p w14:paraId="0DF272DD" w14:textId="77777777" w:rsidR="00081E04" w:rsidRPr="0052117D" w:rsidRDefault="00081E04" w:rsidP="00081E04">
      <w:pPr>
        <w:jc w:val="both"/>
        <w:rPr>
          <w:rFonts w:asciiTheme="minorHAnsi" w:eastAsia="Aptos" w:hAnsiTheme="minorHAnsi" w:cstheme="minorHAnsi"/>
          <w:szCs w:val="24"/>
        </w:rPr>
      </w:pPr>
      <w:r w:rsidRPr="0052117D">
        <w:rPr>
          <w:rFonts w:asciiTheme="minorHAnsi" w:eastAsia="Aptos" w:hAnsiTheme="minorHAnsi" w:cstheme="minorHAnsi"/>
          <w:i/>
          <w:szCs w:val="24"/>
        </w:rPr>
        <w:t>c)</w:t>
      </w:r>
      <w:r w:rsidRPr="0052117D">
        <w:rPr>
          <w:rFonts w:asciiTheme="minorHAnsi" w:eastAsia="Aptos" w:hAnsiTheme="minorHAnsi" w:cstheme="minorHAnsi"/>
          <w:i/>
          <w:szCs w:val="24"/>
        </w:rPr>
        <w:tab/>
      </w:r>
      <w:r w:rsidRPr="0052117D">
        <w:rPr>
          <w:rFonts w:asciiTheme="minorHAnsi" w:eastAsia="Aptos" w:hAnsiTheme="minorHAnsi" w:cstheme="minorHAnsi"/>
          <w:szCs w:val="24"/>
        </w:rPr>
        <w:t xml:space="preserve">que las redes y los servicios de telecomunicaciones/TIC espaciales utilizados tanto por los sistemas no </w:t>
      </w:r>
      <w:proofErr w:type="spellStart"/>
      <w:r w:rsidRPr="0052117D">
        <w:rPr>
          <w:rFonts w:asciiTheme="minorHAnsi" w:eastAsia="Aptos" w:hAnsiTheme="minorHAnsi" w:cstheme="minorHAnsi"/>
          <w:szCs w:val="24"/>
        </w:rPr>
        <w:t>OSG</w:t>
      </w:r>
      <w:proofErr w:type="spellEnd"/>
      <w:r w:rsidRPr="0052117D">
        <w:rPr>
          <w:rFonts w:asciiTheme="minorHAnsi" w:eastAsia="Aptos" w:hAnsiTheme="minorHAnsi" w:cstheme="minorHAnsi"/>
          <w:szCs w:val="24"/>
        </w:rPr>
        <w:t xml:space="preserve"> como por los sistemas </w:t>
      </w:r>
      <w:proofErr w:type="spellStart"/>
      <w:r w:rsidRPr="0052117D">
        <w:rPr>
          <w:rFonts w:asciiTheme="minorHAnsi" w:eastAsia="Aptos" w:hAnsiTheme="minorHAnsi" w:cstheme="minorHAnsi"/>
          <w:szCs w:val="24"/>
        </w:rPr>
        <w:t>OSG</w:t>
      </w:r>
      <w:proofErr w:type="spellEnd"/>
      <w:r w:rsidRPr="0052117D">
        <w:rPr>
          <w:rFonts w:asciiTheme="minorHAnsi" w:eastAsia="Aptos" w:hAnsiTheme="minorHAnsi" w:cstheme="minorHAnsi"/>
          <w:szCs w:val="24"/>
        </w:rPr>
        <w:t xml:space="preserve"> evolucionan con rapidez, y que la complementariedad de ambos sistemas constituye una de las principales oportunidades para ampliar la conectividad;</w:t>
      </w:r>
      <w:bookmarkStart w:id="8" w:name="_Hlk175572783"/>
    </w:p>
    <w:p w14:paraId="292D3DB6" w14:textId="77777777" w:rsidR="00081E04" w:rsidRPr="0052117D" w:rsidRDefault="00081E04" w:rsidP="00081E04">
      <w:pPr>
        <w:jc w:val="both"/>
        <w:rPr>
          <w:rFonts w:asciiTheme="minorHAnsi" w:eastAsia="Aptos" w:hAnsiTheme="minorHAnsi" w:cstheme="minorHAnsi"/>
          <w:szCs w:val="24"/>
        </w:rPr>
      </w:pPr>
      <w:r w:rsidRPr="0052117D">
        <w:rPr>
          <w:rFonts w:asciiTheme="minorHAnsi" w:eastAsia="Aptos" w:hAnsiTheme="minorHAnsi" w:cstheme="minorHAnsi"/>
          <w:i/>
          <w:szCs w:val="24"/>
        </w:rPr>
        <w:t>d)</w:t>
      </w:r>
      <w:r w:rsidRPr="0052117D">
        <w:rPr>
          <w:rFonts w:asciiTheme="minorHAnsi" w:eastAsia="Aptos" w:hAnsiTheme="minorHAnsi" w:cstheme="minorHAnsi"/>
          <w:i/>
          <w:szCs w:val="24"/>
        </w:rPr>
        <w:tab/>
      </w:r>
      <w:r w:rsidRPr="0052117D">
        <w:rPr>
          <w:rFonts w:asciiTheme="minorHAnsi" w:eastAsia="Aptos" w:hAnsiTheme="minorHAnsi" w:cstheme="minorHAnsi"/>
          <w:szCs w:val="24"/>
        </w:rPr>
        <w:t xml:space="preserve">que las buenas prácticas de la industria, combinadas con marcos normativos propicios y con visión de futuro, contribuyen a maximizar el potencial de las </w:t>
      </w:r>
      <w:bookmarkEnd w:id="8"/>
      <w:r w:rsidRPr="0052117D">
        <w:rPr>
          <w:rFonts w:asciiTheme="minorHAnsi" w:eastAsia="Aptos" w:hAnsiTheme="minorHAnsi" w:cstheme="minorHAnsi"/>
          <w:szCs w:val="24"/>
        </w:rPr>
        <w:t>redes y los servicios de telecomunicaciones/TIC espaciales;</w:t>
      </w:r>
    </w:p>
    <w:p w14:paraId="47A53626" w14:textId="77777777" w:rsidR="00081E04" w:rsidRPr="0052117D" w:rsidRDefault="00081E04" w:rsidP="00081E04">
      <w:pPr>
        <w:jc w:val="both"/>
        <w:rPr>
          <w:rFonts w:asciiTheme="minorHAnsi" w:eastAsia="Aptos" w:hAnsiTheme="minorHAnsi" w:cstheme="minorHAnsi"/>
          <w:szCs w:val="24"/>
        </w:rPr>
      </w:pPr>
      <w:r w:rsidRPr="0052117D">
        <w:rPr>
          <w:rFonts w:asciiTheme="minorHAnsi" w:eastAsia="Aptos" w:hAnsiTheme="minorHAnsi" w:cstheme="minorHAnsi"/>
          <w:i/>
          <w:szCs w:val="24"/>
        </w:rPr>
        <w:t>e)</w:t>
      </w:r>
      <w:r w:rsidRPr="0052117D">
        <w:rPr>
          <w:rFonts w:asciiTheme="minorHAnsi" w:eastAsia="Aptos" w:hAnsiTheme="minorHAnsi" w:cstheme="minorHAnsi"/>
          <w:i/>
          <w:szCs w:val="24"/>
        </w:rPr>
        <w:tab/>
      </w:r>
      <w:r w:rsidRPr="0052117D">
        <w:rPr>
          <w:rFonts w:asciiTheme="minorHAnsi" w:eastAsia="Aptos" w:hAnsiTheme="minorHAnsi" w:cstheme="minorHAnsi"/>
          <w:szCs w:val="24"/>
        </w:rPr>
        <w:t xml:space="preserve">que los esfuerzos de creación de capacidad, incluidos el intercambio de prácticas idóneas y actos tales como el Simposio Mundial para Organismos Reguladores, así como la reciente elaboración de las Directrices sobre Prácticas Idóneas del </w:t>
      </w:r>
      <w:proofErr w:type="spellStart"/>
      <w:r w:rsidRPr="0052117D">
        <w:rPr>
          <w:rFonts w:asciiTheme="minorHAnsi" w:eastAsia="Aptos" w:hAnsiTheme="minorHAnsi" w:cstheme="minorHAnsi"/>
          <w:szCs w:val="24"/>
        </w:rPr>
        <w:t>GSR</w:t>
      </w:r>
      <w:proofErr w:type="spellEnd"/>
      <w:r w:rsidRPr="0052117D">
        <w:rPr>
          <w:rFonts w:asciiTheme="minorHAnsi" w:eastAsia="Aptos" w:hAnsiTheme="minorHAnsi" w:cstheme="minorHAnsi"/>
          <w:szCs w:val="24"/>
        </w:rPr>
        <w:t xml:space="preserve">-24 y del </w:t>
      </w:r>
      <w:proofErr w:type="spellStart"/>
      <w:r w:rsidRPr="0052117D">
        <w:rPr>
          <w:rFonts w:asciiTheme="minorHAnsi" w:eastAsia="Aptos" w:hAnsiTheme="minorHAnsi" w:cstheme="minorHAnsi"/>
          <w:szCs w:val="24"/>
        </w:rPr>
        <w:t>GSR</w:t>
      </w:r>
      <w:proofErr w:type="spellEnd"/>
      <w:r w:rsidRPr="0052117D">
        <w:rPr>
          <w:rFonts w:asciiTheme="minorHAnsi" w:eastAsia="Aptos" w:hAnsiTheme="minorHAnsi" w:cstheme="minorHAnsi"/>
          <w:szCs w:val="24"/>
        </w:rPr>
        <w:t>-25, pueden ayudar a los países a seguir el ritmo del rápido despliegue de las redes y los servicios de telecomunicaciones/TIC espaciales, y contribuir a orientar la evolución de los enfoques reglamentarios nacionales de las administraciones a medida que los países abordan cuestiones tales como la concesión de licencias y la seguridad;</w:t>
      </w:r>
    </w:p>
    <w:p w14:paraId="281B3123" w14:textId="035E09E5" w:rsidR="00081E04" w:rsidRPr="0052117D" w:rsidRDefault="00081E04" w:rsidP="00081E04">
      <w:pPr>
        <w:jc w:val="both"/>
        <w:rPr>
          <w:rFonts w:asciiTheme="minorHAnsi" w:eastAsia="Aptos" w:hAnsiTheme="minorHAnsi" w:cstheme="minorHAnsi"/>
          <w:szCs w:val="24"/>
        </w:rPr>
      </w:pPr>
      <w:r w:rsidRPr="0052117D">
        <w:rPr>
          <w:rFonts w:asciiTheme="minorHAnsi" w:eastAsia="Aptos" w:hAnsiTheme="minorHAnsi" w:cstheme="minorHAnsi"/>
          <w:i/>
          <w:szCs w:val="24"/>
        </w:rPr>
        <w:t>f)</w:t>
      </w:r>
      <w:r w:rsidRPr="0052117D">
        <w:rPr>
          <w:rFonts w:asciiTheme="minorHAnsi" w:eastAsia="Aptos" w:hAnsiTheme="minorHAnsi" w:cstheme="minorHAnsi"/>
          <w:i/>
          <w:szCs w:val="24"/>
        </w:rPr>
        <w:tab/>
      </w:r>
      <w:r w:rsidRPr="0052117D">
        <w:rPr>
          <w:rFonts w:asciiTheme="minorHAnsi" w:eastAsia="Aptos" w:hAnsiTheme="minorHAnsi" w:cstheme="minorHAnsi"/>
          <w:szCs w:val="24"/>
        </w:rPr>
        <w:t>que el acceso equitativo a las redes y los servicios de telecomunicaciones/TIC espaciales exige una reflexión sobre los retos aún pendientes, tales como la utilización de los recursos relacionados con las telecomunicaciones/TIC espaciales;</w:t>
      </w:r>
    </w:p>
    <w:p w14:paraId="3638E3AE" w14:textId="77777777" w:rsidR="00081E04" w:rsidRPr="0052117D" w:rsidRDefault="00081E04" w:rsidP="00081E04">
      <w:pPr>
        <w:jc w:val="both"/>
        <w:rPr>
          <w:rFonts w:asciiTheme="minorHAnsi" w:eastAsia="Aptos" w:hAnsiTheme="minorHAnsi" w:cstheme="minorHAnsi"/>
          <w:szCs w:val="24"/>
        </w:rPr>
      </w:pPr>
      <w:r w:rsidRPr="0052117D">
        <w:rPr>
          <w:rFonts w:asciiTheme="minorHAnsi" w:eastAsia="Aptos" w:hAnsiTheme="minorHAnsi" w:cstheme="minorHAnsi"/>
          <w:i/>
          <w:szCs w:val="24"/>
        </w:rPr>
        <w:t>g)</w:t>
      </w:r>
      <w:r w:rsidRPr="0052117D">
        <w:rPr>
          <w:rFonts w:asciiTheme="minorHAnsi" w:eastAsia="Aptos" w:hAnsiTheme="minorHAnsi" w:cstheme="minorHAnsi"/>
          <w:i/>
          <w:szCs w:val="24"/>
        </w:rPr>
        <w:tab/>
      </w:r>
      <w:r w:rsidRPr="0052117D">
        <w:rPr>
          <w:rFonts w:asciiTheme="minorHAnsi" w:eastAsia="Aptos" w:hAnsiTheme="minorHAnsi" w:cstheme="minorHAnsi"/>
          <w:szCs w:val="24"/>
        </w:rPr>
        <w:t>que la UIT posee un mandato específico en materia de telecomunicaciones/TIC, incluidas las redes y los servicios de telecomunicaciones/TIC espaciales, que complementa las competencias existentes en el conjunto del sistema de las Naciones Unidas, y que es preciso coordinar los esfuerzos con objeto de evitar duplicaciones entre organismos;</w:t>
      </w:r>
    </w:p>
    <w:p w14:paraId="3F836D7E" w14:textId="77777777" w:rsidR="00081E04" w:rsidRPr="0052117D" w:rsidRDefault="00081E04" w:rsidP="00081E04">
      <w:pPr>
        <w:jc w:val="both"/>
        <w:rPr>
          <w:rFonts w:asciiTheme="minorHAnsi" w:eastAsia="Aptos" w:hAnsiTheme="minorHAnsi" w:cstheme="minorHAnsi"/>
          <w:szCs w:val="24"/>
        </w:rPr>
      </w:pPr>
      <w:r w:rsidRPr="0052117D">
        <w:rPr>
          <w:rFonts w:asciiTheme="minorHAnsi" w:eastAsia="Aptos" w:hAnsiTheme="minorHAnsi" w:cstheme="minorHAnsi"/>
          <w:i/>
          <w:szCs w:val="24"/>
        </w:rPr>
        <w:t>h)</w:t>
      </w:r>
      <w:r w:rsidRPr="0052117D">
        <w:rPr>
          <w:rFonts w:asciiTheme="minorHAnsi" w:eastAsia="Aptos" w:hAnsiTheme="minorHAnsi" w:cstheme="minorHAnsi"/>
          <w:i/>
          <w:szCs w:val="24"/>
        </w:rPr>
        <w:tab/>
      </w:r>
      <w:r w:rsidRPr="0052117D">
        <w:rPr>
          <w:rFonts w:asciiTheme="minorHAnsi" w:eastAsia="Aptos" w:hAnsiTheme="minorHAnsi" w:cstheme="minorHAnsi"/>
          <w:szCs w:val="24"/>
        </w:rPr>
        <w:t>que la conectividad espacial puede reforzar la resiliencia nacional y la respuesta ante catástrofes cuando se integra en los planes nacionales de telecomunicaciones de emergencia,</w:t>
      </w:r>
    </w:p>
    <w:p w14:paraId="300C481A" w14:textId="77777777" w:rsidR="00081E04" w:rsidRPr="00234542" w:rsidRDefault="00081E04" w:rsidP="00234542">
      <w:pPr>
        <w:pStyle w:val="Call"/>
      </w:pPr>
      <w:r w:rsidRPr="00234542">
        <w:lastRenderedPageBreak/>
        <w:t>opina</w:t>
      </w:r>
    </w:p>
    <w:p w14:paraId="6236D24D" w14:textId="49AE59A0" w:rsidR="00081E04" w:rsidRPr="0052117D" w:rsidRDefault="00081E04" w:rsidP="00081E04">
      <w:pPr>
        <w:jc w:val="both"/>
        <w:rPr>
          <w:rFonts w:asciiTheme="minorHAnsi" w:hAnsiTheme="minorHAnsi" w:cstheme="minorHAnsi"/>
          <w:spacing w:val="-2"/>
          <w:szCs w:val="24"/>
        </w:rPr>
      </w:pPr>
      <w:r w:rsidRPr="0052117D">
        <w:rPr>
          <w:rFonts w:asciiTheme="minorHAnsi" w:hAnsiTheme="minorHAnsi" w:cstheme="minorHAnsi"/>
          <w:spacing w:val="-2"/>
          <w:szCs w:val="24"/>
        </w:rPr>
        <w:t>1</w:t>
      </w:r>
      <w:r w:rsidRPr="0052117D">
        <w:rPr>
          <w:rFonts w:asciiTheme="minorHAnsi" w:hAnsiTheme="minorHAnsi" w:cstheme="minorHAnsi"/>
          <w:spacing w:val="-2"/>
          <w:szCs w:val="24"/>
        </w:rPr>
        <w:tab/>
      </w:r>
      <w:r w:rsidRPr="0052117D">
        <w:rPr>
          <w:rFonts w:asciiTheme="minorHAnsi" w:hAnsiTheme="minorHAnsi" w:cstheme="minorHAnsi"/>
          <w:spacing w:val="-2"/>
          <w:szCs w:val="24"/>
          <w:lang w:eastAsia="zh-CN"/>
        </w:rPr>
        <w:t xml:space="preserve">que </w:t>
      </w:r>
      <w:r w:rsidRPr="0052117D">
        <w:rPr>
          <w:rFonts w:asciiTheme="minorHAnsi" w:eastAsia="Calibri" w:hAnsiTheme="minorHAnsi" w:cstheme="minorHAnsi"/>
          <w:spacing w:val="-2"/>
          <w:szCs w:val="24"/>
          <w:lang w:eastAsia="zh-CN"/>
        </w:rPr>
        <w:t>la</w:t>
      </w:r>
      <w:r w:rsidRPr="0052117D">
        <w:rPr>
          <w:rFonts w:asciiTheme="minorHAnsi" w:hAnsiTheme="minorHAnsi" w:cstheme="minorHAnsi"/>
          <w:spacing w:val="-2"/>
          <w:szCs w:val="24"/>
          <w:lang w:eastAsia="zh-CN"/>
        </w:rPr>
        <w:t xml:space="preserve"> promoción y utilización de las redes</w:t>
      </w:r>
      <w:r w:rsidRPr="0052117D">
        <w:rPr>
          <w:rFonts w:asciiTheme="minorHAnsi" w:hAnsiTheme="minorHAnsi" w:cstheme="minorHAnsi"/>
          <w:spacing w:val="-2"/>
          <w:szCs w:val="24"/>
        </w:rPr>
        <w:t xml:space="preserve"> y los servicios de telecomunicaciones/TIC espaciales</w:t>
      </w:r>
      <w:r w:rsidRPr="0052117D">
        <w:rPr>
          <w:rFonts w:asciiTheme="minorHAnsi" w:eastAsia="Calibri" w:hAnsiTheme="minorHAnsi" w:cstheme="minorHAnsi"/>
          <w:spacing w:val="-2"/>
          <w:szCs w:val="24"/>
        </w:rPr>
        <w:t>,</w:t>
      </w:r>
      <w:r w:rsidRPr="0052117D">
        <w:rPr>
          <w:rFonts w:asciiTheme="minorHAnsi" w:eastAsia="Calibri" w:hAnsiTheme="minorHAnsi" w:cstheme="minorHAnsi"/>
          <w:spacing w:val="-2"/>
          <w:szCs w:val="24"/>
          <w:lang w:eastAsia="zh-CN"/>
        </w:rPr>
        <w:t xml:space="preserve"> </w:t>
      </w:r>
      <w:r w:rsidRPr="0052117D">
        <w:rPr>
          <w:rFonts w:asciiTheme="minorHAnsi" w:hAnsiTheme="minorHAnsi" w:cstheme="minorHAnsi"/>
          <w:spacing w:val="-2"/>
          <w:szCs w:val="24"/>
          <w:lang w:eastAsia="zh-CN"/>
        </w:rPr>
        <w:t xml:space="preserve">de manera independiente o </w:t>
      </w:r>
      <w:r w:rsidRPr="0052117D">
        <w:rPr>
          <w:rFonts w:asciiTheme="minorHAnsi" w:hAnsiTheme="minorHAnsi" w:cstheme="minorHAnsi"/>
          <w:spacing w:val="-2"/>
          <w:szCs w:val="24"/>
        </w:rPr>
        <w:t>conjuntamente, cuando proceda,</w:t>
      </w:r>
      <w:r w:rsidRPr="0052117D">
        <w:rPr>
          <w:rFonts w:asciiTheme="minorHAnsi" w:eastAsia="Aptos" w:hAnsiTheme="minorHAnsi" w:cstheme="minorHAnsi"/>
          <w:spacing w:val="-2"/>
          <w:szCs w:val="24"/>
        </w:rPr>
        <w:t xml:space="preserve"> </w:t>
      </w:r>
      <w:r w:rsidRPr="0052117D">
        <w:rPr>
          <w:rFonts w:asciiTheme="minorHAnsi" w:eastAsia="Calibri" w:hAnsiTheme="minorHAnsi" w:cstheme="minorHAnsi"/>
          <w:spacing w:val="-2"/>
          <w:szCs w:val="24"/>
          <w:lang w:eastAsia="zh-CN"/>
        </w:rPr>
        <w:t xml:space="preserve">con las redes y los servicios terrenales, pueden contribuir al </w:t>
      </w:r>
      <w:r w:rsidRPr="0052117D">
        <w:rPr>
          <w:rFonts w:asciiTheme="minorHAnsi" w:hAnsiTheme="minorHAnsi" w:cstheme="minorHAnsi"/>
          <w:spacing w:val="-2"/>
          <w:szCs w:val="24"/>
        </w:rPr>
        <w:t xml:space="preserve">desarrollo sostenible, social y económico, en particular en las zonas insuficientemente atendidas, incluidas las de los </w:t>
      </w:r>
      <w:proofErr w:type="spellStart"/>
      <w:r w:rsidRPr="0052117D">
        <w:rPr>
          <w:rFonts w:asciiTheme="minorHAnsi" w:hAnsiTheme="minorHAnsi" w:cstheme="minorHAnsi"/>
          <w:spacing w:val="-2"/>
          <w:szCs w:val="24"/>
        </w:rPr>
        <w:t>PMA</w:t>
      </w:r>
      <w:proofErr w:type="spellEnd"/>
      <w:r w:rsidRPr="0052117D">
        <w:rPr>
          <w:rFonts w:asciiTheme="minorHAnsi" w:hAnsiTheme="minorHAnsi" w:cstheme="minorHAnsi"/>
          <w:spacing w:val="-2"/>
          <w:szCs w:val="24"/>
        </w:rPr>
        <w:t xml:space="preserve">, los </w:t>
      </w:r>
      <w:proofErr w:type="spellStart"/>
      <w:r w:rsidRPr="0052117D">
        <w:rPr>
          <w:rFonts w:asciiTheme="minorHAnsi" w:hAnsiTheme="minorHAnsi" w:cstheme="minorHAnsi"/>
          <w:spacing w:val="-2"/>
          <w:szCs w:val="24"/>
        </w:rPr>
        <w:t>PDSL</w:t>
      </w:r>
      <w:proofErr w:type="spellEnd"/>
      <w:r w:rsidRPr="0052117D">
        <w:rPr>
          <w:rFonts w:asciiTheme="minorHAnsi" w:hAnsiTheme="minorHAnsi" w:cstheme="minorHAnsi"/>
          <w:spacing w:val="-2"/>
          <w:szCs w:val="24"/>
        </w:rPr>
        <w:t xml:space="preserve"> y los </w:t>
      </w:r>
      <w:proofErr w:type="spellStart"/>
      <w:r w:rsidRPr="0052117D">
        <w:rPr>
          <w:rFonts w:asciiTheme="minorHAnsi" w:hAnsiTheme="minorHAnsi" w:cstheme="minorHAnsi"/>
          <w:spacing w:val="-2"/>
          <w:szCs w:val="24"/>
        </w:rPr>
        <w:t>PEID</w:t>
      </w:r>
      <w:proofErr w:type="spellEnd"/>
      <w:r w:rsidRPr="0052117D">
        <w:rPr>
          <w:rFonts w:asciiTheme="minorHAnsi" w:hAnsiTheme="minorHAnsi" w:cstheme="minorHAnsi"/>
          <w:spacing w:val="-2"/>
          <w:szCs w:val="24"/>
        </w:rPr>
        <w:t>, con miras a garantizar beneficios a largo plazo y a hacer frente a los retos incipientes;</w:t>
      </w:r>
    </w:p>
    <w:p w14:paraId="6C2ED166" w14:textId="40B13B3F" w:rsidR="00081E04" w:rsidRPr="0052117D" w:rsidRDefault="00081E04" w:rsidP="00081E04">
      <w:pPr>
        <w:widowControl w:val="0"/>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que un entorno propicio, fundado en políticas y marcos reglamentarios transparentes, estables y actualizados, respalda la inversión en las redes y los servicios de telecomunicaciones/TIC espaciales y el acceso a ellos;</w:t>
      </w:r>
    </w:p>
    <w:p w14:paraId="5B2438CE" w14:textId="6A3ABDD8"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3</w:t>
      </w:r>
      <w:r w:rsidRPr="0052117D">
        <w:rPr>
          <w:rFonts w:asciiTheme="minorHAnsi" w:hAnsiTheme="minorHAnsi" w:cstheme="minorHAnsi"/>
          <w:szCs w:val="24"/>
        </w:rPr>
        <w:tab/>
        <w:t>que la adopción de enfoques tecnológicamente neutros en relación con los objetivos de conectividad beneficia la libertad de elección del consumidor y ofrece flexibilidad para escoger la solución más adecuada;</w:t>
      </w:r>
    </w:p>
    <w:p w14:paraId="17A40F54"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que a las administraciones podría resultarles conveniente considerar la actualización de las políticas y medidas reglamentarias, si lo estiman oportuno, con objeto de adaptarse a la innovación en el despliegue y el desarrollo de las redes y los servicios de telecomunicaciones/TIC por satélite espaciales, fomentando la participación de la industria y unas condiciones que permitan el desarrollo de los servicios espaciales y terrenales;</w:t>
      </w:r>
    </w:p>
    <w:p w14:paraId="0BECD0DA"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que las asociaciones mundiales y la cooperación internacional con otros organismos de las Naciones Unidas, organizaciones internacionales y partes interesadas resultan esenciales para promover la participación de los Estados Miembros en las actividades de comunicación espacial, en particular en el caso de los países en desarrollo, contribuyendo así a la consecución de los ODS, sin perjuicio de las prioridades y los enfoques nacionales;</w:t>
      </w:r>
    </w:p>
    <w:p w14:paraId="1714EBAD"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6</w:t>
      </w:r>
      <w:r w:rsidRPr="0052117D">
        <w:rPr>
          <w:rFonts w:asciiTheme="minorHAnsi" w:hAnsiTheme="minorHAnsi" w:cstheme="minorHAnsi"/>
          <w:szCs w:val="24"/>
        </w:rPr>
        <w:tab/>
        <w:t>que la exploración de vías de cooperación internacional y de iniciativas de intercambio de conocimientos puede facilitar el acceso equitativo a las oportunidades que brindan las aplicaciones y los servicios de telecomunicaciones/TIC espaciales;</w:t>
      </w:r>
    </w:p>
    <w:p w14:paraId="18A21355"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7</w:t>
      </w:r>
      <w:r w:rsidRPr="0052117D">
        <w:rPr>
          <w:rFonts w:asciiTheme="minorHAnsi" w:hAnsiTheme="minorHAnsi" w:cstheme="minorHAnsi"/>
          <w:szCs w:val="24"/>
        </w:rPr>
        <w:tab/>
        <w:t>que el apoyo a la investigación y la innovación puede contribuir a la sostenibilidad a largo plazo de las actividades de telecomunicaciones/TIC espaciales, fomentando la colaboración entre las entidades interesadas, en el marco de sus mandatos, así como la cooperación entre múltiples partes interesadas, incluida la industria;</w:t>
      </w:r>
    </w:p>
    <w:p w14:paraId="1CCC624C"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8</w:t>
      </w:r>
      <w:r w:rsidRPr="0052117D">
        <w:rPr>
          <w:rFonts w:asciiTheme="minorHAnsi" w:hAnsiTheme="minorHAnsi" w:cstheme="minorHAnsi"/>
          <w:szCs w:val="24"/>
        </w:rPr>
        <w:tab/>
        <w:t>que la inversión de los sectores público y privado en las telecomunicaciones/TIC espaciales desempeña una función importante en la ampliación de la conectividad, y que la eliminación de los obstáculos a la inversión puede fomentar la innovación y acelerar el acceso a la conectividad,</w:t>
      </w:r>
    </w:p>
    <w:p w14:paraId="67E3BCD9" w14:textId="77777777" w:rsidR="00081E04" w:rsidRPr="00234542" w:rsidRDefault="00081E04" w:rsidP="00234542">
      <w:pPr>
        <w:pStyle w:val="Call"/>
      </w:pPr>
      <w:r w:rsidRPr="00234542">
        <w:t>invita a los Estados Miembros</w:t>
      </w:r>
    </w:p>
    <w:p w14:paraId="26D0B65D" w14:textId="6A91FF21"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r>
      <w:r w:rsidRPr="0052117D">
        <w:rPr>
          <w:rFonts w:asciiTheme="minorHAnsi" w:eastAsia="Calibri" w:hAnsiTheme="minorHAnsi" w:cstheme="minorHAnsi"/>
          <w:szCs w:val="24"/>
          <w:lang w:eastAsia="zh-CN"/>
        </w:rPr>
        <w:t xml:space="preserve">a </w:t>
      </w:r>
      <w:r w:rsidRPr="0052117D">
        <w:rPr>
          <w:rFonts w:asciiTheme="minorHAnsi" w:hAnsiTheme="minorHAnsi" w:cstheme="minorHAnsi"/>
          <w:szCs w:val="24"/>
        </w:rPr>
        <w:t xml:space="preserve">considerar la posibilidad de adoptar medidas normativas y reglamentarias que faciliten el acceso a las redes y los servicios de telecomunicaciones/TIC espaciales, según lo indicado en el </w:t>
      </w:r>
      <w:r w:rsidRPr="0052117D">
        <w:rPr>
          <w:rFonts w:asciiTheme="minorHAnsi" w:hAnsiTheme="minorHAnsi" w:cstheme="minorHAnsi"/>
          <w:i/>
          <w:iCs/>
          <w:szCs w:val="24"/>
        </w:rPr>
        <w:t>opina</w:t>
      </w:r>
      <w:r w:rsidRPr="0052117D">
        <w:rPr>
          <w:rFonts w:asciiTheme="minorHAnsi" w:hAnsiTheme="minorHAnsi" w:cstheme="minorHAnsi"/>
          <w:szCs w:val="24"/>
        </w:rPr>
        <w:t> 4;</w:t>
      </w:r>
    </w:p>
    <w:p w14:paraId="2FF0C5FC"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szCs w:val="24"/>
          <w:lang w:eastAsia="zh-CN"/>
        </w:rPr>
        <w:t>2</w:t>
      </w:r>
      <w:r w:rsidRPr="0052117D">
        <w:rPr>
          <w:rFonts w:asciiTheme="minorHAnsi" w:eastAsia="Calibri" w:hAnsiTheme="minorHAnsi" w:cstheme="minorHAnsi"/>
          <w:szCs w:val="24"/>
          <w:lang w:eastAsia="zh-CN"/>
        </w:rPr>
        <w:tab/>
      </w:r>
      <w:r w:rsidRPr="0052117D">
        <w:rPr>
          <w:rFonts w:asciiTheme="minorHAnsi" w:hAnsiTheme="minorHAnsi" w:cstheme="minorHAnsi"/>
          <w:szCs w:val="24"/>
        </w:rPr>
        <w:t>a considerar enfoques tecnológicamente inclusivos en relación con los objetivos de conectividad, basados en buenas prácticas que ofrezcan</w:t>
      </w:r>
      <w:r w:rsidRPr="0052117D">
        <w:rPr>
          <w:rFonts w:asciiTheme="minorHAnsi" w:eastAsia="Calibri" w:hAnsiTheme="minorHAnsi" w:cstheme="minorHAnsi"/>
          <w:szCs w:val="24"/>
          <w:lang w:eastAsia="zh-CN"/>
        </w:rPr>
        <w:t xml:space="preserve"> a los consumidores y a los proveedores flexibilidad para escoger la tecnología que mejor se adapte a las necesidades locales,</w:t>
      </w:r>
    </w:p>
    <w:p w14:paraId="42E810DD" w14:textId="77777777" w:rsidR="00081E04" w:rsidRPr="00234542" w:rsidRDefault="00081E04" w:rsidP="00234542">
      <w:pPr>
        <w:pStyle w:val="Call"/>
      </w:pPr>
      <w:r w:rsidRPr="00234542">
        <w:lastRenderedPageBreak/>
        <w:t xml:space="preserve">invita a los Estados Miembros, Miembros de Sector y otras partes interesadas a trabajar en colaboración </w:t>
      </w:r>
    </w:p>
    <w:p w14:paraId="5BDBD097" w14:textId="7DF571E5"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szCs w:val="24"/>
          <w:lang w:eastAsia="zh-CN"/>
        </w:rPr>
        <w:t>1</w:t>
      </w:r>
      <w:r w:rsidRPr="0052117D">
        <w:rPr>
          <w:rFonts w:asciiTheme="minorHAnsi" w:eastAsia="Calibri" w:hAnsiTheme="minorHAnsi" w:cstheme="minorHAnsi"/>
          <w:szCs w:val="24"/>
          <w:lang w:eastAsia="zh-CN"/>
        </w:rPr>
        <w:tab/>
        <w:t>para considerar la posibilidad de participar activamente en los foros internacionales pertinentes centrados en las telecomunicaciones/TIC espaciales que tengan por objeto reducir las brechas digitales;</w:t>
      </w:r>
    </w:p>
    <w:p w14:paraId="1ADE16B0" w14:textId="4C1F6762"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szCs w:val="24"/>
          <w:lang w:eastAsia="zh-CN"/>
        </w:rPr>
        <w:t>2</w:t>
      </w:r>
      <w:r w:rsidRPr="0052117D">
        <w:rPr>
          <w:rFonts w:asciiTheme="minorHAnsi" w:eastAsia="Calibri" w:hAnsiTheme="minorHAnsi" w:cstheme="minorHAnsi"/>
          <w:szCs w:val="24"/>
          <w:lang w:eastAsia="zh-CN"/>
        </w:rPr>
        <w:tab/>
        <w:t>para reforzar las asociaciones mundiales e intensificar la cooperación con miras a promover y aprovechar las redes y los servicios de telecomunicaciones/TIC espaciales en favor del desarrollo sostenible;</w:t>
      </w:r>
    </w:p>
    <w:p w14:paraId="55190BA5" w14:textId="6BCE0AEB" w:rsidR="00081E04" w:rsidRPr="0052117D" w:rsidRDefault="00081E04" w:rsidP="00081E04">
      <w:pPr>
        <w:jc w:val="both"/>
        <w:rPr>
          <w:rFonts w:asciiTheme="minorHAnsi" w:eastAsia="Calibri" w:hAnsiTheme="minorHAnsi" w:cstheme="minorHAnsi"/>
          <w:szCs w:val="24"/>
          <w:lang w:eastAsia="zh-CN"/>
        </w:rPr>
      </w:pPr>
      <w:bookmarkStart w:id="9" w:name="_Hlk219985672"/>
      <w:r w:rsidRPr="0052117D">
        <w:rPr>
          <w:rFonts w:asciiTheme="minorHAnsi" w:eastAsia="Calibri" w:hAnsiTheme="minorHAnsi" w:cstheme="minorHAnsi"/>
          <w:szCs w:val="24"/>
          <w:lang w:eastAsia="zh-CN"/>
        </w:rPr>
        <w:t>3</w:t>
      </w:r>
      <w:r w:rsidRPr="0052117D">
        <w:rPr>
          <w:rFonts w:asciiTheme="minorHAnsi" w:eastAsia="Calibri" w:hAnsiTheme="minorHAnsi" w:cstheme="minorHAnsi"/>
          <w:szCs w:val="24"/>
          <w:lang w:eastAsia="zh-CN"/>
        </w:rPr>
        <w:tab/>
        <w:t>para promover la colaboración y el intercambio de buenas prácticas relativas a los marcos normativos y reglamentarios aplicables a las redes y los servicios de telecomunicaciones/TIC espaciales;</w:t>
      </w:r>
    </w:p>
    <w:bookmarkEnd w:id="9"/>
    <w:p w14:paraId="3CE08B23" w14:textId="5A85BDEC"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szCs w:val="24"/>
          <w:lang w:eastAsia="zh-CN"/>
        </w:rPr>
        <w:t>4</w:t>
      </w:r>
      <w:r w:rsidRPr="0052117D">
        <w:rPr>
          <w:rFonts w:asciiTheme="minorHAnsi" w:eastAsia="Calibri" w:hAnsiTheme="minorHAnsi" w:cstheme="minorHAnsi"/>
          <w:szCs w:val="24"/>
          <w:lang w:eastAsia="zh-CN"/>
        </w:rPr>
        <w:tab/>
        <w:t>para facilitar la colaboración entre los operadores de redes terrenales y los operadores de telecomunicaciones/TIC espaciales no terrenales, con objeto de aprovechar los servicios y tecnologías de telecomunicaciones/TIC nuevos e incipientes;</w:t>
      </w:r>
    </w:p>
    <w:p w14:paraId="0D46A186"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szCs w:val="24"/>
          <w:lang w:eastAsia="zh-CN"/>
        </w:rPr>
        <w:t>5</w:t>
      </w:r>
      <w:r w:rsidRPr="0052117D">
        <w:rPr>
          <w:rFonts w:asciiTheme="minorHAnsi" w:eastAsia="Calibri" w:hAnsiTheme="minorHAnsi" w:cstheme="minorHAnsi"/>
          <w:szCs w:val="24"/>
          <w:lang w:eastAsia="zh-CN"/>
        </w:rPr>
        <w:tab/>
        <w:t>para reforzar los marcos normativos y reglamentarios aplicables al desarrollo y el despliegue de las redes y los servicios de telecomunicaciones/TIC espaciales,</w:t>
      </w:r>
    </w:p>
    <w:p w14:paraId="69AF430E" w14:textId="77777777" w:rsidR="00081E04" w:rsidRPr="00234542" w:rsidRDefault="00081E04" w:rsidP="00081E04">
      <w:pPr>
        <w:pStyle w:val="Call"/>
        <w:rPr>
          <w:lang w:eastAsia="zh-CN"/>
        </w:rPr>
      </w:pPr>
      <w:r w:rsidRPr="00234542">
        <w:t>invita a la Secretaria General, en estrecha colaboración con los Directores de las Oficinas</w:t>
      </w:r>
      <w:r w:rsidRPr="00234542">
        <w:rPr>
          <w:lang w:eastAsia="zh-CN"/>
        </w:rPr>
        <w:t xml:space="preserve"> de Radiocomunicaciones y de Desarrollo de las Telecomunicaciones</w:t>
      </w:r>
    </w:p>
    <w:p w14:paraId="03AC64D4"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szCs w:val="24"/>
          <w:lang w:eastAsia="zh-CN"/>
        </w:rPr>
        <w:t>1</w:t>
      </w:r>
      <w:r w:rsidRPr="0052117D">
        <w:rPr>
          <w:rFonts w:asciiTheme="minorHAnsi" w:eastAsia="Calibri" w:hAnsiTheme="minorHAnsi" w:cstheme="minorHAnsi"/>
          <w:szCs w:val="24"/>
          <w:lang w:eastAsia="zh-CN"/>
        </w:rPr>
        <w:tab/>
        <w:t xml:space="preserve">a seguir </w:t>
      </w:r>
      <w:r w:rsidRPr="0052117D">
        <w:rPr>
          <w:rFonts w:asciiTheme="minorHAnsi" w:hAnsiTheme="minorHAnsi" w:cstheme="minorHAnsi"/>
          <w:szCs w:val="24"/>
          <w:lang w:eastAsia="zh-CN"/>
        </w:rPr>
        <w:t xml:space="preserve">facilitando y reforzando los esfuerzos de la UIT por promover el acceso a las </w:t>
      </w:r>
      <w:r w:rsidRPr="0052117D">
        <w:rPr>
          <w:rFonts w:asciiTheme="minorHAnsi" w:eastAsia="Calibri" w:hAnsiTheme="minorHAnsi" w:cstheme="minorHAnsi"/>
          <w:szCs w:val="24"/>
          <w:lang w:eastAsia="zh-CN"/>
        </w:rPr>
        <w:t>redes y los servicios de telecomunicaciones/TIC espaciales, en el marco de los esfuerzos más amplios de la UIT por lograr una conectividad universal y significativa y una utilización sostenible, por parte del sector de las telecomunicaciones/TIC, de los recursos de conectividad del espacio ultraterrestre, tales como el espectro de frecuencias radioeléctricas y las órbitas asociadas;</w:t>
      </w:r>
    </w:p>
    <w:p w14:paraId="07A4CC58" w14:textId="77777777" w:rsidR="00081E04" w:rsidRPr="0052117D" w:rsidRDefault="00081E04" w:rsidP="00081E04">
      <w:pPr>
        <w:jc w:val="both"/>
        <w:rPr>
          <w:rFonts w:asciiTheme="minorHAnsi" w:eastAsia="Calibri" w:hAnsiTheme="minorHAnsi" w:cstheme="minorHAnsi"/>
          <w:szCs w:val="24"/>
          <w:lang w:eastAsia="zh-CN"/>
        </w:rPr>
      </w:pPr>
      <w:r w:rsidRPr="0052117D">
        <w:rPr>
          <w:rFonts w:asciiTheme="minorHAnsi" w:eastAsia="Calibri" w:hAnsiTheme="minorHAnsi" w:cstheme="minorHAnsi"/>
          <w:szCs w:val="24"/>
          <w:lang w:eastAsia="zh-CN"/>
        </w:rPr>
        <w:t>2</w:t>
      </w:r>
      <w:r w:rsidRPr="0052117D">
        <w:rPr>
          <w:rFonts w:asciiTheme="minorHAnsi" w:eastAsia="Calibri" w:hAnsiTheme="minorHAnsi" w:cstheme="minorHAnsi"/>
          <w:szCs w:val="24"/>
          <w:lang w:eastAsia="zh-CN"/>
        </w:rPr>
        <w:tab/>
        <w:t>a seguir respaldando a los reguladores y a los responsables políticos mediante la creación de capacidad, elaborando herramientas y recursos, incluidos estudios de casos sobre buenas prácticas modernas en materia de telecomunicaciones/TIC espaciales.</w:t>
      </w:r>
    </w:p>
    <w:p w14:paraId="58400FB4" w14:textId="77777777" w:rsidR="00081E04" w:rsidRPr="0052117D" w:rsidRDefault="00081E04" w:rsidP="00081E04">
      <w:pPr>
        <w:tabs>
          <w:tab w:val="clear" w:pos="1134"/>
          <w:tab w:val="clear" w:pos="1701"/>
          <w:tab w:val="clear" w:pos="2268"/>
          <w:tab w:val="clear" w:pos="2835"/>
        </w:tabs>
        <w:overflowPunct/>
        <w:autoSpaceDE/>
        <w:autoSpaceDN/>
        <w:adjustRightInd/>
        <w:spacing w:before="0"/>
        <w:textAlignment w:val="auto"/>
        <w:rPr>
          <w:rFonts w:asciiTheme="minorHAnsi" w:eastAsia="Calibri" w:hAnsiTheme="minorHAnsi" w:cstheme="minorHAnsi"/>
          <w:szCs w:val="24"/>
          <w:lang w:eastAsia="zh-CN"/>
        </w:rPr>
      </w:pPr>
      <w:r w:rsidRPr="0052117D">
        <w:rPr>
          <w:rFonts w:asciiTheme="minorHAnsi" w:eastAsia="Calibri" w:hAnsiTheme="minorHAnsi" w:cstheme="minorHAnsi"/>
          <w:szCs w:val="24"/>
          <w:lang w:eastAsia="zh-CN"/>
        </w:rPr>
        <w:br w:type="page"/>
      </w:r>
    </w:p>
    <w:p w14:paraId="2CA74E06" w14:textId="77777777" w:rsidR="00081E04" w:rsidRPr="0052117D" w:rsidRDefault="00081E04" w:rsidP="00081E04">
      <w:pPr>
        <w:pStyle w:val="OpNo"/>
        <w:rPr>
          <w:lang w:val="es-ES_tradnl"/>
        </w:rPr>
      </w:pPr>
      <w:r w:rsidRPr="0052117D">
        <w:rPr>
          <w:lang w:val="es-ES_tradnl"/>
        </w:rPr>
        <w:lastRenderedPageBreak/>
        <w:t>PROYECTO DE OPINIÓN 5</w:t>
      </w:r>
    </w:p>
    <w:p w14:paraId="296909A8" w14:textId="7C727985" w:rsidR="00081E04" w:rsidRPr="0052117D" w:rsidRDefault="00081E04" w:rsidP="00081E04">
      <w:pPr>
        <w:pStyle w:val="Optitle0"/>
        <w:rPr>
          <w:lang w:val="es-ES_tradnl"/>
        </w:rPr>
      </w:pPr>
      <w:r w:rsidRPr="0052117D">
        <w:rPr>
          <w:lang w:val="es-ES_tradnl"/>
        </w:rPr>
        <w:t xml:space="preserve">El fortalecimiento de los ecosistemas de innovación </w:t>
      </w:r>
      <w:r w:rsidR="00234542">
        <w:rPr>
          <w:lang w:val="es-ES_tradnl"/>
        </w:rPr>
        <w:br/>
      </w:r>
      <w:r w:rsidRPr="0052117D">
        <w:rPr>
          <w:lang w:val="es-ES_tradnl"/>
        </w:rPr>
        <w:t>centrados en las TIC y del espíritu empresarial</w:t>
      </w:r>
    </w:p>
    <w:p w14:paraId="3DA444D4" w14:textId="77777777" w:rsidR="00081E04" w:rsidRPr="007115E6" w:rsidRDefault="00081E04" w:rsidP="007115E6">
      <w:pPr>
        <w:pStyle w:val="Normalaftertitle"/>
      </w:pPr>
      <w:r w:rsidRPr="007115E6">
        <w:t>El séptimo Foro Mundial de Política de Telecomunicaciones/TIC (Nassau, 2026),</w:t>
      </w:r>
    </w:p>
    <w:p w14:paraId="61F147D7" w14:textId="77777777" w:rsidR="00081E04" w:rsidRPr="00234542" w:rsidRDefault="00081E04" w:rsidP="00234542">
      <w:pPr>
        <w:pStyle w:val="Call"/>
      </w:pPr>
      <w:r w:rsidRPr="00234542">
        <w:t>recordando</w:t>
      </w:r>
    </w:p>
    <w:p w14:paraId="005DE03F" w14:textId="6D28204C"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szCs w:val="24"/>
        </w:rPr>
        <w:t>a)</w:t>
      </w:r>
      <w:r w:rsidRPr="0052117D">
        <w:rPr>
          <w:rFonts w:asciiTheme="minorHAnsi" w:hAnsiTheme="minorHAnsi" w:cstheme="minorHAnsi"/>
          <w:i/>
          <w:szCs w:val="24"/>
        </w:rPr>
        <w:tab/>
      </w:r>
      <w:r w:rsidRPr="0052117D">
        <w:rPr>
          <w:rFonts w:asciiTheme="minorHAnsi" w:hAnsiTheme="minorHAnsi" w:cstheme="minorHAnsi"/>
          <w:szCs w:val="24"/>
        </w:rPr>
        <w:t>la Resolución 80/173 de la Asamblea General de las Naciones Unidas (</w:t>
      </w:r>
      <w:proofErr w:type="spellStart"/>
      <w:r w:rsidRPr="0052117D">
        <w:rPr>
          <w:rFonts w:asciiTheme="minorHAnsi" w:hAnsiTheme="minorHAnsi" w:cstheme="minorHAnsi"/>
          <w:szCs w:val="24"/>
        </w:rPr>
        <w:t>AGNU</w:t>
      </w:r>
      <w:proofErr w:type="spellEnd"/>
      <w:r w:rsidRPr="0052117D">
        <w:rPr>
          <w:rFonts w:asciiTheme="minorHAnsi" w:hAnsiTheme="minorHAnsi" w:cstheme="minorHAnsi"/>
          <w:szCs w:val="24"/>
        </w:rPr>
        <w:t>), sobre el documento final de la reunión de alto nivel sobre el examen general de la aplicación de los resultados de la Cumbre Mundial sobre la Sociedad de la Información (</w:t>
      </w:r>
      <w:proofErr w:type="spellStart"/>
      <w:r w:rsidRPr="0052117D">
        <w:rPr>
          <w:rFonts w:asciiTheme="minorHAnsi" w:hAnsiTheme="minorHAnsi" w:cstheme="minorHAnsi"/>
          <w:szCs w:val="24"/>
        </w:rPr>
        <w:t>CMSI+20</w:t>
      </w:r>
      <w:proofErr w:type="spellEnd"/>
      <w:r w:rsidRPr="0052117D">
        <w:rPr>
          <w:rFonts w:asciiTheme="minorHAnsi" w:hAnsiTheme="minorHAnsi" w:cstheme="minorHAnsi"/>
          <w:szCs w:val="24"/>
        </w:rPr>
        <w:t>);</w:t>
      </w:r>
    </w:p>
    <w:p w14:paraId="2C707BE6"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iCs/>
          <w:szCs w:val="24"/>
        </w:rPr>
        <w:t>b)</w:t>
      </w:r>
      <w:r w:rsidRPr="0052117D">
        <w:rPr>
          <w:rFonts w:asciiTheme="minorHAnsi" w:hAnsiTheme="minorHAnsi" w:cstheme="minorHAnsi"/>
          <w:szCs w:val="24"/>
        </w:rPr>
        <w:tab/>
        <w:t xml:space="preserve">la Resolución 79/1 de la </w:t>
      </w:r>
      <w:proofErr w:type="spellStart"/>
      <w:r w:rsidRPr="0052117D">
        <w:rPr>
          <w:rFonts w:asciiTheme="minorHAnsi" w:hAnsiTheme="minorHAnsi" w:cstheme="minorHAnsi"/>
          <w:szCs w:val="24"/>
        </w:rPr>
        <w:t>AGNU</w:t>
      </w:r>
      <w:proofErr w:type="spellEnd"/>
      <w:r w:rsidRPr="0052117D">
        <w:rPr>
          <w:rFonts w:asciiTheme="minorHAnsi" w:hAnsiTheme="minorHAnsi" w:cstheme="minorHAnsi"/>
          <w:szCs w:val="24"/>
        </w:rPr>
        <w:t>, sobre el Pacto para el Futuro;</w:t>
      </w:r>
    </w:p>
    <w:p w14:paraId="724DE412" w14:textId="141F6912"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szCs w:val="24"/>
        </w:rPr>
        <w:t>c)</w:t>
      </w:r>
      <w:r w:rsidRPr="0052117D">
        <w:rPr>
          <w:rFonts w:asciiTheme="minorHAnsi" w:hAnsiTheme="minorHAnsi" w:cstheme="minorHAnsi"/>
          <w:i/>
          <w:szCs w:val="24"/>
        </w:rPr>
        <w:tab/>
      </w:r>
      <w:r w:rsidRPr="0052117D">
        <w:rPr>
          <w:rFonts w:asciiTheme="minorHAnsi" w:hAnsiTheme="minorHAnsi" w:cstheme="minorHAnsi"/>
          <w:szCs w:val="24"/>
        </w:rPr>
        <w:t xml:space="preserve">la Resolución 70/1 de la </w:t>
      </w:r>
      <w:proofErr w:type="spellStart"/>
      <w:r w:rsidRPr="0052117D">
        <w:rPr>
          <w:rFonts w:asciiTheme="minorHAnsi" w:hAnsiTheme="minorHAnsi" w:cstheme="minorHAnsi"/>
          <w:szCs w:val="24"/>
        </w:rPr>
        <w:t>AGNU</w:t>
      </w:r>
      <w:proofErr w:type="spellEnd"/>
      <w:r w:rsidRPr="0052117D">
        <w:rPr>
          <w:rFonts w:asciiTheme="minorHAnsi" w:hAnsiTheme="minorHAnsi" w:cstheme="minorHAnsi"/>
          <w:szCs w:val="24"/>
        </w:rPr>
        <w:t xml:space="preserve">, </w:t>
      </w:r>
      <w:r w:rsidRPr="0052117D">
        <w:rPr>
          <w:rFonts w:asciiTheme="minorHAnsi" w:hAnsiTheme="minorHAnsi" w:cstheme="minorHAnsi"/>
          <w:i/>
          <w:szCs w:val="24"/>
        </w:rPr>
        <w:t>Transformar nuestro mundo: la Agenda 2030 para el Desarrollo Sostenible</w:t>
      </w:r>
      <w:r w:rsidRPr="0052117D">
        <w:rPr>
          <w:rFonts w:asciiTheme="minorHAnsi" w:hAnsiTheme="minorHAnsi" w:cstheme="minorHAnsi"/>
          <w:szCs w:val="24"/>
        </w:rPr>
        <w:t xml:space="preserve">, en particular los Objetivos de Desarrollo Sostenible 8, </w:t>
      </w:r>
      <w:r w:rsidR="00387BBE">
        <w:rPr>
          <w:rFonts w:asciiTheme="minorHAnsi" w:hAnsiTheme="minorHAnsi" w:cstheme="minorHAnsi"/>
          <w:szCs w:val="24"/>
        </w:rPr>
        <w:t>de promover el crecimiento económico sostenido, inclusivo y sostenible, el empleo pleno y productivo, y el trabajo decente para todas las personas</w:t>
      </w:r>
      <w:r w:rsidRPr="0052117D">
        <w:rPr>
          <w:rFonts w:asciiTheme="minorHAnsi" w:hAnsiTheme="minorHAnsi" w:cstheme="minorHAnsi"/>
          <w:szCs w:val="24"/>
        </w:rPr>
        <w:t xml:space="preserve">, y 9, </w:t>
      </w:r>
      <w:r w:rsidR="00387BBE">
        <w:rPr>
          <w:rFonts w:asciiTheme="minorHAnsi" w:hAnsiTheme="minorHAnsi" w:cstheme="minorHAnsi"/>
          <w:szCs w:val="24"/>
        </w:rPr>
        <w:t>de</w:t>
      </w:r>
      <w:r w:rsidR="001006D5">
        <w:rPr>
          <w:rFonts w:asciiTheme="minorHAnsi" w:hAnsiTheme="minorHAnsi" w:cstheme="minorHAnsi"/>
          <w:szCs w:val="24"/>
        </w:rPr>
        <w:t xml:space="preserve"> construir</w:t>
      </w:r>
      <w:r w:rsidR="00387BBE">
        <w:rPr>
          <w:rFonts w:asciiTheme="minorHAnsi" w:hAnsiTheme="minorHAnsi" w:cstheme="minorHAnsi"/>
          <w:szCs w:val="24"/>
        </w:rPr>
        <w:t xml:space="preserve"> infraestructuras resilientes, promover una </w:t>
      </w:r>
      <w:r w:rsidR="001006D5">
        <w:rPr>
          <w:rFonts w:asciiTheme="minorHAnsi" w:hAnsiTheme="minorHAnsi" w:cstheme="minorHAnsi"/>
          <w:szCs w:val="24"/>
        </w:rPr>
        <w:t>industrialización</w:t>
      </w:r>
      <w:r w:rsidR="00387BBE">
        <w:rPr>
          <w:rFonts w:asciiTheme="minorHAnsi" w:hAnsiTheme="minorHAnsi" w:cstheme="minorHAnsi"/>
          <w:szCs w:val="24"/>
        </w:rPr>
        <w:t xml:space="preserve"> inclusiva y sostenible, y fomentar la innovación</w:t>
      </w:r>
      <w:r w:rsidRPr="0052117D">
        <w:rPr>
          <w:rFonts w:asciiTheme="minorHAnsi" w:hAnsiTheme="minorHAnsi" w:cstheme="minorHAnsi"/>
          <w:szCs w:val="24"/>
        </w:rPr>
        <w:t>;</w:t>
      </w:r>
    </w:p>
    <w:p w14:paraId="313373A3"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szCs w:val="24"/>
        </w:rPr>
        <w:t>d)</w:t>
      </w:r>
      <w:r w:rsidRPr="0052117D">
        <w:rPr>
          <w:rFonts w:asciiTheme="minorHAnsi" w:hAnsiTheme="minorHAnsi" w:cstheme="minorHAnsi"/>
          <w:i/>
          <w:szCs w:val="24"/>
        </w:rPr>
        <w:tab/>
      </w:r>
      <w:r w:rsidRPr="0052117D">
        <w:rPr>
          <w:rFonts w:asciiTheme="minorHAnsi" w:hAnsiTheme="minorHAnsi" w:cstheme="minorHAnsi"/>
          <w:szCs w:val="24"/>
        </w:rPr>
        <w:t>la Resolución 198 (Rev. Bucarest, 2022) de la Conferencia de Plenipotenciarios, sobre el empoderamiento de la juventud a través de las telecomunicaciones/tecnologías de la información y la comunicación (TIC);</w:t>
      </w:r>
    </w:p>
    <w:p w14:paraId="1DE7F9AD"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szCs w:val="24"/>
        </w:rPr>
        <w:t>e)</w:t>
      </w:r>
      <w:r w:rsidRPr="0052117D">
        <w:rPr>
          <w:rFonts w:asciiTheme="minorHAnsi" w:hAnsiTheme="minorHAnsi" w:cstheme="minorHAnsi"/>
          <w:i/>
          <w:szCs w:val="24"/>
        </w:rPr>
        <w:tab/>
      </w:r>
      <w:r w:rsidRPr="0052117D">
        <w:rPr>
          <w:rFonts w:asciiTheme="minorHAnsi" w:hAnsiTheme="minorHAnsi" w:cstheme="minorHAnsi"/>
          <w:szCs w:val="24"/>
        </w:rPr>
        <w:t>la Resolución 205 (Rev. Bucarest, 2022) de la Conferencia de Plenipotenciarios, sobre el papel de la UIT en el fomento de la innovación centrada en las telecomunicaciones/TIC para impulsar la economía y la sociedad digitales;</w:t>
      </w:r>
    </w:p>
    <w:p w14:paraId="676223EF"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szCs w:val="24"/>
        </w:rPr>
        <w:t>f)</w:t>
      </w:r>
      <w:r w:rsidRPr="0052117D">
        <w:rPr>
          <w:rFonts w:asciiTheme="minorHAnsi" w:hAnsiTheme="minorHAnsi" w:cstheme="minorHAnsi"/>
          <w:i/>
          <w:szCs w:val="24"/>
        </w:rPr>
        <w:tab/>
      </w:r>
      <w:r w:rsidRPr="0052117D">
        <w:rPr>
          <w:rFonts w:asciiTheme="minorHAnsi" w:hAnsiTheme="minorHAnsi" w:cstheme="minorHAnsi"/>
          <w:szCs w:val="24"/>
        </w:rPr>
        <w:t>la Resolución 209 (Rev. Bucarest, 2022) de la Conferencia de Plenipotenciarios, sobre el fomento de la participación de las pequeñas y medianas empresas en los trabajos de la Unión,</w:t>
      </w:r>
    </w:p>
    <w:p w14:paraId="3B09699B" w14:textId="77777777" w:rsidR="00081E04" w:rsidRPr="00234542" w:rsidRDefault="00081E04" w:rsidP="00234542">
      <w:pPr>
        <w:pStyle w:val="Call"/>
      </w:pPr>
      <w:r w:rsidRPr="00234542">
        <w:t>reconociendo</w:t>
      </w:r>
    </w:p>
    <w:p w14:paraId="73253AB8"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iCs/>
          <w:szCs w:val="24"/>
        </w:rPr>
        <w:t>a)</w:t>
      </w:r>
      <w:r w:rsidRPr="0052117D">
        <w:rPr>
          <w:rFonts w:asciiTheme="minorHAnsi" w:hAnsiTheme="minorHAnsi" w:cstheme="minorHAnsi"/>
          <w:i/>
          <w:iCs/>
          <w:szCs w:val="24"/>
        </w:rPr>
        <w:tab/>
      </w:r>
      <w:r w:rsidRPr="0052117D">
        <w:rPr>
          <w:rFonts w:asciiTheme="minorHAnsi" w:hAnsiTheme="minorHAnsi" w:cstheme="minorHAnsi"/>
          <w:szCs w:val="24"/>
        </w:rPr>
        <w:t>que los ecosistemas de innovación centrados en las TIC pueden fomentar el desarrollo socioeconómico y la revitalización de las comunidades, hacer frente a los retos medioambientales e impulsar el desarrollo sostenible, al tiempo que incrementan la inclusividad, generan economías de escala y reducen la brecha digital;</w:t>
      </w:r>
    </w:p>
    <w:p w14:paraId="764A95C2"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iCs/>
          <w:szCs w:val="24"/>
        </w:rPr>
        <w:t>b)</w:t>
      </w:r>
      <w:r w:rsidRPr="0052117D">
        <w:rPr>
          <w:rFonts w:asciiTheme="minorHAnsi" w:hAnsiTheme="minorHAnsi" w:cstheme="minorHAnsi"/>
          <w:i/>
          <w:iCs/>
          <w:szCs w:val="24"/>
        </w:rPr>
        <w:tab/>
      </w:r>
      <w:r w:rsidRPr="0052117D">
        <w:rPr>
          <w:rFonts w:asciiTheme="minorHAnsi" w:hAnsiTheme="minorHAnsi" w:cstheme="minorHAnsi"/>
          <w:szCs w:val="24"/>
        </w:rPr>
        <w:t>que, en su condición de nativos digitales, los jóvenes han de desempeñar funciones importantes en los ecosistemas de innovación centrados en las TIC y en el espíritu empresarial;</w:t>
      </w:r>
    </w:p>
    <w:p w14:paraId="2660297E"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iCs/>
          <w:szCs w:val="24"/>
        </w:rPr>
        <w:t>c)</w:t>
      </w:r>
      <w:r w:rsidRPr="0052117D">
        <w:rPr>
          <w:rFonts w:asciiTheme="minorHAnsi" w:hAnsiTheme="minorHAnsi" w:cstheme="minorHAnsi"/>
          <w:i/>
          <w:iCs/>
          <w:szCs w:val="24"/>
        </w:rPr>
        <w:tab/>
      </w:r>
      <w:r w:rsidRPr="0052117D">
        <w:rPr>
          <w:rFonts w:asciiTheme="minorHAnsi" w:hAnsiTheme="minorHAnsi" w:cstheme="minorHAnsi"/>
          <w:szCs w:val="24"/>
        </w:rPr>
        <w:t>que el apoyo a los ecosistemas de innovación centrados en las TIC y al espíritu empresarial, incluso mediante la promoción de un entorno propicio, resulta fundamental para la transformación y la inclusión digitales;</w:t>
      </w:r>
    </w:p>
    <w:p w14:paraId="52247D8C"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iCs/>
          <w:szCs w:val="24"/>
        </w:rPr>
        <w:t>d)</w:t>
      </w:r>
      <w:r w:rsidRPr="0052117D">
        <w:rPr>
          <w:rFonts w:asciiTheme="minorHAnsi" w:hAnsiTheme="minorHAnsi" w:cstheme="minorHAnsi"/>
          <w:i/>
          <w:iCs/>
          <w:szCs w:val="24"/>
        </w:rPr>
        <w:tab/>
      </w:r>
      <w:r w:rsidRPr="0052117D">
        <w:rPr>
          <w:rFonts w:asciiTheme="minorHAnsi" w:hAnsiTheme="minorHAnsi" w:cstheme="minorHAnsi"/>
          <w:szCs w:val="24"/>
        </w:rPr>
        <w:t>que los emprendedores de empresas emergentes y las micro, pequeñas y medianas empresas (</w:t>
      </w:r>
      <w:proofErr w:type="spellStart"/>
      <w:r w:rsidRPr="0052117D">
        <w:rPr>
          <w:rFonts w:asciiTheme="minorHAnsi" w:hAnsiTheme="minorHAnsi" w:cstheme="minorHAnsi"/>
          <w:szCs w:val="24"/>
        </w:rPr>
        <w:t>mipymes</w:t>
      </w:r>
      <w:proofErr w:type="spellEnd"/>
      <w:r w:rsidRPr="0052117D">
        <w:rPr>
          <w:rFonts w:asciiTheme="minorHAnsi" w:hAnsiTheme="minorHAnsi" w:cstheme="minorHAnsi"/>
          <w:szCs w:val="24"/>
        </w:rPr>
        <w:t>), especialmente los de países en desarrollo y de zonas no atendidas</w:t>
      </w:r>
      <w:r w:rsidRPr="0052117D">
        <w:rPr>
          <w:rFonts w:asciiTheme="minorHAnsi" w:hAnsiTheme="minorHAnsi" w:cstheme="minorHAnsi"/>
          <w:i/>
          <w:iCs/>
          <w:szCs w:val="24"/>
        </w:rPr>
        <w:t>,</w:t>
      </w:r>
      <w:r w:rsidRPr="0052117D">
        <w:rPr>
          <w:rFonts w:asciiTheme="minorHAnsi" w:hAnsiTheme="minorHAnsi" w:cstheme="minorHAnsi"/>
          <w:szCs w:val="24"/>
        </w:rPr>
        <w:t xml:space="preserve"> e insuficientemente atendidas, pueden enfrentarse a retos en materia de innovación centrada en las TIC, y que dichos retos deberían abordarse de manera holística;</w:t>
      </w:r>
    </w:p>
    <w:p w14:paraId="5CF1353B"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iCs/>
          <w:szCs w:val="24"/>
        </w:rPr>
        <w:t>e)</w:t>
      </w:r>
      <w:r w:rsidRPr="0052117D">
        <w:rPr>
          <w:rFonts w:asciiTheme="minorHAnsi" w:hAnsiTheme="minorHAnsi" w:cstheme="minorHAnsi"/>
          <w:i/>
          <w:iCs/>
          <w:szCs w:val="24"/>
        </w:rPr>
        <w:tab/>
      </w:r>
      <w:r w:rsidRPr="0052117D">
        <w:rPr>
          <w:rFonts w:asciiTheme="minorHAnsi" w:hAnsiTheme="minorHAnsi" w:cstheme="minorHAnsi"/>
          <w:spacing w:val="2"/>
          <w:szCs w:val="24"/>
        </w:rPr>
        <w:t>que las brechas digitales constituyen un obstáculo esencial para el espíritu empresarial en el ámbito de las telecomunicaciones/TIC y para</w:t>
      </w:r>
      <w:r w:rsidRPr="0052117D">
        <w:rPr>
          <w:rFonts w:asciiTheme="minorHAnsi" w:hAnsiTheme="minorHAnsi" w:cstheme="minorHAnsi"/>
          <w:szCs w:val="24"/>
        </w:rPr>
        <w:t xml:space="preserve"> la innovación centrada en las TIC;</w:t>
      </w:r>
    </w:p>
    <w:p w14:paraId="2C93FC51"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i/>
          <w:iCs/>
          <w:szCs w:val="24"/>
        </w:rPr>
        <w:lastRenderedPageBreak/>
        <w:t>f)</w:t>
      </w:r>
      <w:r w:rsidRPr="0052117D">
        <w:rPr>
          <w:rFonts w:asciiTheme="minorHAnsi" w:hAnsiTheme="minorHAnsi" w:cstheme="minorHAnsi"/>
          <w:i/>
          <w:iCs/>
          <w:szCs w:val="24"/>
        </w:rPr>
        <w:tab/>
      </w:r>
      <w:r w:rsidRPr="0052117D">
        <w:rPr>
          <w:rFonts w:asciiTheme="minorHAnsi" w:hAnsiTheme="minorHAnsi" w:cstheme="minorHAnsi"/>
          <w:szCs w:val="24"/>
        </w:rPr>
        <w:t>que la UIT viene contribuyendo al desarrollo sostenible de la economía digital mundial mediante la promoción del acceso a las telecomunicaciones/TIC y de su desarrollo, el impulso de la normalización de las telecomunicaciones/TIC y el fomento de asociaciones,</w:t>
      </w:r>
    </w:p>
    <w:p w14:paraId="444367C6" w14:textId="77777777" w:rsidR="00081E04" w:rsidRPr="00234542" w:rsidRDefault="00081E04" w:rsidP="00234542">
      <w:pPr>
        <w:pStyle w:val="Call"/>
      </w:pPr>
      <w:r w:rsidRPr="00234542">
        <w:t>considerando</w:t>
      </w:r>
    </w:p>
    <w:p w14:paraId="68F0E12E"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szCs w:val="24"/>
        </w:rPr>
        <w:t>que</w:t>
      </w:r>
      <w:r w:rsidRPr="0052117D">
        <w:rPr>
          <w:rFonts w:asciiTheme="minorHAnsi" w:hAnsiTheme="minorHAnsi" w:cstheme="minorHAnsi"/>
          <w:i/>
          <w:iCs/>
          <w:szCs w:val="24"/>
        </w:rPr>
        <w:t xml:space="preserve"> </w:t>
      </w:r>
      <w:r w:rsidRPr="0052117D">
        <w:rPr>
          <w:rFonts w:asciiTheme="minorHAnsi" w:hAnsiTheme="minorHAnsi" w:cstheme="minorHAnsi"/>
          <w:szCs w:val="24"/>
        </w:rPr>
        <w:t>las partes interesadas, entre ellas los gobiernos, el sector privado, la sociedad civil, la comunidad técnica y las instituciones académicas, así como las organizaciones internacionales, han de desempeñar funciones importantes en un ecosistema que aliente y respalde la innovación centrada en las TIC y el espíritu empresarial,</w:t>
      </w:r>
    </w:p>
    <w:p w14:paraId="7BFBA222" w14:textId="77777777" w:rsidR="00081E04" w:rsidRPr="00234542" w:rsidRDefault="00081E04" w:rsidP="00234542">
      <w:pPr>
        <w:pStyle w:val="Call"/>
      </w:pPr>
      <w:r w:rsidRPr="00234542">
        <w:t>opina</w:t>
      </w:r>
    </w:p>
    <w:p w14:paraId="7F87FF4A"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t>que las telecomunicaciones/TIC constituyen factores propiciadores fundamentales del espíritu empresarial y ofrecen oportunidades considerables de crecimiento, innovación y desarrollo sostenible;</w:t>
      </w:r>
    </w:p>
    <w:p w14:paraId="1F59AD5A"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que el fortalecimiento de los ecosistemas de innovación centrados en las TIC y del espíritu empresarial comporta la activación de factores fundamentales, tales como el acceso al capital, a las telecomunicaciones/TIC y a un conjunto diverso de competencias digitales; el fomento de las asociaciones público-privadas, incluso con fines de financiación; la garantía de mercados abiertos y competitivos que permitan a los nuevos agentes incorporarse, innovar y crecer; y la racionalización de los marcos reglamentarios;</w:t>
      </w:r>
    </w:p>
    <w:p w14:paraId="4E5C05B9"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3</w:t>
      </w:r>
      <w:r w:rsidRPr="0052117D">
        <w:rPr>
          <w:rFonts w:asciiTheme="minorHAnsi" w:hAnsiTheme="minorHAnsi" w:cstheme="minorHAnsi"/>
          <w:szCs w:val="24"/>
        </w:rPr>
        <w:tab/>
        <w:t xml:space="preserve">que la elaboración de políticas basada en datos empíricos, así como unos marcos reglamentarios transparentes y previsibles que fomenten la transformación digital, deberían actualizarse con arreglo a las prácticas idóneas, puesto que resultan esenciales para fomentar la innovación centrada en las TIC y el espíritu empresarial en beneficio de los emprendedores y las </w:t>
      </w:r>
      <w:proofErr w:type="spellStart"/>
      <w:r w:rsidRPr="0052117D">
        <w:rPr>
          <w:rFonts w:asciiTheme="minorHAnsi" w:hAnsiTheme="minorHAnsi" w:cstheme="minorHAnsi"/>
          <w:szCs w:val="24"/>
        </w:rPr>
        <w:t>mipymes</w:t>
      </w:r>
      <w:proofErr w:type="spellEnd"/>
      <w:r w:rsidRPr="0052117D">
        <w:rPr>
          <w:rFonts w:asciiTheme="minorHAnsi" w:hAnsiTheme="minorHAnsi" w:cstheme="minorHAnsi"/>
          <w:szCs w:val="24"/>
        </w:rPr>
        <w:t>, facilitando al mismo tiempo la colaboración con las grandes empresas y su integración en los ecosistemas de innovación;</w:t>
      </w:r>
    </w:p>
    <w:p w14:paraId="3B54749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que resultan esenciales unos esfuerzos sostenidos para aprovechar las oportunidades de la economía digital y del ecosistema de las telecomunicaciones/TIC, y para posibilitar una mayor participación e integración en la transformación digital, de modo que todas las partes interesadas puedan contribuir a la creación de un entorno normativo sólido y flexible en el sector de las telecomunicaciones/TIC;</w:t>
      </w:r>
    </w:p>
    <w:p w14:paraId="320A3574"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 xml:space="preserve">que el </w:t>
      </w:r>
      <w:r w:rsidRPr="0052117D">
        <w:rPr>
          <w:rFonts w:asciiTheme="minorHAnsi" w:hAnsiTheme="minorHAnsi" w:cstheme="minorHAnsi"/>
          <w:i/>
          <w:iCs/>
          <w:szCs w:val="24"/>
        </w:rPr>
        <w:t>software</w:t>
      </w:r>
      <w:r w:rsidRPr="0052117D">
        <w:rPr>
          <w:rFonts w:asciiTheme="minorHAnsi" w:hAnsiTheme="minorHAnsi" w:cstheme="minorHAnsi"/>
          <w:szCs w:val="24"/>
        </w:rPr>
        <w:t xml:space="preserve"> de código abierto podría resultar beneficioso para que los emprendedores y las </w:t>
      </w:r>
      <w:proofErr w:type="spellStart"/>
      <w:r w:rsidRPr="0052117D">
        <w:rPr>
          <w:rFonts w:asciiTheme="minorHAnsi" w:hAnsiTheme="minorHAnsi" w:cstheme="minorHAnsi"/>
          <w:szCs w:val="24"/>
        </w:rPr>
        <w:t>mipymes</w:t>
      </w:r>
      <w:proofErr w:type="spellEnd"/>
      <w:r w:rsidRPr="0052117D">
        <w:rPr>
          <w:rFonts w:asciiTheme="minorHAnsi" w:hAnsiTheme="minorHAnsi" w:cstheme="minorHAnsi"/>
          <w:szCs w:val="24"/>
        </w:rPr>
        <w:t xml:space="preserve"> accedan a los servicios y tecnologías de telecomunicaciones/TIC nuevos e incipientes y los desplieguen;</w:t>
      </w:r>
    </w:p>
    <w:p w14:paraId="4CB16022"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6</w:t>
      </w:r>
      <w:r w:rsidRPr="0052117D">
        <w:rPr>
          <w:rFonts w:asciiTheme="minorHAnsi" w:hAnsiTheme="minorHAnsi" w:cstheme="minorHAnsi"/>
          <w:szCs w:val="24"/>
        </w:rPr>
        <w:tab/>
        <w:t>que la disponibilidad y la calidad de las oportunidades de capacitación digital, incluso mediante los planes de estudio escolares y el aprendizaje a lo largo de toda la vida, desempeñan una función esencial en la configuración del potencial de innovación y espíritu empresarial de una sociedad;</w:t>
      </w:r>
    </w:p>
    <w:p w14:paraId="4BC1CCA5"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7</w:t>
      </w:r>
      <w:r w:rsidRPr="0052117D">
        <w:rPr>
          <w:rFonts w:asciiTheme="minorHAnsi" w:hAnsiTheme="minorHAnsi" w:cstheme="minorHAnsi"/>
          <w:szCs w:val="24"/>
        </w:rPr>
        <w:tab/>
        <w:t>que es importante dotar de autonomía empresarial a las comunidades no atendidas e insuficientemente atendidas, procurando garantizar su acceso a los factores propiciadores fundamentales de la innovación, tales como la financiación, con medidas deliberadas para acelerar la participación de las mujeres y los jóvenes;</w:t>
      </w:r>
    </w:p>
    <w:p w14:paraId="64D4BD0A"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8</w:t>
      </w:r>
      <w:r w:rsidRPr="0052117D">
        <w:rPr>
          <w:rFonts w:asciiTheme="minorHAnsi" w:hAnsiTheme="minorHAnsi" w:cstheme="minorHAnsi"/>
          <w:szCs w:val="24"/>
        </w:rPr>
        <w:tab/>
        <w:t>que la UIT, en el marco de su mandato y de sus mecanismos existentes, puede seguir reforzando su función de apoyo a los ecosistemas de innovación centrados en las TIC y al espíritu empresarial, y contribuir al desarrollo de la economía digital,</w:t>
      </w:r>
    </w:p>
    <w:p w14:paraId="50652670" w14:textId="77777777" w:rsidR="00081E04" w:rsidRPr="00234542" w:rsidRDefault="00081E04" w:rsidP="00234542">
      <w:pPr>
        <w:pStyle w:val="Call"/>
      </w:pPr>
      <w:r w:rsidRPr="00234542">
        <w:lastRenderedPageBreak/>
        <w:t>invita a los Estados Miembros</w:t>
      </w:r>
    </w:p>
    <w:p w14:paraId="53806F8D" w14:textId="77777777" w:rsidR="00081E04" w:rsidRPr="0052117D" w:rsidRDefault="00081E04" w:rsidP="00081E04">
      <w:pPr>
        <w:jc w:val="both"/>
        <w:rPr>
          <w:rFonts w:asciiTheme="minorHAnsi" w:hAnsiTheme="minorHAnsi" w:cstheme="minorHAnsi"/>
          <w:spacing w:val="-2"/>
          <w:szCs w:val="24"/>
        </w:rPr>
      </w:pPr>
      <w:r w:rsidRPr="0052117D">
        <w:rPr>
          <w:rFonts w:asciiTheme="minorHAnsi" w:hAnsiTheme="minorHAnsi" w:cstheme="minorHAnsi"/>
          <w:spacing w:val="-2"/>
          <w:szCs w:val="24"/>
        </w:rPr>
        <w:t>1</w:t>
      </w:r>
      <w:r w:rsidRPr="0052117D">
        <w:rPr>
          <w:rFonts w:asciiTheme="minorHAnsi" w:hAnsiTheme="minorHAnsi" w:cstheme="minorHAnsi"/>
          <w:spacing w:val="-2"/>
          <w:szCs w:val="24"/>
        </w:rPr>
        <w:tab/>
        <w:t xml:space="preserve">a fomentar un entorno propicio a los ecosistemas de innovación centrados en las TIC, reforzando la elaboración de políticas basada en datos empíricos junto con unos marcos reglamentarios transparentes y previsibles, actualizados con arreglo a las prácticas idóneas, y a considerar políticas y estrategias de apoyo a la innovación centrada en las TIC, que doten a las </w:t>
      </w:r>
      <w:proofErr w:type="spellStart"/>
      <w:r w:rsidRPr="0052117D">
        <w:rPr>
          <w:rFonts w:asciiTheme="minorHAnsi" w:hAnsiTheme="minorHAnsi" w:cstheme="minorHAnsi"/>
          <w:spacing w:val="-2"/>
          <w:szCs w:val="24"/>
        </w:rPr>
        <w:t>mipymes</w:t>
      </w:r>
      <w:proofErr w:type="spellEnd"/>
      <w:r w:rsidRPr="0052117D">
        <w:rPr>
          <w:rFonts w:asciiTheme="minorHAnsi" w:hAnsiTheme="minorHAnsi" w:cstheme="minorHAnsi"/>
          <w:spacing w:val="-2"/>
          <w:szCs w:val="24"/>
        </w:rPr>
        <w:t xml:space="preserve"> de capacidad para participar activamente en la economía digital y mejoren la competencia;</w:t>
      </w:r>
    </w:p>
    <w:p w14:paraId="01445E66"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a fomentar las inversiones eliminando los obstáculos existentes en los ecosistemas digitales, y a crear condiciones favorables a la inversión y la innovación;</w:t>
      </w:r>
    </w:p>
    <w:p w14:paraId="36E6314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3</w:t>
      </w:r>
      <w:r w:rsidRPr="0052117D">
        <w:rPr>
          <w:rFonts w:asciiTheme="minorHAnsi" w:hAnsiTheme="minorHAnsi" w:cstheme="minorHAnsi"/>
          <w:szCs w:val="24"/>
        </w:rPr>
        <w:tab/>
        <w:t>a promover la sensibilización acerca de los retos medioambientales en el marco de las iniciativas destinadas a reforzar los ecosistemas de innovación centrados en las TIC y el espíritu empresarial;</w:t>
      </w:r>
    </w:p>
    <w:p w14:paraId="37FDD39A"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a facilitar la transformación digital, adoptando medidas adecuadas para ayudar a los emprendedores de empresas emergentes y a las empresas, incluidos los de las comunidades no atendidas e insuficientemente atendidas, a movilizar mejor las telecomunicaciones/TIC;</w:t>
      </w:r>
    </w:p>
    <w:p w14:paraId="1FAB9995" w14:textId="77777777" w:rsidR="00081E04" w:rsidRPr="0052117D" w:rsidRDefault="00081E04" w:rsidP="00081E04">
      <w:pPr>
        <w:widowControl w:val="0"/>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a considerar la posibilidad de crear un ecosistema de innovación centrado en las TIC que fomente la participación de empresas de todos los tamaños —grandes, medianas, pequeñas y microempresas—, promoviendo al mismo tiempo el desarrollo de competencias centradas en las telecomunicaciones/TIC en apoyo de un espíritu empresarial y una innovación sostenibles;</w:t>
      </w:r>
    </w:p>
    <w:p w14:paraId="152FAC6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6</w:t>
      </w:r>
      <w:r w:rsidRPr="0052117D">
        <w:rPr>
          <w:rFonts w:asciiTheme="minorHAnsi" w:hAnsiTheme="minorHAnsi" w:cstheme="minorHAnsi"/>
          <w:szCs w:val="24"/>
        </w:rPr>
        <w:tab/>
        <w:t>a adoptar medidas para hacer frente a la brecha digital de género, con objeto de respaldar la innovación centrada en las TIC y el espíritu empresarial de las mujeres y las niñas en el sector de las telecomunicaciones/TIC;</w:t>
      </w:r>
    </w:p>
    <w:p w14:paraId="60F63CB1" w14:textId="33262F8A"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7</w:t>
      </w:r>
      <w:r w:rsidRPr="0052117D">
        <w:rPr>
          <w:rFonts w:asciiTheme="minorHAnsi" w:hAnsiTheme="minorHAnsi" w:cstheme="minorHAnsi"/>
          <w:szCs w:val="24"/>
        </w:rPr>
        <w:tab/>
        <w:t>a considerar la posibilidad de aplicar marcos normativos de innovación centrada en las TIC orientados a la demanda, con objeto de acelerar la comercialización y mejorar las condiciones de las innovaciones centradas en las TIC como factor propiciador de la economía digital,</w:t>
      </w:r>
    </w:p>
    <w:p w14:paraId="61833880" w14:textId="77777777" w:rsidR="00081E04" w:rsidRPr="00234542" w:rsidRDefault="00081E04" w:rsidP="00081E04">
      <w:pPr>
        <w:pStyle w:val="Call"/>
      </w:pPr>
      <w:r w:rsidRPr="00234542">
        <w:t>invita a los Estados Miembros, Miembros de Sector y otras partes interesadas</w:t>
      </w:r>
    </w:p>
    <w:p w14:paraId="021B7D6A"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t>a fomentar marcos normativos transparentes, estables, previsibles y competitivos para promover un ecosistema de innovación centrado en las TIC;</w:t>
      </w:r>
    </w:p>
    <w:p w14:paraId="73A70919"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a facilitar la inversión público-privada fomentando una colaboración más estrecha entre los centros de educación e investigación y el sector privado, considerando al mismo tiempo la financiación de periodos de prácticas y de becas, y promoviendo el desarrollo de competencias centradas en las telecomunicaciones/TIC en el marco de los sistemas educativos nacionales, en apoyo de los ecosistemas de innovación centrados en las TIC que impulsan el espíritu empresarial;</w:t>
      </w:r>
    </w:p>
    <w:p w14:paraId="6A14E9C3"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3</w:t>
      </w:r>
      <w:r w:rsidRPr="0052117D">
        <w:rPr>
          <w:rFonts w:asciiTheme="minorHAnsi" w:hAnsiTheme="minorHAnsi" w:cstheme="minorHAnsi"/>
          <w:szCs w:val="24"/>
        </w:rPr>
        <w:tab/>
        <w:t>a promover y desarrollar asociaciones público-privadas en apoyo de las infraestructuras de telecomunicaciones/TIC, la incubación y la financiación en fase inicial de las empresas emergentes del ámbito de las TIC;</w:t>
      </w:r>
    </w:p>
    <w:p w14:paraId="3F58BAFA"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 xml:space="preserve">a fomentar la participación y el desarrollo de empresas de todos los tamaños —grandes, medianas, pequeñas y microempresas—, promoviendo al mismo tiempo la transformación digital de toda la cadena de valor, y a compartir de manera proactiva las prácticas idóneas que respaldan a las </w:t>
      </w:r>
      <w:proofErr w:type="spellStart"/>
      <w:r w:rsidRPr="0052117D">
        <w:rPr>
          <w:rFonts w:asciiTheme="minorHAnsi" w:hAnsiTheme="minorHAnsi" w:cstheme="minorHAnsi"/>
          <w:szCs w:val="24"/>
        </w:rPr>
        <w:t>mipymes</w:t>
      </w:r>
      <w:proofErr w:type="spellEnd"/>
      <w:r w:rsidRPr="0052117D">
        <w:rPr>
          <w:rFonts w:asciiTheme="minorHAnsi" w:hAnsiTheme="minorHAnsi" w:cstheme="minorHAnsi"/>
          <w:szCs w:val="24"/>
        </w:rPr>
        <w:t xml:space="preserve"> en sus esfuerzos de transformación digital;</w:t>
      </w:r>
    </w:p>
    <w:p w14:paraId="4A09DA31"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 xml:space="preserve">a respaldar y establecer iniciativas, mediante asociaciones con la industria y las instituciones académicas, que promuevan el espíritu empresarial centrado en las TIC entre los jóvenes, mejorando al mismo tiempo la oferta de talento digital y los programas específicos de </w:t>
      </w:r>
      <w:r w:rsidRPr="0052117D">
        <w:rPr>
          <w:rFonts w:asciiTheme="minorHAnsi" w:hAnsiTheme="minorHAnsi" w:cstheme="minorHAnsi"/>
          <w:szCs w:val="24"/>
        </w:rPr>
        <w:lastRenderedPageBreak/>
        <w:t>formación en competencias digitales y de alfabetización digital, con objeto de colmar las brechas de competencias existentes;</w:t>
      </w:r>
    </w:p>
    <w:p w14:paraId="77046DAD" w14:textId="58BB7C6C"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6</w:t>
      </w:r>
      <w:r w:rsidRPr="0052117D">
        <w:rPr>
          <w:rFonts w:asciiTheme="minorHAnsi" w:hAnsiTheme="minorHAnsi" w:cstheme="minorHAnsi"/>
          <w:szCs w:val="24"/>
        </w:rPr>
        <w:tab/>
        <w:t xml:space="preserve">a fomentar la innovación centrada en las TIC y el espíritu empresarial entre las </w:t>
      </w:r>
      <w:r w:rsidR="002A6199">
        <w:rPr>
          <w:rFonts w:asciiTheme="minorHAnsi" w:hAnsiTheme="minorHAnsi" w:cstheme="minorHAnsi"/>
          <w:szCs w:val="24"/>
        </w:rPr>
        <w:br/>
      </w:r>
      <w:r w:rsidRPr="0052117D">
        <w:rPr>
          <w:rFonts w:asciiTheme="minorHAnsi" w:hAnsiTheme="minorHAnsi" w:cstheme="minorHAnsi"/>
          <w:szCs w:val="24"/>
        </w:rPr>
        <w:t>poblaciones locales, respaldando programas de base comunitaria y soluciones complementarias, y teniendo en cuenta al mismo tiempo las diversas opiniones y necesidades de todas las partes interesadas —incluidos el sector privado, la sociedad civil, la comunidad técnica y las instituciones académicas—;</w:t>
      </w:r>
    </w:p>
    <w:p w14:paraId="7FF08AEB"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7</w:t>
      </w:r>
      <w:r w:rsidRPr="0052117D">
        <w:rPr>
          <w:rFonts w:asciiTheme="minorHAnsi" w:hAnsiTheme="minorHAnsi" w:cstheme="minorHAnsi"/>
          <w:szCs w:val="24"/>
        </w:rPr>
        <w:tab/>
        <w:t>a respaldar la investigación sobre los obstáculos que afectan a las actividades empresariales centradas en las TIC, aplicar estrategias adaptadas para superar dichos obstáculos y compartir prácticas idóneas sobre iniciativas regionales, locales y nacionales que promuevan los ecosistemas de innovación centrados en las TIC y el espíritu empresarial;</w:t>
      </w:r>
    </w:p>
    <w:p w14:paraId="4A0E49FD"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8</w:t>
      </w:r>
      <w:r w:rsidRPr="0052117D">
        <w:rPr>
          <w:rFonts w:asciiTheme="minorHAnsi" w:hAnsiTheme="minorHAnsi" w:cstheme="minorHAnsi"/>
          <w:szCs w:val="24"/>
        </w:rPr>
        <w:tab/>
        <w:t>a fomentar la cooperación internacional y regional con miras a compartir buenas prácticas y respaldar el desarrollo de capacidades para acceder a los beneficios de las telecomunicaciones/TIC y reducir las brechas digitales;</w:t>
      </w:r>
    </w:p>
    <w:p w14:paraId="2139490D"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9</w:t>
      </w:r>
      <w:r w:rsidRPr="0052117D">
        <w:rPr>
          <w:rFonts w:asciiTheme="minorHAnsi" w:hAnsiTheme="minorHAnsi" w:cstheme="minorHAnsi"/>
          <w:szCs w:val="24"/>
        </w:rPr>
        <w:tab/>
        <w:t xml:space="preserve">a alentar a las </w:t>
      </w:r>
      <w:proofErr w:type="spellStart"/>
      <w:r w:rsidRPr="0052117D">
        <w:rPr>
          <w:rFonts w:asciiTheme="minorHAnsi" w:hAnsiTheme="minorHAnsi" w:cstheme="minorHAnsi"/>
          <w:szCs w:val="24"/>
        </w:rPr>
        <w:t>mipymes</w:t>
      </w:r>
      <w:proofErr w:type="spellEnd"/>
      <w:r w:rsidRPr="0052117D">
        <w:rPr>
          <w:rFonts w:asciiTheme="minorHAnsi" w:hAnsiTheme="minorHAnsi" w:cstheme="minorHAnsi"/>
          <w:szCs w:val="24"/>
        </w:rPr>
        <w:t xml:space="preserve"> a participar en las iniciativas internacionales de código abierto relativas a los servicios y tecnologías de telecomunicaciones/TIC nuevos e incipientes;</w:t>
      </w:r>
    </w:p>
    <w:p w14:paraId="2DB43EE8" w14:textId="77777777" w:rsidR="00081E04" w:rsidRPr="0052117D" w:rsidRDefault="00081E04" w:rsidP="00081E04">
      <w:pPr>
        <w:jc w:val="both"/>
        <w:rPr>
          <w:rFonts w:asciiTheme="minorHAnsi" w:hAnsiTheme="minorHAnsi" w:cstheme="minorHAnsi"/>
          <w:szCs w:val="24"/>
        </w:rPr>
      </w:pPr>
      <w:r w:rsidRPr="0052117D">
        <w:rPr>
          <w:rFonts w:asciiTheme="minorHAnsi" w:hAnsiTheme="minorHAnsi" w:cstheme="minorHAnsi"/>
          <w:szCs w:val="24"/>
        </w:rPr>
        <w:t>10</w:t>
      </w:r>
      <w:r w:rsidRPr="0052117D">
        <w:rPr>
          <w:rFonts w:asciiTheme="minorHAnsi" w:hAnsiTheme="minorHAnsi" w:cstheme="minorHAnsi"/>
          <w:szCs w:val="24"/>
        </w:rPr>
        <w:tab/>
        <w:t>a promover la colaboración entre la industria y las instituciones académicas con objeto de fomentar la sostenibilidad de las innovaciones centradas en las TIC,</w:t>
      </w:r>
    </w:p>
    <w:p w14:paraId="76DE132F" w14:textId="77777777" w:rsidR="00081E04" w:rsidRPr="00234542" w:rsidRDefault="00081E04" w:rsidP="00234542">
      <w:pPr>
        <w:pStyle w:val="Call"/>
      </w:pPr>
      <w:r w:rsidRPr="00234542">
        <w:t>invita a la Secretaria General</w:t>
      </w:r>
    </w:p>
    <w:p w14:paraId="4092E829" w14:textId="77777777" w:rsidR="00081E04" w:rsidRPr="0052117D" w:rsidRDefault="00081E04" w:rsidP="00081E04">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52117D">
        <w:rPr>
          <w:rFonts w:asciiTheme="minorHAnsi" w:hAnsiTheme="minorHAnsi" w:cstheme="minorHAnsi"/>
          <w:szCs w:val="24"/>
        </w:rPr>
        <w:t>a reforzar la función de la UIT, en el marco de su mandato y de sus mecanismos existentes, como plataforma de colaboración y diálogo entre los Estados Miembros, los Miembros de Sector y las instituciones académicas, así como de creación de capacidad e intercambio de buenas prácticas sobre los ecosistemas de innovación centrados en las TIC y el espíritu empresarial.</w:t>
      </w:r>
    </w:p>
    <w:p w14:paraId="574997BE" w14:textId="77777777" w:rsidR="002A6199" w:rsidRDefault="002A6199" w:rsidP="00387BBE">
      <w:pPr>
        <w:pStyle w:val="Reasons"/>
      </w:pPr>
    </w:p>
    <w:p w14:paraId="3D4F471D" w14:textId="77777777" w:rsidR="002A6199" w:rsidRDefault="002A6199">
      <w:pPr>
        <w:jc w:val="center"/>
      </w:pPr>
      <w:r>
        <w:t>______________</w:t>
      </w:r>
    </w:p>
    <w:sectPr w:rsidR="002A6199" w:rsidSect="00A70E95">
      <w:headerReference w:type="default" r:id="rId31"/>
      <w:footerReference w:type="first" r:id="rId32"/>
      <w:type w:val="continuous"/>
      <w:pgSz w:w="11913" w:h="16834"/>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FF433" w14:textId="77777777" w:rsidR="00BA18F4" w:rsidRDefault="00BA18F4">
      <w:r>
        <w:separator/>
      </w:r>
    </w:p>
  </w:endnote>
  <w:endnote w:type="continuationSeparator" w:id="0">
    <w:p w14:paraId="45A6B7DA" w14:textId="77777777" w:rsidR="00BA18F4" w:rsidRDefault="00BA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EDA9" w14:textId="2283E288" w:rsidR="00387BBE" w:rsidRPr="00DB336C" w:rsidRDefault="00387BBE" w:rsidP="00DB336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Pr>
          <w:rStyle w:val="Hyperlink"/>
          <w:color w:val="00A3E0"/>
          <w:sz w:val="22"/>
          <w:szCs w:val="22"/>
          <w:lang w:val="en-GB"/>
        </w:rPr>
        <w:t>www.itu.int</w:t>
      </w:r>
      <w:proofErr w:type="spellEnd"/>
      <w:r>
        <w:rPr>
          <w:rStyle w:val="Hyperlink"/>
          <w:color w:val="00A3E0"/>
          <w:sz w:val="22"/>
          <w:szCs w:val="22"/>
          <w:lang w:val="en-GB"/>
        </w:rPr>
        <w:t>/WTPF/</w:t>
      </w:r>
    </w:hyperlink>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BEEB0" w14:textId="77777777" w:rsidR="00BA18F4" w:rsidRDefault="00BA18F4">
      <w:r>
        <w:t>____________________</w:t>
      </w:r>
    </w:p>
  </w:footnote>
  <w:footnote w:type="continuationSeparator" w:id="0">
    <w:p w14:paraId="0193F4D4" w14:textId="77777777" w:rsidR="00BA18F4" w:rsidRDefault="00BA18F4">
      <w:r>
        <w:continuationSeparator/>
      </w:r>
    </w:p>
  </w:footnote>
  <w:footnote w:id="1">
    <w:p w14:paraId="2AFB500E" w14:textId="77777777" w:rsidR="00387BBE" w:rsidRPr="008620A9" w:rsidRDefault="00387BBE" w:rsidP="00081E04">
      <w:pPr>
        <w:pStyle w:val="FootnoteText"/>
        <w:jc w:val="both"/>
        <w:rPr>
          <w:lang w:val="es-ES"/>
        </w:rPr>
      </w:pPr>
      <w:r w:rsidRPr="00D10E8A">
        <w:rPr>
          <w:rStyle w:val="FootnoteReference"/>
        </w:rPr>
        <w:footnoteRef/>
      </w:r>
      <w:r>
        <w:rPr>
          <w:sz w:val="20"/>
        </w:rPr>
        <w:tab/>
      </w:r>
      <w:proofErr w:type="spellStart"/>
      <w:r w:rsidRPr="00903267">
        <w:t>Ammanath</w:t>
      </w:r>
      <w:proofErr w:type="spellEnd"/>
      <w:r w:rsidRPr="00903267">
        <w:t xml:space="preserve">, B. (2024), </w:t>
      </w:r>
      <w:r w:rsidRPr="00903267">
        <w:rPr>
          <w:i/>
          <w:iCs/>
        </w:rPr>
        <w:t xml:space="preserve">How to </w:t>
      </w:r>
      <w:proofErr w:type="spellStart"/>
      <w:r w:rsidRPr="00903267">
        <w:rPr>
          <w:i/>
          <w:iCs/>
        </w:rPr>
        <w:t>manage</w:t>
      </w:r>
      <w:proofErr w:type="spellEnd"/>
      <w:r w:rsidRPr="00903267">
        <w:rPr>
          <w:i/>
          <w:iCs/>
        </w:rPr>
        <w:t xml:space="preserve"> </w:t>
      </w:r>
      <w:proofErr w:type="spellStart"/>
      <w:r w:rsidRPr="00903267">
        <w:rPr>
          <w:i/>
          <w:iCs/>
        </w:rPr>
        <w:t>AI’s</w:t>
      </w:r>
      <w:proofErr w:type="spellEnd"/>
      <w:r w:rsidRPr="00903267">
        <w:rPr>
          <w:i/>
          <w:iCs/>
        </w:rPr>
        <w:t xml:space="preserve"> </w:t>
      </w:r>
      <w:proofErr w:type="spellStart"/>
      <w:r w:rsidRPr="00903267">
        <w:rPr>
          <w:i/>
          <w:iCs/>
        </w:rPr>
        <w:t>energy</w:t>
      </w:r>
      <w:proofErr w:type="spellEnd"/>
      <w:r w:rsidRPr="00903267">
        <w:rPr>
          <w:i/>
          <w:iCs/>
        </w:rPr>
        <w:t xml:space="preserve"> </w:t>
      </w:r>
      <w:proofErr w:type="spellStart"/>
      <w:r w:rsidRPr="00903267">
        <w:rPr>
          <w:i/>
          <w:iCs/>
        </w:rPr>
        <w:t>demand</w:t>
      </w:r>
      <w:proofErr w:type="spellEnd"/>
      <w:r w:rsidRPr="00903267">
        <w:rPr>
          <w:i/>
          <w:iCs/>
        </w:rPr>
        <w:t xml:space="preserve"> — </w:t>
      </w:r>
      <w:proofErr w:type="spellStart"/>
      <w:r w:rsidRPr="00903267">
        <w:rPr>
          <w:i/>
          <w:iCs/>
        </w:rPr>
        <w:t>today</w:t>
      </w:r>
      <w:proofErr w:type="spellEnd"/>
      <w:r w:rsidRPr="00903267">
        <w:rPr>
          <w:i/>
          <w:iCs/>
        </w:rPr>
        <w:t xml:space="preserve">, </w:t>
      </w:r>
      <w:proofErr w:type="spellStart"/>
      <w:r w:rsidRPr="00903267">
        <w:rPr>
          <w:i/>
          <w:iCs/>
        </w:rPr>
        <w:t>tomorrow</w:t>
      </w:r>
      <w:proofErr w:type="spellEnd"/>
      <w:r w:rsidRPr="00903267">
        <w:rPr>
          <w:i/>
          <w:iCs/>
        </w:rPr>
        <w:t xml:space="preserve"> and in the future (Cómo gestionar la demanda energética de la IA: hoy, mañana y en el futuro)</w:t>
      </w:r>
      <w:r w:rsidRPr="00903267">
        <w:t xml:space="preserve">. </w:t>
      </w:r>
      <w:r w:rsidRPr="008620A9">
        <w:rPr>
          <w:lang w:val="es-ES"/>
        </w:rPr>
        <w:t xml:space="preserve">Foro Económico Mundial. Consultado en </w:t>
      </w:r>
      <w:hyperlink r:id="rId1" w:history="1">
        <w:r w:rsidRPr="008620A9">
          <w:rPr>
            <w:rStyle w:val="Hyperlink"/>
            <w:lang w:val="es-ES"/>
          </w:rPr>
          <w:t>https://www.weforum.org/agenda/2024/04/how-to-manage-ais-energy-demand-today-tomorrow-and-in-the-future/</w:t>
        </w:r>
      </w:hyperlink>
      <w:r w:rsidRPr="008620A9">
        <w:rPr>
          <w:lang w:val="es-ES"/>
        </w:rPr>
        <w:t>.</w:t>
      </w:r>
    </w:p>
  </w:footnote>
  <w:footnote w:id="2">
    <w:p w14:paraId="063AED59" w14:textId="77777777" w:rsidR="00387BBE" w:rsidRPr="008620A9" w:rsidRDefault="00387BBE" w:rsidP="00081E04">
      <w:pPr>
        <w:pStyle w:val="FootnoteText"/>
        <w:jc w:val="both"/>
        <w:rPr>
          <w:lang w:val="es-ES"/>
        </w:rPr>
      </w:pPr>
      <w:r w:rsidRPr="00D10E8A">
        <w:rPr>
          <w:rStyle w:val="FootnoteReference"/>
        </w:rPr>
        <w:footnoteRef/>
      </w:r>
      <w:r w:rsidRPr="008620A9">
        <w:rPr>
          <w:lang w:val="es-ES"/>
        </w:rPr>
        <w:tab/>
        <w:t xml:space="preserve">Unión Internacional de Telecomunicaciones (2025), </w:t>
      </w:r>
      <w:r w:rsidRPr="008620A9">
        <w:rPr>
          <w:i/>
          <w:iCs/>
          <w:lang w:val="es-ES"/>
        </w:rPr>
        <w:t xml:space="preserve">Greening Digital </w:t>
      </w:r>
      <w:proofErr w:type="spellStart"/>
      <w:r w:rsidRPr="008620A9">
        <w:rPr>
          <w:i/>
          <w:iCs/>
          <w:lang w:val="es-ES"/>
        </w:rPr>
        <w:t>Companies</w:t>
      </w:r>
      <w:proofErr w:type="spellEnd"/>
      <w:r w:rsidRPr="008620A9">
        <w:rPr>
          <w:i/>
          <w:iCs/>
          <w:lang w:val="es-ES"/>
        </w:rPr>
        <w:t xml:space="preserve"> (Empresas digitales más ecológicas).</w:t>
      </w:r>
      <w:r w:rsidRPr="008620A9">
        <w:rPr>
          <w:lang w:val="es-ES"/>
        </w:rPr>
        <w:t xml:space="preserve"> Consultado en </w:t>
      </w:r>
      <w:hyperlink r:id="rId2" w:history="1">
        <w:r w:rsidRPr="008620A9">
          <w:rPr>
            <w:rStyle w:val="Hyperlink"/>
            <w:lang w:val="es-ES"/>
          </w:rPr>
          <w:t>https://www.itu.int/en/ITU-D/Environment/Pages/Publications/GDC-25.aspx</w:t>
        </w:r>
      </w:hyperlink>
      <w:r w:rsidRPr="008620A9">
        <w:rPr>
          <w:lang w:val="es-ES"/>
        </w:rPr>
        <w:t>.</w:t>
      </w:r>
    </w:p>
  </w:footnote>
  <w:footnote w:id="3">
    <w:p w14:paraId="1DB03505" w14:textId="77777777" w:rsidR="00387BBE" w:rsidRPr="008620A9" w:rsidRDefault="00387BBE" w:rsidP="00081E04">
      <w:pPr>
        <w:pStyle w:val="FootnoteText"/>
        <w:jc w:val="both"/>
        <w:rPr>
          <w:lang w:val="es-ES"/>
        </w:rPr>
      </w:pPr>
      <w:r w:rsidRPr="00C51599">
        <w:rPr>
          <w:rStyle w:val="FootnoteReference"/>
        </w:rPr>
        <w:footnoteRef/>
      </w:r>
      <w:r w:rsidRPr="008620A9">
        <w:rPr>
          <w:lang w:val="es-ES"/>
        </w:rPr>
        <w:tab/>
      </w:r>
      <w:r w:rsidRPr="00494741">
        <w:t xml:space="preserve">Las objeciones de algunos miembros del GIE a las que se hace referencia aquí en relación con el </w:t>
      </w:r>
      <w:r>
        <w:t>"</w:t>
      </w:r>
      <w:r w:rsidRPr="00494741">
        <w:t>cambio climático</w:t>
      </w:r>
      <w:r>
        <w:t>"</w:t>
      </w:r>
      <w:r w:rsidRPr="00494741">
        <w:t xml:space="preserve"> son aplicables a las referencias ulteriores al cambio climático que figuran en el informe de</w:t>
      </w:r>
      <w:r>
        <w:t xml:space="preserve"> </w:t>
      </w:r>
      <w:r w:rsidRPr="00494741">
        <w:t>l</w:t>
      </w:r>
      <w:r>
        <w:t>a</w:t>
      </w:r>
      <w:r w:rsidRPr="00494741">
        <w:t xml:space="preserve"> </w:t>
      </w:r>
      <w:r>
        <w:t>Secretaria General</w:t>
      </w:r>
      <w:r w:rsidRPr="00494741">
        <w:t xml:space="preserve"> y en las opiniones anexas al mismo.</w:t>
      </w:r>
    </w:p>
  </w:footnote>
  <w:footnote w:id="4">
    <w:p w14:paraId="0BEEB173" w14:textId="77777777" w:rsidR="00387BBE" w:rsidRPr="00494741" w:rsidRDefault="00387BBE" w:rsidP="00081E04">
      <w:pPr>
        <w:pStyle w:val="FootnoteText"/>
        <w:jc w:val="both"/>
      </w:pPr>
      <w:r w:rsidRPr="00D10E8A">
        <w:rPr>
          <w:rStyle w:val="FootnoteReference"/>
        </w:rPr>
        <w:footnoteRef/>
      </w:r>
      <w:r w:rsidRPr="008620A9">
        <w:rPr>
          <w:lang w:val="es-ES"/>
        </w:rPr>
        <w:tab/>
      </w:r>
      <w:r w:rsidRPr="00494741">
        <w:t>Las objeciones de algunos miembros del GIE a las que se hace referencia aquí en relación con los Objetivos de Desarrollo Sostenible son aplicables a las referencias ulteriores a los Objetivos de Desarrollo Sostenible que figuran en el informe de</w:t>
      </w:r>
      <w:r>
        <w:t xml:space="preserve"> </w:t>
      </w:r>
      <w:r w:rsidRPr="00494741">
        <w:t>l</w:t>
      </w:r>
      <w:r>
        <w:t>a</w:t>
      </w:r>
      <w:r w:rsidRPr="00494741">
        <w:t xml:space="preserve"> </w:t>
      </w:r>
      <w:r>
        <w:t>Secretaria General</w:t>
      </w:r>
      <w:r w:rsidRPr="00494741">
        <w:t xml:space="preserve"> y en las opiniones anexas al mismo.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93FD" w14:textId="77777777" w:rsidR="00387BBE" w:rsidRDefault="00387BBE" w:rsidP="00DB336C">
    <w:pPr>
      <w:pStyle w:val="Header"/>
    </w:pPr>
    <w:r>
      <w:fldChar w:fldCharType="begin"/>
    </w:r>
    <w:r>
      <w:instrText xml:space="preserve"> PAGE   \* MERGEFORMAT </w:instrText>
    </w:r>
    <w:r>
      <w:fldChar w:fldCharType="separate"/>
    </w:r>
    <w:r w:rsidR="001006D5">
      <w:rPr>
        <w:noProof/>
      </w:rPr>
      <w:t>48</w:t>
    </w:r>
    <w:r>
      <w:fldChar w:fldCharType="end"/>
    </w:r>
  </w:p>
  <w:p w14:paraId="6D6C2C56" w14:textId="3FEC39D2" w:rsidR="00387BBE" w:rsidRPr="00DB336C" w:rsidRDefault="00387BBE" w:rsidP="00863055">
    <w:pPr>
      <w:pStyle w:val="Header"/>
    </w:pPr>
    <w:r>
      <w:t>WTPF-26/2-S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3761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E0"/>
    <w:rsid w:val="0000188C"/>
    <w:rsid w:val="000507CA"/>
    <w:rsid w:val="00055C50"/>
    <w:rsid w:val="00057402"/>
    <w:rsid w:val="00075113"/>
    <w:rsid w:val="00081E04"/>
    <w:rsid w:val="000863AB"/>
    <w:rsid w:val="000A1523"/>
    <w:rsid w:val="000B1752"/>
    <w:rsid w:val="001006D5"/>
    <w:rsid w:val="0010546D"/>
    <w:rsid w:val="0011605B"/>
    <w:rsid w:val="00135F93"/>
    <w:rsid w:val="001632E3"/>
    <w:rsid w:val="001C4740"/>
    <w:rsid w:val="001D4983"/>
    <w:rsid w:val="001D6EC3"/>
    <w:rsid w:val="001D787B"/>
    <w:rsid w:val="001E3D06"/>
    <w:rsid w:val="001F0B24"/>
    <w:rsid w:val="001F5B03"/>
    <w:rsid w:val="00225F6B"/>
    <w:rsid w:val="002327AA"/>
    <w:rsid w:val="00234542"/>
    <w:rsid w:val="00237C17"/>
    <w:rsid w:val="00242376"/>
    <w:rsid w:val="002541A8"/>
    <w:rsid w:val="00255FA1"/>
    <w:rsid w:val="00262FF4"/>
    <w:rsid w:val="00277985"/>
    <w:rsid w:val="00282C98"/>
    <w:rsid w:val="002A6199"/>
    <w:rsid w:val="002C6527"/>
    <w:rsid w:val="002E0CA5"/>
    <w:rsid w:val="002E44FC"/>
    <w:rsid w:val="003537B5"/>
    <w:rsid w:val="003707E5"/>
    <w:rsid w:val="00375610"/>
    <w:rsid w:val="003803B6"/>
    <w:rsid w:val="00387BBE"/>
    <w:rsid w:val="00391611"/>
    <w:rsid w:val="003B5DC9"/>
    <w:rsid w:val="003D0027"/>
    <w:rsid w:val="003E6E73"/>
    <w:rsid w:val="003F5F9B"/>
    <w:rsid w:val="00451395"/>
    <w:rsid w:val="00484B72"/>
    <w:rsid w:val="00491A25"/>
    <w:rsid w:val="004A346E"/>
    <w:rsid w:val="004A63A9"/>
    <w:rsid w:val="004B07DB"/>
    <w:rsid w:val="004B09D4"/>
    <w:rsid w:val="004B0BCB"/>
    <w:rsid w:val="004C27F5"/>
    <w:rsid w:val="004C39C6"/>
    <w:rsid w:val="004D23BA"/>
    <w:rsid w:val="004E069C"/>
    <w:rsid w:val="004E08E0"/>
    <w:rsid w:val="004E28FB"/>
    <w:rsid w:val="004F4BB1"/>
    <w:rsid w:val="00504FD4"/>
    <w:rsid w:val="00507662"/>
    <w:rsid w:val="00523448"/>
    <w:rsid w:val="005359B6"/>
    <w:rsid w:val="005470E8"/>
    <w:rsid w:val="00550FCF"/>
    <w:rsid w:val="00556958"/>
    <w:rsid w:val="00561DA9"/>
    <w:rsid w:val="0056471B"/>
    <w:rsid w:val="00567ED5"/>
    <w:rsid w:val="005A329F"/>
    <w:rsid w:val="005B6ED5"/>
    <w:rsid w:val="005B7BA5"/>
    <w:rsid w:val="005D1164"/>
    <w:rsid w:val="005D6488"/>
    <w:rsid w:val="005E7270"/>
    <w:rsid w:val="005F6278"/>
    <w:rsid w:val="00601280"/>
    <w:rsid w:val="00612E4D"/>
    <w:rsid w:val="00637C92"/>
    <w:rsid w:val="00641DBD"/>
    <w:rsid w:val="006426C0"/>
    <w:rsid w:val="006455D2"/>
    <w:rsid w:val="00650ADF"/>
    <w:rsid w:val="006537F3"/>
    <w:rsid w:val="006B5512"/>
    <w:rsid w:val="006C190D"/>
    <w:rsid w:val="007115E6"/>
    <w:rsid w:val="00720686"/>
    <w:rsid w:val="00737EFF"/>
    <w:rsid w:val="00750806"/>
    <w:rsid w:val="007712EF"/>
    <w:rsid w:val="007875D2"/>
    <w:rsid w:val="007D0008"/>
    <w:rsid w:val="007D61E2"/>
    <w:rsid w:val="007F6EBC"/>
    <w:rsid w:val="00810D8B"/>
    <w:rsid w:val="00863055"/>
    <w:rsid w:val="00882773"/>
    <w:rsid w:val="008B4706"/>
    <w:rsid w:val="008B6676"/>
    <w:rsid w:val="008C3FA8"/>
    <w:rsid w:val="008E51C5"/>
    <w:rsid w:val="008F7109"/>
    <w:rsid w:val="009107B0"/>
    <w:rsid w:val="009220DE"/>
    <w:rsid w:val="00930E84"/>
    <w:rsid w:val="00932F7E"/>
    <w:rsid w:val="009415B6"/>
    <w:rsid w:val="00956FE6"/>
    <w:rsid w:val="00981DBE"/>
    <w:rsid w:val="0099270D"/>
    <w:rsid w:val="0099551E"/>
    <w:rsid w:val="009A1A86"/>
    <w:rsid w:val="009D1BE0"/>
    <w:rsid w:val="009E0C42"/>
    <w:rsid w:val="00A50BE3"/>
    <w:rsid w:val="00A70E95"/>
    <w:rsid w:val="00A83048"/>
    <w:rsid w:val="00A92DEE"/>
    <w:rsid w:val="00A94EFE"/>
    <w:rsid w:val="00AA1F73"/>
    <w:rsid w:val="00AB190D"/>
    <w:rsid w:val="00AB34CA"/>
    <w:rsid w:val="00AD400E"/>
    <w:rsid w:val="00AE3305"/>
    <w:rsid w:val="00AF0DC5"/>
    <w:rsid w:val="00B012B7"/>
    <w:rsid w:val="00B30C52"/>
    <w:rsid w:val="00B3348D"/>
    <w:rsid w:val="00B501AB"/>
    <w:rsid w:val="00B73978"/>
    <w:rsid w:val="00B77C4D"/>
    <w:rsid w:val="00BA18F4"/>
    <w:rsid w:val="00BB13FE"/>
    <w:rsid w:val="00BC7EE2"/>
    <w:rsid w:val="00BF2FBA"/>
    <w:rsid w:val="00BF32F2"/>
    <w:rsid w:val="00BF5475"/>
    <w:rsid w:val="00C20ED7"/>
    <w:rsid w:val="00C42D2D"/>
    <w:rsid w:val="00C43474"/>
    <w:rsid w:val="00C61A48"/>
    <w:rsid w:val="00C80F8F"/>
    <w:rsid w:val="00C84355"/>
    <w:rsid w:val="00C84A65"/>
    <w:rsid w:val="00CA3051"/>
    <w:rsid w:val="00CD20D9"/>
    <w:rsid w:val="00CD701A"/>
    <w:rsid w:val="00D04D2C"/>
    <w:rsid w:val="00D05AAE"/>
    <w:rsid w:val="00D05E6B"/>
    <w:rsid w:val="00D066F8"/>
    <w:rsid w:val="00D254A6"/>
    <w:rsid w:val="00D42B55"/>
    <w:rsid w:val="00D50735"/>
    <w:rsid w:val="00D57D70"/>
    <w:rsid w:val="00DB336C"/>
    <w:rsid w:val="00DE3E41"/>
    <w:rsid w:val="00E05D81"/>
    <w:rsid w:val="00E471D7"/>
    <w:rsid w:val="00E53DFC"/>
    <w:rsid w:val="00E66FC3"/>
    <w:rsid w:val="00E677DD"/>
    <w:rsid w:val="00E77F17"/>
    <w:rsid w:val="00E809D8"/>
    <w:rsid w:val="00E921EC"/>
    <w:rsid w:val="00EA32CC"/>
    <w:rsid w:val="00EB23D0"/>
    <w:rsid w:val="00EC395A"/>
    <w:rsid w:val="00F01632"/>
    <w:rsid w:val="00F04858"/>
    <w:rsid w:val="00F13AA4"/>
    <w:rsid w:val="00F21A8A"/>
    <w:rsid w:val="00F3510D"/>
    <w:rsid w:val="00F43C07"/>
    <w:rsid w:val="00F43D44"/>
    <w:rsid w:val="00F80E6E"/>
    <w:rsid w:val="00FC1FB9"/>
    <w:rsid w:val="00FD19EF"/>
    <w:rsid w:val="00FD7A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239E2"/>
  <w15:docId w15:val="{DA5BDCCB-471A-4152-B5D1-EC2E7BE3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48D"/>
    <w:pPr>
      <w:tabs>
        <w:tab w:val="left" w:pos="851"/>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s-ES_tradnl" w:eastAsia="en-US"/>
    </w:rPr>
  </w:style>
  <w:style w:type="paragraph" w:styleId="Heading1">
    <w:name w:val="heading 1"/>
    <w:basedOn w:val="Normal"/>
    <w:next w:val="Normal"/>
    <w:qFormat/>
    <w:rsid w:val="00B3348D"/>
    <w:pPr>
      <w:keepNext/>
      <w:keepLines/>
      <w:spacing w:before="360"/>
      <w:ind w:left="851" w:hanging="851"/>
      <w:outlineLvl w:val="0"/>
    </w:pPr>
    <w:rPr>
      <w:b/>
      <w:sz w:val="28"/>
    </w:rPr>
  </w:style>
  <w:style w:type="paragraph" w:styleId="Heading2">
    <w:name w:val="heading 2"/>
    <w:basedOn w:val="Heading1"/>
    <w:next w:val="Normal"/>
    <w:qFormat/>
    <w:rsid w:val="003F5F9B"/>
    <w:pPr>
      <w:spacing w:before="240"/>
      <w:outlineLvl w:val="1"/>
    </w:pPr>
    <w:rPr>
      <w:sz w:val="24"/>
    </w:rPr>
  </w:style>
  <w:style w:type="paragraph" w:styleId="Heading3">
    <w:name w:val="heading 3"/>
    <w:basedOn w:val="Heading1"/>
    <w:next w:val="Normal"/>
    <w:qFormat/>
    <w:rsid w:val="00BB13FE"/>
    <w:pPr>
      <w:spacing w:before="200"/>
      <w:outlineLvl w:val="2"/>
    </w:pPr>
    <w:rPr>
      <w:sz w:val="24"/>
    </w:rPr>
  </w:style>
  <w:style w:type="paragraph" w:styleId="Heading4">
    <w:name w:val="heading 4"/>
    <w:basedOn w:val="Heading3"/>
    <w:next w:val="Normal"/>
    <w:qFormat/>
    <w:rsid w:val="00A70E95"/>
    <w:pPr>
      <w:ind w:left="1134" w:hanging="1134"/>
      <w:outlineLvl w:val="3"/>
    </w:pPr>
  </w:style>
  <w:style w:type="paragraph" w:styleId="Heading5">
    <w:name w:val="heading 5"/>
    <w:basedOn w:val="Heading4"/>
    <w:next w:val="Normal"/>
    <w:qFormat/>
    <w:rsid w:val="00A70E95"/>
    <w:pPr>
      <w:outlineLvl w:val="4"/>
    </w:pPr>
  </w:style>
  <w:style w:type="paragraph" w:styleId="Heading6">
    <w:name w:val="heading 6"/>
    <w:basedOn w:val="Heading4"/>
    <w:next w:val="Normal"/>
    <w:qFormat/>
    <w:rsid w:val="00A70E95"/>
    <w:pPr>
      <w:outlineLvl w:val="5"/>
    </w:pPr>
  </w:style>
  <w:style w:type="paragraph" w:styleId="Heading7">
    <w:name w:val="heading 7"/>
    <w:basedOn w:val="Heading4"/>
    <w:next w:val="Normal"/>
    <w:qFormat/>
    <w:rsid w:val="00A70E95"/>
    <w:pPr>
      <w:ind w:left="1701" w:hanging="1701"/>
      <w:outlineLvl w:val="6"/>
    </w:pPr>
  </w:style>
  <w:style w:type="paragraph" w:styleId="Heading8">
    <w:name w:val="heading 8"/>
    <w:basedOn w:val="Heading4"/>
    <w:next w:val="Normal"/>
    <w:qFormat/>
    <w:rsid w:val="00A70E95"/>
    <w:pPr>
      <w:ind w:left="1701" w:hanging="1701"/>
      <w:outlineLvl w:val="7"/>
    </w:pPr>
  </w:style>
  <w:style w:type="paragraph" w:styleId="Heading9">
    <w:name w:val="heading 9"/>
    <w:basedOn w:val="Heading4"/>
    <w:next w:val="Normal"/>
    <w:qFormat/>
    <w:rsid w:val="00A70E95"/>
    <w:pPr>
      <w:ind w:left="1701" w:hanging="1701"/>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70E95"/>
    <w:pPr>
      <w:tabs>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70E95"/>
    <w:pPr>
      <w:tabs>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70E95"/>
    <w:pPr>
      <w:tabs>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70E95"/>
    <w:pPr>
      <w:tabs>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70E95"/>
    <w:pPr>
      <w:tabs>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70E95"/>
    <w:pPr>
      <w:tabs>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70E95"/>
    <w:pPr>
      <w:tabs>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70E95"/>
    <w:pPr>
      <w:tabs>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70E95"/>
    <w:pPr>
      <w:tabs>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A70E95"/>
    <w:pPr>
      <w:tabs>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70E95"/>
    <w:rPr>
      <w:position w:val="6"/>
      <w:sz w:val="16"/>
    </w:rPr>
  </w:style>
  <w:style w:type="paragraph" w:styleId="FootnoteText">
    <w:name w:val="footnote text"/>
    <w:basedOn w:val="Normal"/>
    <w:rsid w:val="00282C98"/>
    <w:pPr>
      <w:keepLines/>
      <w:tabs>
        <w:tab w:val="left" w:pos="256"/>
      </w:tabs>
      <w:ind w:left="256" w:hanging="256"/>
    </w:pPr>
    <w:rPr>
      <w:sz w:val="22"/>
    </w:rPr>
  </w:style>
  <w:style w:type="paragraph" w:styleId="NormalIndent">
    <w:name w:val="Normal Indent"/>
    <w:basedOn w:val="Normal"/>
    <w:rsid w:val="00A70E95"/>
    <w:pPr>
      <w:ind w:left="567"/>
    </w:pPr>
  </w:style>
  <w:style w:type="paragraph" w:customStyle="1" w:styleId="Tablelegend">
    <w:name w:val="Table_legend"/>
    <w:basedOn w:val="Tabletext"/>
    <w:rsid w:val="00A70E95"/>
    <w:pPr>
      <w:spacing w:before="120"/>
    </w:pPr>
  </w:style>
  <w:style w:type="paragraph" w:customStyle="1" w:styleId="Tabletext">
    <w:name w:val="Table_text"/>
    <w:basedOn w:val="Normal"/>
    <w:rsid w:val="00A70E95"/>
    <w:pPr>
      <w:tabs>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70E95"/>
    <w:pPr>
      <w:tabs>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70E95"/>
    <w:pPr>
      <w:keepNext/>
      <w:spacing w:before="560" w:after="120"/>
      <w:jc w:val="center"/>
    </w:pPr>
    <w:rPr>
      <w:caps/>
    </w:rPr>
  </w:style>
  <w:style w:type="paragraph" w:customStyle="1" w:styleId="enumlev1">
    <w:name w:val="enumlev1"/>
    <w:basedOn w:val="Normal"/>
    <w:rsid w:val="00B3348D"/>
    <w:pPr>
      <w:spacing w:before="80"/>
      <w:ind w:left="851" w:hanging="851"/>
    </w:pPr>
  </w:style>
  <w:style w:type="paragraph" w:customStyle="1" w:styleId="enumlev2">
    <w:name w:val="enumlev2"/>
    <w:basedOn w:val="enumlev1"/>
    <w:rsid w:val="00A70E95"/>
    <w:pPr>
      <w:ind w:left="1134"/>
    </w:pPr>
  </w:style>
  <w:style w:type="paragraph" w:customStyle="1" w:styleId="enumlev3">
    <w:name w:val="enumlev3"/>
    <w:basedOn w:val="enumlev2"/>
    <w:rsid w:val="00A70E95"/>
    <w:pPr>
      <w:ind w:left="1701"/>
    </w:pPr>
  </w:style>
  <w:style w:type="paragraph" w:customStyle="1" w:styleId="Tablehead">
    <w:name w:val="Table_head"/>
    <w:basedOn w:val="Tabletext"/>
    <w:rsid w:val="00A70E95"/>
    <w:pPr>
      <w:spacing w:before="120" w:after="120"/>
      <w:jc w:val="center"/>
    </w:pPr>
    <w:rPr>
      <w:b/>
    </w:rPr>
  </w:style>
  <w:style w:type="paragraph" w:customStyle="1" w:styleId="Normalaftertitle">
    <w:name w:val="Normal after title"/>
    <w:basedOn w:val="Normal"/>
    <w:next w:val="Normal"/>
    <w:rsid w:val="00A70E95"/>
    <w:pPr>
      <w:spacing w:before="240"/>
    </w:pPr>
  </w:style>
  <w:style w:type="paragraph" w:customStyle="1" w:styleId="AnnexNo">
    <w:name w:val="Annex_No"/>
    <w:basedOn w:val="Normal"/>
    <w:next w:val="Annexref"/>
    <w:rsid w:val="00BB13FE"/>
    <w:pPr>
      <w:spacing w:before="720"/>
      <w:jc w:val="center"/>
    </w:pPr>
    <w:rPr>
      <w:caps/>
      <w:sz w:val="28"/>
    </w:rPr>
  </w:style>
  <w:style w:type="paragraph" w:customStyle="1" w:styleId="Annexref">
    <w:name w:val="Annex_ref"/>
    <w:basedOn w:val="Normal"/>
    <w:next w:val="Annextitle"/>
    <w:rsid w:val="00BB13FE"/>
    <w:pPr>
      <w:jc w:val="center"/>
    </w:pPr>
    <w:rPr>
      <w:sz w:val="28"/>
    </w:rPr>
  </w:style>
  <w:style w:type="paragraph" w:customStyle="1" w:styleId="Annextitle">
    <w:name w:val="Annex_title"/>
    <w:basedOn w:val="Normal"/>
    <w:next w:val="Normal"/>
    <w:rsid w:val="00BB13FE"/>
    <w:pPr>
      <w:spacing w:before="240" w:after="240"/>
      <w:jc w:val="center"/>
    </w:pPr>
    <w:rPr>
      <w:b/>
      <w:sz w:val="28"/>
    </w:rPr>
  </w:style>
  <w:style w:type="paragraph" w:customStyle="1" w:styleId="AppendixNo">
    <w:name w:val="Appendix_No"/>
    <w:basedOn w:val="AnnexNo"/>
    <w:next w:val="Appendixref"/>
    <w:rsid w:val="00A70E95"/>
  </w:style>
  <w:style w:type="paragraph" w:customStyle="1" w:styleId="Appendixref">
    <w:name w:val="Appendix_ref"/>
    <w:basedOn w:val="Annexref"/>
    <w:next w:val="Appendixtitle"/>
    <w:rsid w:val="00A70E95"/>
  </w:style>
  <w:style w:type="paragraph" w:customStyle="1" w:styleId="Appendixtitle">
    <w:name w:val="Appendix_title"/>
    <w:basedOn w:val="Annextitle"/>
    <w:next w:val="Normal"/>
    <w:rsid w:val="00A70E95"/>
  </w:style>
  <w:style w:type="paragraph" w:customStyle="1" w:styleId="Reftitle">
    <w:name w:val="Ref_title"/>
    <w:basedOn w:val="Normal"/>
    <w:next w:val="Reftext"/>
    <w:rsid w:val="00BB13FE"/>
    <w:pPr>
      <w:spacing w:before="480"/>
      <w:jc w:val="center"/>
    </w:pPr>
    <w:rPr>
      <w:caps/>
      <w:sz w:val="28"/>
    </w:rPr>
  </w:style>
  <w:style w:type="paragraph" w:customStyle="1" w:styleId="Reftext">
    <w:name w:val="Ref_text"/>
    <w:basedOn w:val="Normal"/>
    <w:rsid w:val="00A70E95"/>
    <w:pPr>
      <w:ind w:left="567" w:hanging="567"/>
    </w:pPr>
  </w:style>
  <w:style w:type="paragraph" w:customStyle="1" w:styleId="Rectitle">
    <w:name w:val="Rec_title"/>
    <w:basedOn w:val="Normal"/>
    <w:next w:val="Heading1"/>
    <w:rsid w:val="004A63A9"/>
    <w:pPr>
      <w:spacing w:before="240"/>
      <w:jc w:val="center"/>
    </w:pPr>
    <w:rPr>
      <w:b/>
      <w:sz w:val="28"/>
    </w:rPr>
  </w:style>
  <w:style w:type="paragraph" w:customStyle="1" w:styleId="Call">
    <w:name w:val="Call"/>
    <w:basedOn w:val="Normal"/>
    <w:next w:val="Normal"/>
    <w:rsid w:val="0011605B"/>
    <w:pPr>
      <w:keepNext/>
      <w:keepLines/>
      <w:tabs>
        <w:tab w:val="clear" w:pos="1134"/>
        <w:tab w:val="clear" w:pos="1701"/>
        <w:tab w:val="clear" w:pos="2268"/>
        <w:tab w:val="clear" w:pos="2835"/>
      </w:tabs>
      <w:spacing w:before="160"/>
      <w:ind w:left="851"/>
    </w:pPr>
    <w:rPr>
      <w:i/>
    </w:rPr>
  </w:style>
  <w:style w:type="paragraph" w:customStyle="1" w:styleId="RecNo">
    <w:name w:val="Rec_No"/>
    <w:basedOn w:val="Normal"/>
    <w:next w:val="Rectitle"/>
    <w:rsid w:val="00BB13FE"/>
    <w:pPr>
      <w:spacing w:before="720"/>
      <w:jc w:val="center"/>
    </w:pPr>
    <w:rPr>
      <w:caps/>
      <w:sz w:val="28"/>
    </w:rPr>
  </w:style>
  <w:style w:type="paragraph" w:customStyle="1" w:styleId="toc0">
    <w:name w:val="toc 0"/>
    <w:basedOn w:val="Normal"/>
    <w:next w:val="TOC1"/>
    <w:rsid w:val="00A70E95"/>
    <w:pPr>
      <w:tabs>
        <w:tab w:val="clear" w:pos="1134"/>
        <w:tab w:val="clear" w:pos="1701"/>
        <w:tab w:val="clear" w:pos="2268"/>
        <w:tab w:val="clear" w:pos="2835"/>
        <w:tab w:val="right" w:pos="9781"/>
      </w:tabs>
    </w:pPr>
    <w:rPr>
      <w:b/>
    </w:rPr>
  </w:style>
  <w:style w:type="paragraph" w:customStyle="1" w:styleId="Part">
    <w:name w:val="Part"/>
    <w:basedOn w:val="Normal"/>
    <w:next w:val="Normal"/>
    <w:rsid w:val="00BB13FE"/>
    <w:pPr>
      <w:tabs>
        <w:tab w:val="clear" w:pos="1134"/>
        <w:tab w:val="clear" w:pos="1701"/>
        <w:tab w:val="clear" w:pos="2268"/>
        <w:tab w:val="clear" w:pos="2835"/>
      </w:tabs>
      <w:spacing w:before="600"/>
      <w:jc w:val="center"/>
    </w:pPr>
    <w:rPr>
      <w:caps/>
      <w:sz w:val="28"/>
    </w:rPr>
  </w:style>
  <w:style w:type="paragraph" w:customStyle="1" w:styleId="Note">
    <w:name w:val="Note"/>
    <w:basedOn w:val="Normal"/>
    <w:rsid w:val="00A70E95"/>
  </w:style>
  <w:style w:type="paragraph" w:customStyle="1" w:styleId="MinusFootnote">
    <w:name w:val="MinusFootnote"/>
    <w:basedOn w:val="Normal"/>
    <w:rsid w:val="00A70E95"/>
    <w:pPr>
      <w:ind w:left="-1701" w:hanging="284"/>
    </w:pPr>
  </w:style>
  <w:style w:type="paragraph" w:customStyle="1" w:styleId="Title3">
    <w:name w:val="Title 3"/>
    <w:basedOn w:val="Title2"/>
    <w:next w:val="Normalaftertitle"/>
    <w:rsid w:val="00A70E95"/>
    <w:rPr>
      <w:caps w:val="0"/>
    </w:rPr>
  </w:style>
  <w:style w:type="paragraph" w:customStyle="1" w:styleId="Title2">
    <w:name w:val="Title 2"/>
    <w:basedOn w:val="Source"/>
    <w:next w:val="Title3"/>
    <w:rsid w:val="00A70E95"/>
    <w:pPr>
      <w:spacing w:before="240"/>
    </w:pPr>
    <w:rPr>
      <w:b w:val="0"/>
      <w:caps/>
    </w:rPr>
  </w:style>
  <w:style w:type="paragraph" w:customStyle="1" w:styleId="Source">
    <w:name w:val="Source"/>
    <w:basedOn w:val="Normal"/>
    <w:next w:val="Title1"/>
    <w:rsid w:val="000A1523"/>
    <w:pPr>
      <w:spacing w:before="840"/>
      <w:jc w:val="center"/>
    </w:pPr>
    <w:rPr>
      <w:b/>
      <w:sz w:val="28"/>
    </w:rPr>
  </w:style>
  <w:style w:type="paragraph" w:customStyle="1" w:styleId="Title1">
    <w:name w:val="Title 1"/>
    <w:basedOn w:val="Source"/>
    <w:next w:val="Title2"/>
    <w:rsid w:val="00A70E95"/>
    <w:pPr>
      <w:spacing w:before="240"/>
    </w:pPr>
    <w:rPr>
      <w:b w:val="0"/>
      <w:caps/>
    </w:rPr>
  </w:style>
  <w:style w:type="paragraph" w:customStyle="1" w:styleId="ArtNo">
    <w:name w:val="Art_No"/>
    <w:basedOn w:val="Normal"/>
    <w:next w:val="Arttitle"/>
    <w:rsid w:val="00BB13FE"/>
    <w:pPr>
      <w:tabs>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13FE"/>
    <w:pPr>
      <w:tabs>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A70E95"/>
  </w:style>
  <w:style w:type="paragraph" w:customStyle="1" w:styleId="Chaptitle">
    <w:name w:val="Chap_title"/>
    <w:basedOn w:val="Arttitle"/>
    <w:next w:val="Normal"/>
    <w:rsid w:val="00A70E95"/>
  </w:style>
  <w:style w:type="paragraph" w:customStyle="1" w:styleId="Reasons">
    <w:name w:val="Reasons"/>
    <w:basedOn w:val="Normal"/>
    <w:qFormat/>
    <w:rsid w:val="00A70E95"/>
  </w:style>
  <w:style w:type="paragraph" w:customStyle="1" w:styleId="ResNo">
    <w:name w:val="Res_No"/>
    <w:basedOn w:val="AnnexNo"/>
    <w:next w:val="Restitle"/>
    <w:rsid w:val="00A70E95"/>
  </w:style>
  <w:style w:type="paragraph" w:customStyle="1" w:styleId="Restitle">
    <w:name w:val="Res_title"/>
    <w:basedOn w:val="Annextitle"/>
    <w:next w:val="Normal"/>
    <w:rsid w:val="004A63A9"/>
  </w:style>
  <w:style w:type="paragraph" w:customStyle="1" w:styleId="AnnexNoS2">
    <w:name w:val="Annex_No_S2"/>
    <w:basedOn w:val="AnnexNo"/>
    <w:next w:val="AnnexrefS2"/>
    <w:rsid w:val="00BB13FE"/>
    <w:pPr>
      <w:tabs>
        <w:tab w:val="clear" w:pos="1134"/>
        <w:tab w:val="clear" w:pos="1701"/>
        <w:tab w:val="clear" w:pos="2268"/>
        <w:tab w:val="clear" w:pos="2835"/>
      </w:tabs>
      <w:jc w:val="left"/>
    </w:pPr>
    <w:rPr>
      <w:b/>
      <w:sz w:val="24"/>
    </w:rPr>
  </w:style>
  <w:style w:type="paragraph" w:customStyle="1" w:styleId="AnnexrefS2">
    <w:name w:val="Annex_ref_S2"/>
    <w:basedOn w:val="Annexref"/>
    <w:next w:val="AnnextitleS2"/>
    <w:rsid w:val="00BB13FE"/>
    <w:pPr>
      <w:tabs>
        <w:tab w:val="clear" w:pos="1134"/>
        <w:tab w:val="clear" w:pos="1701"/>
        <w:tab w:val="clear" w:pos="2268"/>
        <w:tab w:val="clear" w:pos="2835"/>
      </w:tabs>
      <w:jc w:val="left"/>
    </w:pPr>
    <w:rPr>
      <w:b/>
      <w:sz w:val="24"/>
    </w:rPr>
  </w:style>
  <w:style w:type="paragraph" w:customStyle="1" w:styleId="AnnextitleS2">
    <w:name w:val="Annex_title_S2"/>
    <w:basedOn w:val="Annextitle"/>
    <w:next w:val="NormalS2"/>
    <w:rsid w:val="00BB13FE"/>
    <w:pPr>
      <w:tabs>
        <w:tab w:val="clear" w:pos="1134"/>
        <w:tab w:val="clear" w:pos="1701"/>
        <w:tab w:val="clear" w:pos="2268"/>
        <w:tab w:val="clear" w:pos="2835"/>
      </w:tabs>
      <w:jc w:val="left"/>
    </w:pPr>
    <w:rPr>
      <w:sz w:val="24"/>
    </w:rPr>
  </w:style>
  <w:style w:type="paragraph" w:customStyle="1" w:styleId="NormalS2">
    <w:name w:val="Normal_S2"/>
    <w:basedOn w:val="Normal"/>
    <w:rsid w:val="00A70E95"/>
    <w:pPr>
      <w:tabs>
        <w:tab w:val="clear" w:pos="1134"/>
        <w:tab w:val="clear" w:pos="1701"/>
        <w:tab w:val="clear" w:pos="2268"/>
        <w:tab w:val="clear" w:pos="2835"/>
      </w:tabs>
    </w:pPr>
    <w:rPr>
      <w:b/>
    </w:rPr>
  </w:style>
  <w:style w:type="paragraph" w:customStyle="1" w:styleId="Section1">
    <w:name w:val="Section 1"/>
    <w:basedOn w:val="ChapNo"/>
    <w:next w:val="Normal"/>
    <w:rsid w:val="00A70E95"/>
    <w:rPr>
      <w:caps w:val="0"/>
    </w:rPr>
  </w:style>
  <w:style w:type="paragraph" w:customStyle="1" w:styleId="Section2">
    <w:name w:val="Section 2"/>
    <w:basedOn w:val="Section1"/>
    <w:next w:val="Normal"/>
    <w:rsid w:val="00A70E95"/>
    <w:pPr>
      <w:spacing w:before="240"/>
    </w:pPr>
    <w:rPr>
      <w:b/>
      <w:i/>
    </w:rPr>
  </w:style>
  <w:style w:type="paragraph" w:customStyle="1" w:styleId="AppendixNoS2">
    <w:name w:val="Appendix_No_S2"/>
    <w:basedOn w:val="AppendixNo"/>
    <w:next w:val="AppendixrefS2"/>
    <w:rsid w:val="00BB13FE"/>
    <w:pPr>
      <w:tabs>
        <w:tab w:val="clear" w:pos="1134"/>
        <w:tab w:val="clear" w:pos="1701"/>
        <w:tab w:val="clear" w:pos="2268"/>
        <w:tab w:val="clear" w:pos="2835"/>
      </w:tabs>
      <w:jc w:val="left"/>
    </w:pPr>
    <w:rPr>
      <w:b/>
      <w:sz w:val="24"/>
    </w:rPr>
  </w:style>
  <w:style w:type="paragraph" w:customStyle="1" w:styleId="AppendixrefS2">
    <w:name w:val="Appendix_ref_S2"/>
    <w:basedOn w:val="Appendixref"/>
    <w:next w:val="AnnextitleS2"/>
    <w:rsid w:val="00BB13FE"/>
    <w:pPr>
      <w:tabs>
        <w:tab w:val="clear" w:pos="1134"/>
        <w:tab w:val="clear" w:pos="1701"/>
        <w:tab w:val="clear" w:pos="2268"/>
        <w:tab w:val="clear" w:pos="2835"/>
      </w:tabs>
      <w:jc w:val="left"/>
    </w:pPr>
    <w:rPr>
      <w:b/>
      <w:sz w:val="24"/>
    </w:rPr>
  </w:style>
  <w:style w:type="paragraph" w:customStyle="1" w:styleId="AppendixtitleS2">
    <w:name w:val="Appendix_title_S2"/>
    <w:basedOn w:val="Appendixtitle"/>
    <w:next w:val="NormalS2"/>
    <w:rsid w:val="00BB13FE"/>
    <w:pPr>
      <w:tabs>
        <w:tab w:val="clear" w:pos="1134"/>
        <w:tab w:val="clear" w:pos="1701"/>
        <w:tab w:val="clear" w:pos="2268"/>
        <w:tab w:val="clear" w:pos="2835"/>
      </w:tabs>
      <w:jc w:val="left"/>
    </w:pPr>
    <w:rPr>
      <w:sz w:val="24"/>
    </w:rPr>
  </w:style>
  <w:style w:type="paragraph" w:customStyle="1" w:styleId="ArtNoS2">
    <w:name w:val="Art_No_S2"/>
    <w:basedOn w:val="ArtNo"/>
    <w:next w:val="ArttitleS2"/>
    <w:rsid w:val="00BB13FE"/>
    <w:pPr>
      <w:jc w:val="left"/>
    </w:pPr>
    <w:rPr>
      <w:b/>
      <w:sz w:val="24"/>
    </w:rPr>
  </w:style>
  <w:style w:type="paragraph" w:customStyle="1" w:styleId="ArttitleS2">
    <w:name w:val="Art_title_S2"/>
    <w:basedOn w:val="Arttitle"/>
    <w:next w:val="NormalS2"/>
    <w:rsid w:val="00BB13FE"/>
    <w:pPr>
      <w:jc w:val="left"/>
    </w:pPr>
    <w:rPr>
      <w:sz w:val="24"/>
    </w:rPr>
  </w:style>
  <w:style w:type="paragraph" w:customStyle="1" w:styleId="ChapNoS2">
    <w:name w:val="Chap_No_S2"/>
    <w:basedOn w:val="ChapNo"/>
    <w:next w:val="ChaptitleS2"/>
    <w:rsid w:val="004A63A9"/>
    <w:pPr>
      <w:jc w:val="left"/>
    </w:pPr>
    <w:rPr>
      <w:b/>
      <w:sz w:val="24"/>
    </w:rPr>
  </w:style>
  <w:style w:type="paragraph" w:customStyle="1" w:styleId="ChaptitleS2">
    <w:name w:val="Chap_title_S2"/>
    <w:basedOn w:val="Chaptitle"/>
    <w:next w:val="NormalS2"/>
    <w:rsid w:val="00BB13FE"/>
    <w:pPr>
      <w:jc w:val="left"/>
    </w:pPr>
    <w:rPr>
      <w:sz w:val="24"/>
    </w:rPr>
  </w:style>
  <w:style w:type="paragraph" w:customStyle="1" w:styleId="enumlev1S2">
    <w:name w:val="enumlev1_S2"/>
    <w:basedOn w:val="enumlev1"/>
    <w:rsid w:val="00A70E95"/>
    <w:pPr>
      <w:tabs>
        <w:tab w:val="clear" w:pos="1134"/>
        <w:tab w:val="clear" w:pos="1701"/>
        <w:tab w:val="clear" w:pos="2268"/>
        <w:tab w:val="clear" w:pos="2835"/>
      </w:tabs>
      <w:ind w:left="0" w:firstLine="0"/>
    </w:pPr>
    <w:rPr>
      <w:b/>
    </w:rPr>
  </w:style>
  <w:style w:type="paragraph" w:customStyle="1" w:styleId="enumlev2S2">
    <w:name w:val="enumlev2_S2"/>
    <w:basedOn w:val="enumlev2"/>
    <w:rsid w:val="00A70E95"/>
    <w:pPr>
      <w:tabs>
        <w:tab w:val="clear" w:pos="1134"/>
        <w:tab w:val="clear" w:pos="1701"/>
        <w:tab w:val="clear" w:pos="2268"/>
        <w:tab w:val="clear" w:pos="2835"/>
      </w:tabs>
      <w:ind w:left="0" w:firstLine="0"/>
    </w:pPr>
    <w:rPr>
      <w:b/>
    </w:rPr>
  </w:style>
  <w:style w:type="paragraph" w:customStyle="1" w:styleId="enumlev3S2">
    <w:name w:val="enumlev3_S2"/>
    <w:basedOn w:val="enumlev3"/>
    <w:rsid w:val="00A70E95"/>
    <w:pPr>
      <w:tabs>
        <w:tab w:val="clear" w:pos="1134"/>
        <w:tab w:val="clear" w:pos="1701"/>
        <w:tab w:val="clear" w:pos="2268"/>
        <w:tab w:val="clear" w:pos="2835"/>
      </w:tabs>
      <w:ind w:left="0" w:firstLine="0"/>
    </w:pPr>
    <w:rPr>
      <w:b/>
    </w:rPr>
  </w:style>
  <w:style w:type="paragraph" w:customStyle="1" w:styleId="FootnoteTextS2">
    <w:name w:val="Footnote Text_S2"/>
    <w:basedOn w:val="FootnoteText"/>
    <w:rsid w:val="00A70E95"/>
    <w:pPr>
      <w:tabs>
        <w:tab w:val="clear" w:pos="256"/>
        <w:tab w:val="clear" w:pos="1134"/>
        <w:tab w:val="clear" w:pos="1701"/>
        <w:tab w:val="clear" w:pos="2268"/>
        <w:tab w:val="clear" w:pos="2835"/>
      </w:tabs>
      <w:ind w:left="0" w:firstLine="0"/>
    </w:pPr>
    <w:rPr>
      <w:b/>
    </w:rPr>
  </w:style>
  <w:style w:type="paragraph" w:customStyle="1" w:styleId="Heading1S2">
    <w:name w:val="Heading 1_S2"/>
    <w:basedOn w:val="Heading1"/>
    <w:next w:val="NormalS2"/>
    <w:rsid w:val="00BB13FE"/>
    <w:pPr>
      <w:tabs>
        <w:tab w:val="clear" w:pos="1134"/>
        <w:tab w:val="clear" w:pos="1701"/>
        <w:tab w:val="clear" w:pos="2268"/>
        <w:tab w:val="clear" w:pos="2835"/>
      </w:tabs>
      <w:ind w:left="0" w:firstLine="0"/>
      <w:outlineLvl w:val="9"/>
    </w:pPr>
    <w:rPr>
      <w:sz w:val="24"/>
    </w:rPr>
  </w:style>
  <w:style w:type="paragraph" w:customStyle="1" w:styleId="Heading2S2">
    <w:name w:val="Heading 2_S2"/>
    <w:basedOn w:val="Heading2"/>
    <w:next w:val="NormalS2"/>
    <w:rsid w:val="00A70E95"/>
    <w:pPr>
      <w:tabs>
        <w:tab w:val="clear" w:pos="1134"/>
        <w:tab w:val="clear" w:pos="1701"/>
        <w:tab w:val="clear" w:pos="2268"/>
        <w:tab w:val="clear" w:pos="2835"/>
      </w:tabs>
    </w:pPr>
  </w:style>
  <w:style w:type="paragraph" w:customStyle="1" w:styleId="Heading3S2">
    <w:name w:val="Heading 3_S2"/>
    <w:basedOn w:val="Heading3"/>
    <w:next w:val="NormalS2"/>
    <w:rsid w:val="00BB13FE"/>
    <w:pPr>
      <w:tabs>
        <w:tab w:val="clear" w:pos="1134"/>
        <w:tab w:val="clear" w:pos="1701"/>
        <w:tab w:val="clear" w:pos="2268"/>
        <w:tab w:val="clear" w:pos="2835"/>
      </w:tabs>
    </w:pPr>
  </w:style>
  <w:style w:type="paragraph" w:customStyle="1" w:styleId="Heading4S2">
    <w:name w:val="Heading 4_S2"/>
    <w:basedOn w:val="Heading4"/>
    <w:next w:val="NormalS2"/>
    <w:rsid w:val="00A70E95"/>
    <w:pPr>
      <w:tabs>
        <w:tab w:val="clear" w:pos="1134"/>
        <w:tab w:val="clear" w:pos="1701"/>
        <w:tab w:val="clear" w:pos="2268"/>
        <w:tab w:val="clear" w:pos="2835"/>
      </w:tabs>
    </w:pPr>
  </w:style>
  <w:style w:type="paragraph" w:customStyle="1" w:styleId="Heading5S2">
    <w:name w:val="Heading 5_S2"/>
    <w:basedOn w:val="Heading5"/>
    <w:next w:val="NormalS2"/>
    <w:rsid w:val="00A70E95"/>
    <w:pPr>
      <w:tabs>
        <w:tab w:val="clear" w:pos="1134"/>
        <w:tab w:val="clear" w:pos="1701"/>
        <w:tab w:val="clear" w:pos="2268"/>
        <w:tab w:val="clear" w:pos="2835"/>
      </w:tabs>
    </w:pPr>
  </w:style>
  <w:style w:type="paragraph" w:customStyle="1" w:styleId="Heading6S2">
    <w:name w:val="Heading 6_S2"/>
    <w:basedOn w:val="Heading6"/>
    <w:next w:val="NormalS2"/>
    <w:rsid w:val="00A70E95"/>
    <w:pPr>
      <w:tabs>
        <w:tab w:val="clear" w:pos="1134"/>
        <w:tab w:val="clear" w:pos="1701"/>
        <w:tab w:val="clear" w:pos="2268"/>
        <w:tab w:val="clear" w:pos="2835"/>
      </w:tabs>
    </w:pPr>
  </w:style>
  <w:style w:type="paragraph" w:customStyle="1" w:styleId="Heading7S2">
    <w:name w:val="Heading 7_S2"/>
    <w:basedOn w:val="Heading7"/>
    <w:next w:val="NormalS2"/>
    <w:rsid w:val="00A70E95"/>
    <w:pPr>
      <w:tabs>
        <w:tab w:val="clear" w:pos="1134"/>
        <w:tab w:val="clear" w:pos="1701"/>
        <w:tab w:val="clear" w:pos="2268"/>
        <w:tab w:val="clear" w:pos="2835"/>
      </w:tabs>
    </w:pPr>
  </w:style>
  <w:style w:type="paragraph" w:customStyle="1" w:styleId="Heading8S2">
    <w:name w:val="Heading 8_S2"/>
    <w:basedOn w:val="Heading8"/>
    <w:next w:val="NormalS2"/>
    <w:rsid w:val="00A70E95"/>
    <w:pPr>
      <w:tabs>
        <w:tab w:val="clear" w:pos="1134"/>
        <w:tab w:val="clear" w:pos="1701"/>
        <w:tab w:val="clear" w:pos="2268"/>
        <w:tab w:val="clear" w:pos="2835"/>
      </w:tabs>
    </w:pPr>
  </w:style>
  <w:style w:type="paragraph" w:customStyle="1" w:styleId="Heading9S2">
    <w:name w:val="Heading 9_S2"/>
    <w:basedOn w:val="Heading9"/>
    <w:next w:val="NormalS2"/>
    <w:rsid w:val="00A70E95"/>
    <w:pPr>
      <w:tabs>
        <w:tab w:val="clear" w:pos="1134"/>
        <w:tab w:val="clear" w:pos="1701"/>
        <w:tab w:val="clear" w:pos="2268"/>
        <w:tab w:val="clear" w:pos="2835"/>
      </w:tabs>
    </w:pPr>
  </w:style>
  <w:style w:type="paragraph" w:customStyle="1" w:styleId="NormalaftertitleS2">
    <w:name w:val="Normal after title_S2"/>
    <w:basedOn w:val="Normalaftertitle"/>
    <w:next w:val="NormalS2"/>
    <w:rsid w:val="00A70E95"/>
    <w:pPr>
      <w:keepNext/>
      <w:keepLines/>
      <w:tabs>
        <w:tab w:val="clear" w:pos="1134"/>
        <w:tab w:val="clear" w:pos="1701"/>
        <w:tab w:val="clear" w:pos="2268"/>
        <w:tab w:val="clear" w:pos="2835"/>
      </w:tabs>
    </w:pPr>
    <w:rPr>
      <w:b/>
    </w:rPr>
  </w:style>
  <w:style w:type="paragraph" w:customStyle="1" w:styleId="NormalIndentS2">
    <w:name w:val="Normal Indent_S2"/>
    <w:basedOn w:val="NormalIndent"/>
    <w:rsid w:val="00A70E95"/>
    <w:pPr>
      <w:tabs>
        <w:tab w:val="clear" w:pos="1134"/>
        <w:tab w:val="clear" w:pos="1701"/>
        <w:tab w:val="clear" w:pos="2268"/>
        <w:tab w:val="clear" w:pos="2835"/>
      </w:tabs>
      <w:ind w:left="0"/>
    </w:pPr>
    <w:rPr>
      <w:b/>
    </w:rPr>
  </w:style>
  <w:style w:type="paragraph" w:customStyle="1" w:styleId="ReasonsS2">
    <w:name w:val="Reasons_S2"/>
    <w:basedOn w:val="Reasons"/>
    <w:rsid w:val="00A70E95"/>
    <w:pPr>
      <w:tabs>
        <w:tab w:val="clear" w:pos="1134"/>
        <w:tab w:val="clear" w:pos="1701"/>
        <w:tab w:val="clear" w:pos="2268"/>
        <w:tab w:val="clear" w:pos="2835"/>
      </w:tabs>
    </w:pPr>
    <w:rPr>
      <w:b/>
    </w:rPr>
  </w:style>
  <w:style w:type="paragraph" w:customStyle="1" w:styleId="RecNoS2">
    <w:name w:val="Rec_No_S2"/>
    <w:basedOn w:val="RecNo"/>
    <w:next w:val="RectitleS2"/>
    <w:rsid w:val="00BB13FE"/>
    <w:pPr>
      <w:tabs>
        <w:tab w:val="clear" w:pos="1134"/>
        <w:tab w:val="clear" w:pos="1701"/>
        <w:tab w:val="clear" w:pos="2268"/>
        <w:tab w:val="clear" w:pos="2835"/>
      </w:tabs>
      <w:jc w:val="left"/>
    </w:pPr>
    <w:rPr>
      <w:b/>
      <w:sz w:val="24"/>
    </w:rPr>
  </w:style>
  <w:style w:type="paragraph" w:customStyle="1" w:styleId="RectitleS2">
    <w:name w:val="Rec_title_S2"/>
    <w:basedOn w:val="Rectitle"/>
    <w:next w:val="Heading1S2"/>
    <w:rsid w:val="00BB13FE"/>
    <w:pPr>
      <w:tabs>
        <w:tab w:val="clear" w:pos="1134"/>
        <w:tab w:val="clear" w:pos="1701"/>
        <w:tab w:val="clear" w:pos="2268"/>
        <w:tab w:val="clear" w:pos="2835"/>
      </w:tabs>
      <w:jc w:val="left"/>
    </w:pPr>
    <w:rPr>
      <w:caps/>
      <w:sz w:val="24"/>
    </w:rPr>
  </w:style>
  <w:style w:type="paragraph" w:customStyle="1" w:styleId="ReftextS2">
    <w:name w:val="Ref_text_S2"/>
    <w:basedOn w:val="Reftext"/>
    <w:rsid w:val="00A70E95"/>
    <w:pPr>
      <w:tabs>
        <w:tab w:val="clear" w:pos="1134"/>
        <w:tab w:val="clear" w:pos="1701"/>
        <w:tab w:val="clear" w:pos="2268"/>
        <w:tab w:val="clear" w:pos="2835"/>
      </w:tabs>
      <w:ind w:left="0" w:firstLine="0"/>
    </w:pPr>
    <w:rPr>
      <w:b/>
    </w:rPr>
  </w:style>
  <w:style w:type="paragraph" w:customStyle="1" w:styleId="ReftitleS2">
    <w:name w:val="Ref_title_S2"/>
    <w:basedOn w:val="Reftitle"/>
    <w:next w:val="ReftextS2"/>
    <w:rsid w:val="00BB13FE"/>
    <w:pPr>
      <w:tabs>
        <w:tab w:val="clear" w:pos="1134"/>
        <w:tab w:val="clear" w:pos="1701"/>
        <w:tab w:val="clear" w:pos="2268"/>
        <w:tab w:val="clear" w:pos="2835"/>
      </w:tabs>
      <w:jc w:val="left"/>
    </w:pPr>
    <w:rPr>
      <w:b/>
      <w:caps w:val="0"/>
      <w:sz w:val="24"/>
    </w:rPr>
  </w:style>
  <w:style w:type="paragraph" w:customStyle="1" w:styleId="ResNoS2">
    <w:name w:val="Res_No_S2"/>
    <w:basedOn w:val="ResNo"/>
    <w:next w:val="RestitleS2"/>
    <w:rsid w:val="00BB13FE"/>
    <w:pPr>
      <w:tabs>
        <w:tab w:val="clear" w:pos="1134"/>
        <w:tab w:val="clear" w:pos="1701"/>
        <w:tab w:val="clear" w:pos="2268"/>
        <w:tab w:val="clear" w:pos="2835"/>
      </w:tabs>
      <w:jc w:val="left"/>
    </w:pPr>
    <w:rPr>
      <w:b/>
      <w:sz w:val="24"/>
    </w:rPr>
  </w:style>
  <w:style w:type="paragraph" w:customStyle="1" w:styleId="RestitleS2">
    <w:name w:val="Res_title_S2"/>
    <w:basedOn w:val="Restitle"/>
    <w:next w:val="NormalS2"/>
    <w:rsid w:val="00BB13FE"/>
    <w:pPr>
      <w:tabs>
        <w:tab w:val="clear" w:pos="1134"/>
        <w:tab w:val="clear" w:pos="1701"/>
        <w:tab w:val="clear" w:pos="2268"/>
        <w:tab w:val="clear" w:pos="2835"/>
      </w:tabs>
      <w:jc w:val="left"/>
    </w:pPr>
    <w:rPr>
      <w:sz w:val="24"/>
    </w:rPr>
  </w:style>
  <w:style w:type="paragraph" w:customStyle="1" w:styleId="Section1S2">
    <w:name w:val="Section 1_S2"/>
    <w:basedOn w:val="Section1"/>
    <w:next w:val="NormalS2"/>
    <w:rsid w:val="00BB13FE"/>
    <w:pPr>
      <w:jc w:val="left"/>
    </w:pPr>
    <w:rPr>
      <w:caps/>
      <w:sz w:val="24"/>
    </w:rPr>
  </w:style>
  <w:style w:type="paragraph" w:customStyle="1" w:styleId="Section2S2">
    <w:name w:val="Section 2_S2"/>
    <w:basedOn w:val="Section2"/>
    <w:next w:val="NormalS2"/>
    <w:rsid w:val="004A63A9"/>
    <w:pPr>
      <w:jc w:val="left"/>
    </w:pPr>
    <w:rPr>
      <w:sz w:val="24"/>
    </w:rPr>
  </w:style>
  <w:style w:type="paragraph" w:customStyle="1" w:styleId="TableNoS2">
    <w:name w:val="Table_No_S2"/>
    <w:basedOn w:val="TableNo"/>
    <w:next w:val="TabletitleS2"/>
    <w:rsid w:val="00A70E95"/>
    <w:pPr>
      <w:keepNext w:val="0"/>
      <w:tabs>
        <w:tab w:val="clear" w:pos="1134"/>
        <w:tab w:val="clear" w:pos="1701"/>
        <w:tab w:val="clear" w:pos="2268"/>
        <w:tab w:val="clear" w:pos="2835"/>
      </w:tabs>
      <w:jc w:val="left"/>
    </w:pPr>
    <w:rPr>
      <w:b/>
    </w:rPr>
  </w:style>
  <w:style w:type="paragraph" w:customStyle="1" w:styleId="TabletitleS2">
    <w:name w:val="Table_title_S2"/>
    <w:basedOn w:val="Tabletitle"/>
    <w:next w:val="TabletextS2"/>
    <w:rsid w:val="00A70E95"/>
    <w:pPr>
      <w:keepNext w:val="0"/>
      <w:tabs>
        <w:tab w:val="clear" w:pos="2948"/>
        <w:tab w:val="clear" w:pos="4082"/>
      </w:tabs>
      <w:jc w:val="left"/>
    </w:pPr>
  </w:style>
  <w:style w:type="paragraph" w:customStyle="1" w:styleId="TabletextS2">
    <w:name w:val="Table_text_S2"/>
    <w:basedOn w:val="Tabletext"/>
    <w:rsid w:val="00A70E95"/>
    <w:rPr>
      <w:b/>
    </w:rPr>
  </w:style>
  <w:style w:type="paragraph" w:customStyle="1" w:styleId="TablelegendS2">
    <w:name w:val="Table_legend_S2"/>
    <w:basedOn w:val="Tablelegend"/>
    <w:rsid w:val="00A70E95"/>
    <w:pPr>
      <w:spacing w:after="0"/>
    </w:pPr>
    <w:rPr>
      <w:b/>
    </w:rPr>
  </w:style>
  <w:style w:type="paragraph" w:customStyle="1" w:styleId="FooterS2">
    <w:name w:val="Footer_S2"/>
    <w:basedOn w:val="Footer"/>
    <w:rsid w:val="00A70E95"/>
    <w:pPr>
      <w:tabs>
        <w:tab w:val="clear" w:pos="5954"/>
        <w:tab w:val="clear" w:pos="9639"/>
        <w:tab w:val="left" w:pos="3686"/>
        <w:tab w:val="right" w:pos="7655"/>
      </w:tabs>
      <w:ind w:left="-1985"/>
    </w:pPr>
  </w:style>
  <w:style w:type="paragraph" w:customStyle="1" w:styleId="HeaderS2">
    <w:name w:val="Header_S2"/>
    <w:basedOn w:val="Normal"/>
    <w:rsid w:val="00A70E95"/>
    <w:pPr>
      <w:tabs>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70E95"/>
    <w:pPr>
      <w:tabs>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70E95"/>
    <w:pPr>
      <w:jc w:val="left"/>
    </w:pPr>
  </w:style>
  <w:style w:type="paragraph" w:customStyle="1" w:styleId="NoteS2">
    <w:name w:val="Note_S2"/>
    <w:basedOn w:val="Note"/>
    <w:rsid w:val="00A70E95"/>
    <w:pPr>
      <w:tabs>
        <w:tab w:val="clear" w:pos="1134"/>
        <w:tab w:val="clear" w:pos="1701"/>
        <w:tab w:val="clear" w:pos="2268"/>
        <w:tab w:val="clear" w:pos="2835"/>
      </w:tabs>
    </w:pPr>
    <w:rPr>
      <w:b/>
    </w:rPr>
  </w:style>
  <w:style w:type="paragraph" w:styleId="Date">
    <w:name w:val="Date"/>
    <w:basedOn w:val="Normal"/>
    <w:rsid w:val="00A70E95"/>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customStyle="1" w:styleId="HeadingbS2">
    <w:name w:val="Headingb_S2"/>
    <w:basedOn w:val="Headingb"/>
    <w:next w:val="NormalS2"/>
    <w:rsid w:val="00A70E95"/>
    <w:pPr>
      <w:tabs>
        <w:tab w:val="clear" w:pos="1134"/>
        <w:tab w:val="clear" w:pos="1701"/>
        <w:tab w:val="clear" w:pos="2268"/>
        <w:tab w:val="clear" w:pos="2835"/>
      </w:tabs>
    </w:pPr>
  </w:style>
  <w:style w:type="paragraph" w:customStyle="1" w:styleId="Headingb">
    <w:name w:val="Heading_b"/>
    <w:basedOn w:val="Heading3"/>
    <w:next w:val="Normal"/>
    <w:rsid w:val="00A70E95"/>
    <w:pPr>
      <w:spacing w:before="160"/>
      <w:outlineLvl w:val="0"/>
    </w:pPr>
  </w:style>
  <w:style w:type="paragraph" w:customStyle="1" w:styleId="HeadingiS2">
    <w:name w:val="Headingi_S2"/>
    <w:basedOn w:val="Headingi"/>
    <w:next w:val="NormalS2"/>
    <w:rsid w:val="00A70E95"/>
    <w:pPr>
      <w:tabs>
        <w:tab w:val="clear" w:pos="1134"/>
        <w:tab w:val="clear" w:pos="1701"/>
        <w:tab w:val="clear" w:pos="2268"/>
        <w:tab w:val="clear" w:pos="2835"/>
      </w:tabs>
    </w:pPr>
    <w:rPr>
      <w:b/>
      <w:i w:val="0"/>
    </w:rPr>
  </w:style>
  <w:style w:type="paragraph" w:customStyle="1" w:styleId="Headingi">
    <w:name w:val="Heading_i"/>
    <w:basedOn w:val="Heading3"/>
    <w:next w:val="Normal"/>
    <w:rsid w:val="004A63A9"/>
    <w:pPr>
      <w:spacing w:before="160"/>
      <w:outlineLvl w:val="0"/>
    </w:pPr>
    <w:rPr>
      <w:b w:val="0"/>
      <w:i/>
    </w:rPr>
  </w:style>
  <w:style w:type="paragraph" w:customStyle="1" w:styleId="FirstFooter">
    <w:name w:val="FirstFooter"/>
    <w:basedOn w:val="Footer"/>
    <w:rsid w:val="00A70E95"/>
    <w:rPr>
      <w:caps w:val="0"/>
    </w:rPr>
  </w:style>
  <w:style w:type="paragraph" w:styleId="TOC9">
    <w:name w:val="toc 9"/>
    <w:basedOn w:val="Normal"/>
    <w:next w:val="Normal"/>
    <w:rsid w:val="00A70E95"/>
    <w:pPr>
      <w:tabs>
        <w:tab w:val="clear" w:pos="1134"/>
        <w:tab w:val="clear" w:pos="1701"/>
        <w:tab w:val="clear" w:pos="2268"/>
        <w:tab w:val="clear" w:pos="2835"/>
        <w:tab w:val="right" w:leader="dot" w:pos="9645"/>
      </w:tabs>
      <w:ind w:left="1920"/>
    </w:pPr>
  </w:style>
  <w:style w:type="paragraph" w:customStyle="1" w:styleId="Heading1c">
    <w:name w:val="Heading 1c"/>
    <w:basedOn w:val="Heading1"/>
    <w:next w:val="Normal"/>
    <w:rsid w:val="000863AB"/>
    <w:pPr>
      <w:ind w:left="0" w:firstLine="0"/>
      <w:jc w:val="center"/>
      <w:outlineLvl w:val="9"/>
    </w:pPr>
  </w:style>
  <w:style w:type="paragraph" w:customStyle="1" w:styleId="Heading1cS2">
    <w:name w:val="Heading 1c_S2"/>
    <w:basedOn w:val="Heading1c"/>
    <w:next w:val="NormalS2"/>
    <w:rsid w:val="00BB13FE"/>
    <w:pPr>
      <w:tabs>
        <w:tab w:val="clear" w:pos="1134"/>
        <w:tab w:val="clear" w:pos="1701"/>
        <w:tab w:val="clear" w:pos="2268"/>
        <w:tab w:val="clear" w:pos="2835"/>
      </w:tabs>
      <w:jc w:val="left"/>
    </w:pPr>
    <w:rPr>
      <w:sz w:val="24"/>
    </w:rPr>
  </w:style>
  <w:style w:type="paragraph" w:customStyle="1" w:styleId="Heading2i">
    <w:name w:val="Heading 2i"/>
    <w:basedOn w:val="Heading2"/>
    <w:next w:val="Normal"/>
    <w:rsid w:val="004A63A9"/>
    <w:rPr>
      <w:b w:val="0"/>
      <w:i/>
    </w:rPr>
  </w:style>
  <w:style w:type="paragraph" w:customStyle="1" w:styleId="Heading2iS2">
    <w:name w:val="Heading 2i_S2"/>
    <w:basedOn w:val="Heading2i"/>
    <w:next w:val="NormalS2"/>
    <w:rsid w:val="00A70E95"/>
    <w:pPr>
      <w:tabs>
        <w:tab w:val="clear" w:pos="1134"/>
        <w:tab w:val="clear" w:pos="1701"/>
        <w:tab w:val="clear" w:pos="2268"/>
        <w:tab w:val="clear" w:pos="2835"/>
      </w:tabs>
    </w:pPr>
    <w:rPr>
      <w:b/>
      <w:i w:val="0"/>
    </w:rPr>
  </w:style>
  <w:style w:type="character" w:styleId="PageNumber">
    <w:name w:val="page number"/>
    <w:basedOn w:val="DefaultParagraphFont"/>
    <w:rsid w:val="004A63A9"/>
    <w:rPr>
      <w:rFonts w:ascii="Calibri" w:hAnsi="Calibri"/>
    </w:rPr>
  </w:style>
  <w:style w:type="character" w:styleId="Hyperlink">
    <w:name w:val="Hyperlink"/>
    <w:basedOn w:val="DefaultParagraphFont"/>
    <w:rsid w:val="003F5F9B"/>
    <w:rPr>
      <w:rFonts w:ascii="Calibri" w:hAnsi="Calibri"/>
      <w:color w:val="0070C0"/>
      <w:u w:val="single"/>
    </w:rPr>
  </w:style>
  <w:style w:type="paragraph" w:customStyle="1" w:styleId="Head">
    <w:name w:val="Head"/>
    <w:basedOn w:val="Normal"/>
    <w:rsid w:val="00A70E95"/>
    <w:pPr>
      <w:tabs>
        <w:tab w:val="clear" w:pos="1134"/>
        <w:tab w:val="clear" w:pos="1701"/>
        <w:tab w:val="clear" w:pos="2268"/>
        <w:tab w:val="clear" w:pos="2835"/>
      </w:tabs>
      <w:spacing w:before="0"/>
    </w:pPr>
  </w:style>
  <w:style w:type="paragraph" w:customStyle="1" w:styleId="Heading1pv">
    <w:name w:val="Heading 1pv"/>
    <w:basedOn w:val="Heading1"/>
    <w:next w:val="Normalpv"/>
    <w:rsid w:val="00A70E95"/>
    <w:pPr>
      <w:tabs>
        <w:tab w:val="clear" w:pos="1134"/>
        <w:tab w:val="clear" w:pos="1701"/>
        <w:tab w:val="clear" w:pos="2268"/>
        <w:tab w:val="clear" w:pos="2835"/>
        <w:tab w:val="left" w:pos="794"/>
        <w:tab w:val="left" w:pos="1191"/>
        <w:tab w:val="left" w:pos="1588"/>
        <w:tab w:val="left" w:pos="1985"/>
      </w:tabs>
      <w:ind w:left="794" w:hanging="794"/>
    </w:pPr>
  </w:style>
  <w:style w:type="paragraph" w:customStyle="1" w:styleId="Normalpv">
    <w:name w:val="Normal pv"/>
    <w:basedOn w:val="Normal"/>
    <w:rsid w:val="00A70E95"/>
    <w:pPr>
      <w:tabs>
        <w:tab w:val="clear" w:pos="1134"/>
        <w:tab w:val="clear" w:pos="1701"/>
        <w:tab w:val="clear" w:pos="2268"/>
        <w:tab w:val="clear" w:pos="2835"/>
        <w:tab w:val="left" w:pos="794"/>
        <w:tab w:val="left" w:pos="1191"/>
        <w:tab w:val="left" w:pos="1588"/>
        <w:tab w:val="left" w:pos="1985"/>
      </w:tabs>
    </w:pPr>
  </w:style>
  <w:style w:type="paragraph" w:customStyle="1" w:styleId="Heading2pv">
    <w:name w:val="Heading 2pv"/>
    <w:basedOn w:val="Heading1pv"/>
    <w:next w:val="Normalpv"/>
    <w:rsid w:val="00A70E95"/>
    <w:pPr>
      <w:spacing w:before="320"/>
      <w:outlineLvl w:val="1"/>
    </w:pPr>
  </w:style>
  <w:style w:type="paragraph" w:customStyle="1" w:styleId="Heading3pv">
    <w:name w:val="Heading 3pv"/>
    <w:basedOn w:val="Heading1pv"/>
    <w:next w:val="Normalpv"/>
    <w:rsid w:val="00A70E95"/>
    <w:pPr>
      <w:spacing w:before="200"/>
      <w:outlineLvl w:val="2"/>
    </w:pPr>
  </w:style>
  <w:style w:type="paragraph" w:customStyle="1" w:styleId="NormalendS2">
    <w:name w:val="Normal_end_S2"/>
    <w:basedOn w:val="Normal"/>
    <w:qFormat/>
    <w:rsid w:val="00F80E6E"/>
    <w:pPr>
      <w:tabs>
        <w:tab w:val="clear" w:pos="1134"/>
        <w:tab w:val="clear" w:pos="1701"/>
        <w:tab w:val="clear" w:pos="2268"/>
        <w:tab w:val="clear" w:pos="2835"/>
      </w:tabs>
      <w:overflowPunct/>
      <w:autoSpaceDE/>
      <w:autoSpaceDN/>
      <w:adjustRightInd/>
      <w:spacing w:before="0"/>
      <w:textAlignment w:val="auto"/>
    </w:pPr>
  </w:style>
  <w:style w:type="paragraph" w:customStyle="1" w:styleId="Dectitle">
    <w:name w:val="Dec_title"/>
    <w:basedOn w:val="Rectitle"/>
    <w:next w:val="Normalaftertitle"/>
    <w:qFormat/>
    <w:rsid w:val="009A1A86"/>
  </w:style>
  <w:style w:type="paragraph" w:customStyle="1" w:styleId="DecNo">
    <w:name w:val="Dec_No"/>
    <w:basedOn w:val="RecNo"/>
    <w:next w:val="Dectitle"/>
    <w:qFormat/>
    <w:rsid w:val="009A1A86"/>
  </w:style>
  <w:style w:type="paragraph" w:customStyle="1" w:styleId="DectitleS2">
    <w:name w:val="Dec_title_S2"/>
    <w:basedOn w:val="RestitleS2"/>
    <w:next w:val="Normal"/>
    <w:qFormat/>
    <w:rsid w:val="009A1A86"/>
  </w:style>
  <w:style w:type="paragraph" w:customStyle="1" w:styleId="DecNoS2">
    <w:name w:val="Dec_No_S2"/>
    <w:basedOn w:val="ResNoS2"/>
    <w:next w:val="DectitleS2"/>
    <w:qFormat/>
    <w:rsid w:val="009A1A86"/>
  </w:style>
  <w:style w:type="paragraph" w:customStyle="1" w:styleId="SectionNo">
    <w:name w:val="Section_No"/>
    <w:basedOn w:val="ArtNo"/>
    <w:next w:val="Normal"/>
    <w:qFormat/>
    <w:rsid w:val="00CD20D9"/>
    <w:rPr>
      <w:lang w:val="en-GB"/>
    </w:rPr>
  </w:style>
  <w:style w:type="paragraph" w:customStyle="1" w:styleId="SectionNoS2">
    <w:name w:val="Section_No_S2"/>
    <w:basedOn w:val="ArtNoS2"/>
    <w:next w:val="Normal"/>
    <w:qFormat/>
    <w:rsid w:val="00CD20D9"/>
    <w:rPr>
      <w:lang w:val="en-GB"/>
    </w:rPr>
  </w:style>
  <w:style w:type="paragraph" w:customStyle="1" w:styleId="Sectiontitle">
    <w:name w:val="Section_title"/>
    <w:basedOn w:val="Arttitle"/>
    <w:next w:val="Normalaftertitle"/>
    <w:qFormat/>
    <w:rsid w:val="00CD20D9"/>
    <w:rPr>
      <w:lang w:val="en-GB"/>
    </w:rPr>
  </w:style>
  <w:style w:type="paragraph" w:customStyle="1" w:styleId="SectiontitleS2">
    <w:name w:val="Section_title_S2"/>
    <w:basedOn w:val="ArttitleS2"/>
    <w:next w:val="Normal"/>
    <w:qFormat/>
    <w:rsid w:val="00CD20D9"/>
    <w:rPr>
      <w:lang w:val="en-GB"/>
    </w:rPr>
  </w:style>
  <w:style w:type="paragraph" w:customStyle="1" w:styleId="firstfooter0">
    <w:name w:val="firstfooter"/>
    <w:basedOn w:val="Normal"/>
    <w:rsid w:val="004B07DB"/>
    <w:pPr>
      <w:tabs>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Agendaitem">
    <w:name w:val="Agenda_item"/>
    <w:basedOn w:val="Normal"/>
    <w:next w:val="Normal"/>
    <w:qFormat/>
    <w:rsid w:val="00255FA1"/>
    <w:pPr>
      <w:tabs>
        <w:tab w:val="clear" w:pos="1701"/>
        <w:tab w:val="clear" w:pos="2835"/>
        <w:tab w:val="left" w:pos="1871"/>
      </w:tabs>
      <w:overflowPunct/>
      <w:autoSpaceDE/>
      <w:autoSpaceDN/>
      <w:adjustRightInd/>
      <w:spacing w:before="240"/>
      <w:jc w:val="center"/>
      <w:textAlignment w:val="auto"/>
    </w:pPr>
    <w:rPr>
      <w:rFonts w:asciiTheme="minorHAnsi" w:hAnsiTheme="minorHAnsi"/>
      <w:sz w:val="28"/>
    </w:rPr>
  </w:style>
  <w:style w:type="paragraph" w:customStyle="1" w:styleId="Committee">
    <w:name w:val="Committee"/>
    <w:basedOn w:val="Normal"/>
    <w:qFormat/>
    <w:rsid w:val="00255FA1"/>
    <w:pPr>
      <w:framePr w:hSpace="180" w:wrap="around" w:hAnchor="margin" w:y="-675"/>
      <w:tabs>
        <w:tab w:val="clear" w:pos="1701"/>
        <w:tab w:val="clear" w:pos="2835"/>
        <w:tab w:val="left" w:pos="1871"/>
      </w:tabs>
      <w:spacing w:before="0" w:after="48" w:line="240" w:lineRule="atLeast"/>
    </w:pPr>
    <w:rPr>
      <w:rFonts w:asciiTheme="minorHAnsi" w:hAnsiTheme="minorHAnsi" w:cstheme="minorHAnsi"/>
      <w:b/>
      <w:smallCaps/>
      <w:szCs w:val="24"/>
      <w:lang w:val="en-US"/>
    </w:rPr>
  </w:style>
  <w:style w:type="character" w:customStyle="1" w:styleId="HeaderChar">
    <w:name w:val="Header Char"/>
    <w:basedOn w:val="DefaultParagraphFont"/>
    <w:link w:val="Header"/>
    <w:uiPriority w:val="99"/>
    <w:rsid w:val="00255FA1"/>
    <w:rPr>
      <w:rFonts w:ascii="Calibri" w:hAnsi="Calibri"/>
      <w:sz w:val="18"/>
      <w:lang w:val="es-ES_tradnl" w:eastAsia="en-US"/>
    </w:rPr>
  </w:style>
  <w:style w:type="paragraph" w:customStyle="1" w:styleId="Proposal">
    <w:name w:val="Proposal"/>
    <w:basedOn w:val="Normal"/>
    <w:next w:val="Normal"/>
    <w:rsid w:val="003D0027"/>
    <w:pPr>
      <w:keepNext/>
      <w:tabs>
        <w:tab w:val="clear" w:pos="1701"/>
        <w:tab w:val="clear" w:pos="2268"/>
        <w:tab w:val="clear" w:pos="2835"/>
      </w:tabs>
      <w:spacing w:before="240"/>
    </w:pPr>
    <w:rPr>
      <w:rFonts w:asciiTheme="minorHAnsi" w:hAnsi="Times New Roman Bold"/>
      <w:b/>
      <w:lang w:val="en-GB"/>
    </w:rPr>
  </w:style>
  <w:style w:type="paragraph" w:styleId="BalloonText">
    <w:name w:val="Balloon Text"/>
    <w:basedOn w:val="Normal"/>
    <w:link w:val="BalloonTextChar"/>
    <w:semiHidden/>
    <w:unhideWhenUsed/>
    <w:rsid w:val="00AD400E"/>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D400E"/>
    <w:rPr>
      <w:rFonts w:ascii="Tahoma" w:hAnsi="Tahoma" w:cs="Tahoma"/>
      <w:sz w:val="16"/>
      <w:szCs w:val="16"/>
      <w:lang w:val="es-ES_tradnl" w:eastAsia="en-US"/>
    </w:rPr>
  </w:style>
  <w:style w:type="paragraph" w:customStyle="1" w:styleId="OP">
    <w:name w:val="OP"/>
    <w:basedOn w:val="Normal"/>
    <w:next w:val="Normal"/>
    <w:qFormat/>
    <w:rsid w:val="00504FD4"/>
    <w:pPr>
      <w:tabs>
        <w:tab w:val="clear" w:pos="1134"/>
        <w:tab w:val="clear" w:pos="2268"/>
        <w:tab w:val="right" w:pos="567"/>
        <w:tab w:val="left" w:pos="794"/>
        <w:tab w:val="left" w:pos="1191"/>
        <w:tab w:val="left" w:pos="1588"/>
        <w:tab w:val="left" w:pos="1985"/>
      </w:tabs>
      <w:spacing w:before="1200" w:after="240" w:line="480" w:lineRule="atLeast"/>
      <w:jc w:val="center"/>
    </w:pPr>
    <w:rPr>
      <w:b/>
      <w:sz w:val="32"/>
      <w:lang w:val="en-GB"/>
    </w:rPr>
  </w:style>
  <w:style w:type="paragraph" w:customStyle="1" w:styleId="OPtitle">
    <w:name w:val="OP_title"/>
    <w:basedOn w:val="Normal"/>
    <w:next w:val="Normalaftertitle"/>
    <w:qFormat/>
    <w:rsid w:val="00504FD4"/>
    <w:pPr>
      <w:jc w:val="center"/>
    </w:pPr>
    <w:rPr>
      <w:b/>
      <w:bCs/>
      <w:lang w:val="en-GB"/>
    </w:rPr>
  </w:style>
  <w:style w:type="paragraph" w:customStyle="1" w:styleId="VolumeTitle">
    <w:name w:val="VolumeTitle"/>
    <w:basedOn w:val="Normal"/>
    <w:next w:val="Normal"/>
    <w:rsid w:val="004B09D4"/>
    <w:pPr>
      <w:tabs>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504FD4"/>
  </w:style>
  <w:style w:type="character" w:customStyle="1" w:styleId="UnresolvedMention1">
    <w:name w:val="Unresolved Mention1"/>
    <w:basedOn w:val="DefaultParagraphFont"/>
    <w:uiPriority w:val="99"/>
    <w:semiHidden/>
    <w:unhideWhenUsed/>
    <w:rsid w:val="003B5DC9"/>
    <w:rPr>
      <w:color w:val="605E5C"/>
      <w:shd w:val="clear" w:color="auto" w:fill="E1DFDD"/>
    </w:rPr>
  </w:style>
  <w:style w:type="character" w:styleId="FollowedHyperlink">
    <w:name w:val="FollowedHyperlink"/>
    <w:basedOn w:val="DefaultParagraphFont"/>
    <w:unhideWhenUsed/>
    <w:rsid w:val="00057402"/>
    <w:rPr>
      <w:color w:val="800080" w:themeColor="followedHyperlink"/>
      <w:u w:val="single"/>
    </w:rPr>
  </w:style>
  <w:style w:type="character" w:styleId="PlaceholderText">
    <w:name w:val="Placeholder Text"/>
    <w:basedOn w:val="DefaultParagraphFont"/>
    <w:uiPriority w:val="99"/>
    <w:semiHidden/>
    <w:rsid w:val="00DB336C"/>
    <w:rPr>
      <w:color w:val="666666"/>
    </w:rPr>
  </w:style>
  <w:style w:type="paragraph" w:customStyle="1" w:styleId="SpecialFooter">
    <w:name w:val="Special Footer"/>
    <w:basedOn w:val="Footer"/>
    <w:rsid w:val="00081E04"/>
    <w:pPr>
      <w:tabs>
        <w:tab w:val="left" w:pos="567"/>
        <w:tab w:val="left" w:pos="1134"/>
        <w:tab w:val="left" w:pos="1701"/>
        <w:tab w:val="left" w:pos="2268"/>
        <w:tab w:val="left" w:pos="2835"/>
      </w:tabs>
      <w:jc w:val="both"/>
    </w:pPr>
    <w:rPr>
      <w:rFonts w:ascii="Times New Roman" w:hAnsi="Times New Roman"/>
      <w:caps w:val="0"/>
      <w:noProof w:val="0"/>
      <w:lang w:val="en-GB"/>
    </w:rPr>
  </w:style>
  <w:style w:type="paragraph" w:customStyle="1" w:styleId="StyleCommitteeAfter0ptLinespacingsingle">
    <w:name w:val="Style Committee + After:  0 pt Line spacing:  single"/>
    <w:basedOn w:val="Committee"/>
    <w:rsid w:val="00081E04"/>
    <w:pPr>
      <w:framePr w:hSpace="0" w:wrap="around" w:hAnchor="text" w:yAlign="inline"/>
      <w:tabs>
        <w:tab w:val="clear" w:pos="1134"/>
        <w:tab w:val="clear" w:pos="1871"/>
        <w:tab w:val="clear" w:pos="2268"/>
      </w:tabs>
      <w:overflowPunct/>
      <w:autoSpaceDE/>
      <w:autoSpaceDN/>
      <w:adjustRightInd/>
      <w:spacing w:after="0" w:line="240" w:lineRule="auto"/>
      <w:textAlignment w:val="auto"/>
    </w:pPr>
    <w:rPr>
      <w:rFonts w:cs="Times New Roman"/>
      <w:bCs/>
      <w:smallCaps w:val="0"/>
      <w:szCs w:val="20"/>
      <w:lang w:eastAsia="zh-CN"/>
    </w:rPr>
  </w:style>
  <w:style w:type="character" w:customStyle="1" w:styleId="UnresolvedMention10">
    <w:name w:val="Unresolved Mention1"/>
    <w:basedOn w:val="DefaultParagraphFont"/>
    <w:uiPriority w:val="99"/>
    <w:semiHidden/>
    <w:unhideWhenUsed/>
    <w:rsid w:val="00081E04"/>
    <w:rPr>
      <w:color w:val="605E5C"/>
      <w:shd w:val="clear" w:color="auto" w:fill="E1DFDD"/>
    </w:rPr>
  </w:style>
  <w:style w:type="paragraph" w:styleId="Index7">
    <w:name w:val="index 7"/>
    <w:basedOn w:val="Normal"/>
    <w:next w:val="Normal"/>
    <w:rsid w:val="00081E04"/>
    <w:pPr>
      <w:ind w:left="1698"/>
    </w:pPr>
    <w:rPr>
      <w:lang w:val="en-GB"/>
    </w:rPr>
  </w:style>
  <w:style w:type="paragraph" w:styleId="Index6">
    <w:name w:val="index 6"/>
    <w:basedOn w:val="Normal"/>
    <w:next w:val="Normal"/>
    <w:rsid w:val="00081E04"/>
    <w:pPr>
      <w:ind w:left="1415"/>
    </w:pPr>
    <w:rPr>
      <w:lang w:val="en-GB"/>
    </w:rPr>
  </w:style>
  <w:style w:type="paragraph" w:styleId="Index5">
    <w:name w:val="index 5"/>
    <w:basedOn w:val="Normal"/>
    <w:next w:val="Normal"/>
    <w:rsid w:val="00081E04"/>
    <w:pPr>
      <w:ind w:left="1132"/>
    </w:pPr>
    <w:rPr>
      <w:lang w:val="en-GB"/>
    </w:rPr>
  </w:style>
  <w:style w:type="paragraph" w:styleId="Index4">
    <w:name w:val="index 4"/>
    <w:basedOn w:val="Normal"/>
    <w:next w:val="Normal"/>
    <w:rsid w:val="00081E04"/>
    <w:pPr>
      <w:ind w:left="849"/>
    </w:pPr>
    <w:rPr>
      <w:lang w:val="en-GB"/>
    </w:rPr>
  </w:style>
  <w:style w:type="paragraph" w:styleId="Index3">
    <w:name w:val="index 3"/>
    <w:basedOn w:val="Normal"/>
    <w:next w:val="Normal"/>
    <w:rsid w:val="00081E04"/>
    <w:pPr>
      <w:ind w:left="566"/>
    </w:pPr>
    <w:rPr>
      <w:lang w:val="en-GB"/>
    </w:rPr>
  </w:style>
  <w:style w:type="paragraph" w:styleId="Index2">
    <w:name w:val="index 2"/>
    <w:basedOn w:val="Normal"/>
    <w:next w:val="Normal"/>
    <w:rsid w:val="00081E04"/>
    <w:pPr>
      <w:ind w:left="283"/>
    </w:pPr>
    <w:rPr>
      <w:lang w:val="en-GB"/>
    </w:rPr>
  </w:style>
  <w:style w:type="paragraph" w:styleId="Index1">
    <w:name w:val="index 1"/>
    <w:basedOn w:val="Normal"/>
    <w:next w:val="Normal"/>
    <w:rsid w:val="00081E04"/>
    <w:rPr>
      <w:lang w:val="en-GB"/>
    </w:rPr>
  </w:style>
  <w:style w:type="character" w:styleId="LineNumber">
    <w:name w:val="line number"/>
    <w:basedOn w:val="DefaultParagraphFont"/>
    <w:rsid w:val="00081E04"/>
  </w:style>
  <w:style w:type="paragraph" w:styleId="IndexHeading">
    <w:name w:val="index heading"/>
    <w:basedOn w:val="Normal"/>
    <w:next w:val="Index1"/>
    <w:rsid w:val="00081E04"/>
    <w:rPr>
      <w:lang w:val="en-GB"/>
    </w:rPr>
  </w:style>
  <w:style w:type="paragraph" w:styleId="List">
    <w:name w:val="List"/>
    <w:basedOn w:val="Normal"/>
    <w:rsid w:val="00081E04"/>
    <w:pPr>
      <w:tabs>
        <w:tab w:val="left" w:pos="2127"/>
      </w:tabs>
      <w:ind w:left="2127" w:hanging="2127"/>
    </w:pPr>
    <w:rPr>
      <w:lang w:val="en-GB"/>
    </w:rPr>
  </w:style>
  <w:style w:type="table" w:styleId="TableGrid">
    <w:name w:val="Table Grid"/>
    <w:basedOn w:val="TableNormal"/>
    <w:uiPriority w:val="39"/>
    <w:rsid w:val="00081E04"/>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81E04"/>
    <w:pPr>
      <w:ind w:left="720"/>
      <w:contextualSpacing/>
    </w:pPr>
    <w:rPr>
      <w:lang w:val="en-GB"/>
    </w:rPr>
  </w:style>
  <w:style w:type="character" w:customStyle="1" w:styleId="ListParagraphChar">
    <w:name w:val="List Paragraph Char"/>
    <w:link w:val="ListParagraph"/>
    <w:uiPriority w:val="34"/>
    <w:locked/>
    <w:rsid w:val="00081E04"/>
    <w:rPr>
      <w:rFonts w:ascii="Calibri" w:hAnsi="Calibri"/>
      <w:sz w:val="24"/>
      <w:lang w:val="en-GB" w:eastAsia="en-US"/>
    </w:rPr>
  </w:style>
  <w:style w:type="character" w:styleId="CommentReference">
    <w:name w:val="annotation reference"/>
    <w:basedOn w:val="DefaultParagraphFont"/>
    <w:semiHidden/>
    <w:unhideWhenUsed/>
    <w:rsid w:val="00081E04"/>
    <w:rPr>
      <w:sz w:val="16"/>
      <w:szCs w:val="16"/>
    </w:rPr>
  </w:style>
  <w:style w:type="paragraph" w:styleId="CommentText">
    <w:name w:val="annotation text"/>
    <w:basedOn w:val="Normal"/>
    <w:link w:val="CommentTextChar"/>
    <w:unhideWhenUsed/>
    <w:rsid w:val="00081E04"/>
    <w:rPr>
      <w:sz w:val="20"/>
      <w:lang w:val="en-GB"/>
    </w:rPr>
  </w:style>
  <w:style w:type="character" w:customStyle="1" w:styleId="CommentTextChar">
    <w:name w:val="Comment Text Char"/>
    <w:basedOn w:val="DefaultParagraphFont"/>
    <w:link w:val="CommentText"/>
    <w:rsid w:val="00081E04"/>
    <w:rPr>
      <w:rFonts w:ascii="Calibri" w:hAnsi="Calibri"/>
      <w:lang w:val="en-GB" w:eastAsia="en-US"/>
    </w:rPr>
  </w:style>
  <w:style w:type="paragraph" w:styleId="CommentSubject">
    <w:name w:val="annotation subject"/>
    <w:basedOn w:val="CommentText"/>
    <w:next w:val="CommentText"/>
    <w:link w:val="CommentSubjectChar"/>
    <w:semiHidden/>
    <w:unhideWhenUsed/>
    <w:rsid w:val="00081E04"/>
    <w:rPr>
      <w:b/>
      <w:bCs/>
    </w:rPr>
  </w:style>
  <w:style w:type="character" w:customStyle="1" w:styleId="CommentSubjectChar">
    <w:name w:val="Comment Subject Char"/>
    <w:basedOn w:val="CommentTextChar"/>
    <w:link w:val="CommentSubject"/>
    <w:semiHidden/>
    <w:rsid w:val="00081E04"/>
    <w:rPr>
      <w:rFonts w:ascii="Calibri" w:hAnsi="Calibri"/>
      <w:b/>
      <w:bCs/>
      <w:lang w:val="en-GB" w:eastAsia="en-US"/>
    </w:rPr>
  </w:style>
  <w:style w:type="paragraph" w:styleId="Revision">
    <w:name w:val="Revision"/>
    <w:hidden/>
    <w:uiPriority w:val="99"/>
    <w:semiHidden/>
    <w:rsid w:val="00081E04"/>
    <w:rPr>
      <w:rFonts w:ascii="Calibri" w:hAnsi="Calibri"/>
      <w:sz w:val="24"/>
      <w:lang w:val="en-GB" w:eastAsia="en-US"/>
    </w:rPr>
  </w:style>
  <w:style w:type="paragraph" w:customStyle="1" w:styleId="OpNo">
    <w:name w:val="Op_No"/>
    <w:basedOn w:val="ResNo"/>
    <w:rsid w:val="00081E04"/>
    <w:rPr>
      <w:lang w:val="en-GB"/>
    </w:rPr>
  </w:style>
  <w:style w:type="paragraph" w:customStyle="1" w:styleId="Optitle0">
    <w:name w:val="Op_title"/>
    <w:basedOn w:val="Restitle"/>
    <w:rsid w:val="00081E04"/>
    <w:rPr>
      <w:rFonts w:eastAsia="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http://www.itu.int/en/council/Pages/ieg-wtpf-26.aspx" TargetMode="External"/><Relationship Id="rId18" Type="http://schemas.openxmlformats.org/officeDocument/2006/relationships/hyperlink" Target="https://www.itu.int/en/mediacentre/backgrounders/Pages/skills-development-digital-economy.aspx" TargetMode="External"/><Relationship Id="rId26" Type="http://schemas.openxmlformats.org/officeDocument/2006/relationships/hyperlink" Target="https://www.itu.int/en/digital-resilience/submarine-cables/Pages/default.aspx" TargetMode="External"/><Relationship Id="rId3" Type="http://schemas.openxmlformats.org/officeDocument/2006/relationships/styles" Target="styles.xml"/><Relationship Id="rId21" Type="http://schemas.openxmlformats.org/officeDocument/2006/relationships/hyperlink" Target="https://academy.itu.int/itu-d/projects-activities/research-publications/digital-skills-toolki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en/council/Documents/basic-texts-2023/RES-002-s.pdf" TargetMode="External"/><Relationship Id="rId17" Type="http://schemas.openxmlformats.org/officeDocument/2006/relationships/hyperlink" Target="https://www.itu.int/en/mediacentre/backgrounders/Pages/skills-development-digital-economy.aspx" TargetMode="External"/><Relationship Id="rId25" Type="http://schemas.openxmlformats.org/officeDocument/2006/relationships/hyperlink" Target="https://www.itu.int/en/digital-resilience/submarine-cables/Pages/default.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md/S24-SG-CIR-0044/es" TargetMode="External"/><Relationship Id="rId20" Type="http://schemas.openxmlformats.org/officeDocument/2006/relationships/hyperlink" Target="https://aiforgood.itu.int/ai-skills-coalition/" TargetMode="External"/><Relationship Id="rId29" Type="http://schemas.openxmlformats.org/officeDocument/2006/relationships/hyperlink" Target="https://www.itu.int/itu-d/sites/innovation-alliance/" TargetMode="Externa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s://www.itu.int/md/S25-CL-C-0126/es" TargetMode="External"/><Relationship Id="rId24" Type="http://schemas.openxmlformats.org/officeDocument/2006/relationships/hyperlink" Target="https://www.itu.int/initiatives/green-digital-action/"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md/S24-CL-C-0136/es" TargetMode="External"/><Relationship Id="rId23" Type="http://schemas.openxmlformats.org/officeDocument/2006/relationships/hyperlink" Target="https://www.itu.int/initiatives/green-digital-action/" TargetMode="External"/><Relationship Id="rId28" Type="http://schemas.openxmlformats.org/officeDocument/2006/relationships/hyperlink" Target="https://www.itu.int/ssf/" TargetMode="External"/><Relationship Id="rId10" Type="http://schemas.openxmlformats.org/officeDocument/2006/relationships/hyperlink" Target="https://www.itu.int/en/council/Documents/basic-texts-2023/RES-002-E.pdf" TargetMode="External"/><Relationship Id="rId19" Type="http://schemas.openxmlformats.org/officeDocument/2006/relationships/hyperlink" Target="https://academy.itu.int/itu-d/projects-activities/research-publications/digital-skills-toolki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en/council/Documents/basic-texts-2023/RES-002-s.pdf" TargetMode="External"/><Relationship Id="rId14" Type="http://schemas.openxmlformats.org/officeDocument/2006/relationships/hyperlink" Target="https://www.itu.int/en/council/Documents/basic-texts-2023/RES-002-s.pdf" TargetMode="External"/><Relationship Id="rId22" Type="http://schemas.openxmlformats.org/officeDocument/2006/relationships/hyperlink" Target="https://aiforgood.itu.int/ai-skills-coalition/" TargetMode="External"/><Relationship Id="rId27" Type="http://schemas.openxmlformats.org/officeDocument/2006/relationships/hyperlink" Target="https://www.itu.int/ssf/" TargetMode="External"/><Relationship Id="rId30" Type="http://schemas.openxmlformats.org/officeDocument/2006/relationships/hyperlink" Target="https://www.itu.int/itu-d/sites/innovation-alliance/" TargetMode="Externa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tu.int/en/ITU-D/Environment/Pages/Publications/GDC-25.aspx" TargetMode="External"/><Relationship Id="rId1" Type="http://schemas.openxmlformats.org/officeDocument/2006/relationships/hyperlink" Target="https://www.weforum.org/agenda/2024/04/how-to-manage-ais-energy-demand-today-tomorrow-and-in-the-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51</Pages>
  <Words>20567</Words>
  <Characters>117234</Characters>
  <Application>Microsoft Office Word</Application>
  <DocSecurity>0</DocSecurity>
  <Lines>976</Lines>
  <Paragraphs>275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Informe de la Secretaria General  para el séptimo Foro Mundial de Política de Telecomunicaciones/Tecnologías de la Información y la Comunicación de 2026, ultimado por el GIE-FMPT-26</vt:lpstr>
      <vt:lpstr/>
    </vt:vector>
  </TitlesOfParts>
  <Manager/>
  <Company>ITU</Company>
  <LinksUpToDate>false</LinksUpToDate>
  <CharactersWithSpaces>137526</CharactersWithSpaces>
  <SharedDoc>false</SharedDoc>
  <HyperlinkBase/>
  <HLinks>
    <vt:vector size="6" baseType="variant">
      <vt:variant>
        <vt:i4>4194374</vt:i4>
      </vt:variant>
      <vt:variant>
        <vt:i4>12</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la Secretaria General  para el séptimo Foro Mundial de Política de Telecomunicaciones/Tecnologías de la Información y la Comunicación de 2026, ultimado por el GIE-FMPT-26</dc:title>
  <dc:subject>World telecommunication/information and communication technology policy forum</dc:subject>
  <cp:keywords>WTPF, WTPF-26</cp:keywords>
  <dc:description/>
  <dcterms:created xsi:type="dcterms:W3CDTF">2026-08-19T14:54:00Z</dcterms:created>
  <dcterms:modified xsi:type="dcterms:W3CDTF">2026-08-19T16:50:00Z</dcterms:modified>
  <cp:category>Conference document</cp:category>
</cp:coreProperties>
</file>