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088"/>
        <w:gridCol w:w="2943"/>
      </w:tblGrid>
      <w:tr w:rsidR="00CE496F" w:rsidRPr="00AA1DF1" w14:paraId="4484B0C5" w14:textId="77777777" w:rsidTr="00490624">
        <w:trPr>
          <w:cantSplit/>
          <w:trHeight w:hRule="exact" w:val="1418"/>
          <w:jc w:val="center"/>
        </w:trPr>
        <w:tc>
          <w:tcPr>
            <w:tcW w:w="10031" w:type="dxa"/>
            <w:gridSpan w:val="2"/>
            <w:tcMar>
              <w:left w:w="0" w:type="dxa"/>
              <w:right w:w="0" w:type="dxa"/>
            </w:tcMar>
            <w:vAlign w:val="center"/>
          </w:tcPr>
          <w:p w14:paraId="7A1CF8E0" w14:textId="4056B2ED" w:rsidR="00CE496F" w:rsidRPr="00AA1DF1" w:rsidRDefault="00911311" w:rsidP="00CE496F">
            <w:pPr>
              <w:spacing w:before="0" w:line="240" w:lineRule="atLeast"/>
              <w:rPr>
                <w:rFonts w:cstheme="minorHAnsi"/>
              </w:rPr>
            </w:pPr>
            <w:r>
              <w:rPr>
                <w:rFonts w:cstheme="minorHAnsi"/>
                <w:noProof/>
              </w:rPr>
              <w:drawing>
                <wp:inline distT="0" distB="0" distL="0" distR="0" wp14:anchorId="591B059D" wp14:editId="3766D0A8">
                  <wp:extent cx="6660000" cy="971793"/>
                  <wp:effectExtent l="0" t="0" r="7620" b="0"/>
                  <wp:docPr id="62446730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467302" name="Picture 62446730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60000" cy="971793"/>
                          </a:xfrm>
                          <a:prstGeom prst="rect">
                            <a:avLst/>
                          </a:prstGeom>
                        </pic:spPr>
                      </pic:pic>
                    </a:graphicData>
                  </a:graphic>
                </wp:inline>
              </w:drawing>
            </w:r>
          </w:p>
        </w:tc>
      </w:tr>
      <w:tr w:rsidR="002E1AF7" w:rsidRPr="00AA1DF1" w14:paraId="3120A8D9" w14:textId="77777777" w:rsidTr="00BD5C12">
        <w:trPr>
          <w:cantSplit/>
          <w:jc w:val="center"/>
        </w:trPr>
        <w:tc>
          <w:tcPr>
            <w:tcW w:w="10031" w:type="dxa"/>
            <w:gridSpan w:val="2"/>
            <w:tcBorders>
              <w:bottom w:val="single" w:sz="12" w:space="0" w:color="71716F"/>
            </w:tcBorders>
          </w:tcPr>
          <w:p w14:paraId="57068B73" w14:textId="77777777" w:rsidR="002E1AF7" w:rsidRPr="00AA1DF1" w:rsidRDefault="002E1AF7" w:rsidP="00CE496F">
            <w:pPr>
              <w:spacing w:before="0" w:line="240" w:lineRule="atLeast"/>
              <w:rPr>
                <w:rFonts w:cstheme="minorHAnsi"/>
                <w:b/>
                <w:smallCaps/>
                <w:szCs w:val="24"/>
              </w:rPr>
            </w:pPr>
            <w:bookmarkStart w:id="0" w:name="dhead"/>
          </w:p>
        </w:tc>
      </w:tr>
      <w:tr w:rsidR="00BD1614" w:rsidRPr="00AA1DF1" w14:paraId="20A2296F" w14:textId="77777777" w:rsidTr="00490624">
        <w:trPr>
          <w:cantSplit/>
          <w:jc w:val="center"/>
        </w:trPr>
        <w:tc>
          <w:tcPr>
            <w:tcW w:w="7088" w:type="dxa"/>
            <w:tcBorders>
              <w:top w:val="single" w:sz="12" w:space="0" w:color="71716F"/>
            </w:tcBorders>
          </w:tcPr>
          <w:p w14:paraId="4CFA6027" w14:textId="77777777" w:rsidR="00BD1614" w:rsidRPr="00AA1DF1" w:rsidRDefault="00BD1614" w:rsidP="007A47E9">
            <w:pPr>
              <w:spacing w:before="0"/>
              <w:rPr>
                <w:rFonts w:cstheme="minorHAnsi"/>
                <w:b/>
                <w:smallCaps/>
                <w:szCs w:val="24"/>
              </w:rPr>
            </w:pPr>
          </w:p>
        </w:tc>
        <w:tc>
          <w:tcPr>
            <w:tcW w:w="2943" w:type="dxa"/>
            <w:tcBorders>
              <w:top w:val="single" w:sz="12" w:space="0" w:color="71716F"/>
            </w:tcBorders>
            <w:tcMar>
              <w:left w:w="142" w:type="dxa"/>
              <w:right w:w="0" w:type="dxa"/>
            </w:tcMar>
          </w:tcPr>
          <w:p w14:paraId="3C479168" w14:textId="77777777" w:rsidR="00BD1614" w:rsidRPr="00AA1DF1" w:rsidRDefault="00BD1614" w:rsidP="007A47E9">
            <w:pPr>
              <w:spacing w:before="0"/>
              <w:rPr>
                <w:rFonts w:cstheme="minorHAnsi"/>
                <w:szCs w:val="24"/>
              </w:rPr>
            </w:pPr>
          </w:p>
        </w:tc>
      </w:tr>
      <w:tr w:rsidR="00BD1614" w:rsidRPr="00AA1DF1" w14:paraId="5EBA9561" w14:textId="77777777" w:rsidTr="00490624">
        <w:trPr>
          <w:cantSplit/>
          <w:jc w:val="center"/>
        </w:trPr>
        <w:tc>
          <w:tcPr>
            <w:tcW w:w="7088" w:type="dxa"/>
          </w:tcPr>
          <w:p w14:paraId="081C5B53" w14:textId="579B80EB" w:rsidR="00BD1614" w:rsidRPr="00AA1DF1" w:rsidRDefault="00BD1614" w:rsidP="00801154">
            <w:pPr>
              <w:pStyle w:val="Committee"/>
              <w:framePr w:hSpace="0" w:wrap="auto" w:hAnchor="text" w:yAlign="inline"/>
              <w:spacing w:after="0" w:line="240" w:lineRule="auto"/>
              <w:rPr>
                <w:lang w:val="fr-FR"/>
              </w:rPr>
            </w:pPr>
          </w:p>
        </w:tc>
        <w:tc>
          <w:tcPr>
            <w:tcW w:w="2943" w:type="dxa"/>
            <w:tcMar>
              <w:left w:w="142" w:type="dxa"/>
              <w:right w:w="0" w:type="dxa"/>
            </w:tcMar>
          </w:tcPr>
          <w:p w14:paraId="42E82404" w14:textId="00F733B2" w:rsidR="00BD1614" w:rsidRPr="00AA1DF1" w:rsidRDefault="00490624" w:rsidP="007A47E9">
            <w:pPr>
              <w:spacing w:before="0"/>
              <w:rPr>
                <w:rFonts w:cstheme="minorHAnsi"/>
                <w:szCs w:val="24"/>
              </w:rPr>
            </w:pPr>
            <w:r w:rsidRPr="00AA1DF1">
              <w:rPr>
                <w:rFonts w:cstheme="minorHAnsi"/>
                <w:b/>
                <w:szCs w:val="24"/>
              </w:rPr>
              <w:t>Document WTPF-26/</w:t>
            </w:r>
            <w:r w:rsidR="00C550C5" w:rsidRPr="00AA1DF1">
              <w:rPr>
                <w:rFonts w:cstheme="minorHAnsi"/>
                <w:b/>
                <w:szCs w:val="24"/>
              </w:rPr>
              <w:t>2</w:t>
            </w:r>
            <w:r w:rsidRPr="00AA1DF1">
              <w:rPr>
                <w:rFonts w:cstheme="minorHAnsi"/>
                <w:b/>
                <w:szCs w:val="24"/>
              </w:rPr>
              <w:t>-F</w:t>
            </w:r>
          </w:p>
        </w:tc>
      </w:tr>
      <w:tr w:rsidR="00BD1614" w:rsidRPr="00AA1DF1" w14:paraId="5C605E2F" w14:textId="77777777" w:rsidTr="00490624">
        <w:trPr>
          <w:cantSplit/>
          <w:jc w:val="center"/>
        </w:trPr>
        <w:tc>
          <w:tcPr>
            <w:tcW w:w="7088" w:type="dxa"/>
          </w:tcPr>
          <w:p w14:paraId="3701819B" w14:textId="4343949C" w:rsidR="00BD1614" w:rsidRPr="00AA1DF1" w:rsidRDefault="00BD1614" w:rsidP="007A47E9">
            <w:pPr>
              <w:spacing w:before="0"/>
              <w:rPr>
                <w:rFonts w:cstheme="minorHAnsi"/>
                <w:b/>
                <w:szCs w:val="24"/>
              </w:rPr>
            </w:pPr>
          </w:p>
        </w:tc>
        <w:tc>
          <w:tcPr>
            <w:tcW w:w="2943" w:type="dxa"/>
            <w:tcMar>
              <w:left w:w="142" w:type="dxa"/>
              <w:right w:w="0" w:type="dxa"/>
            </w:tcMar>
          </w:tcPr>
          <w:p w14:paraId="4FD5E934" w14:textId="336BB187" w:rsidR="00BD1614" w:rsidRPr="00AA1DF1" w:rsidRDefault="00C550C5" w:rsidP="007A47E9">
            <w:pPr>
              <w:spacing w:before="0"/>
              <w:rPr>
                <w:rFonts w:cstheme="minorHAnsi"/>
                <w:b/>
                <w:szCs w:val="24"/>
              </w:rPr>
            </w:pPr>
            <w:r w:rsidRPr="00AA1DF1">
              <w:rPr>
                <w:b/>
              </w:rPr>
              <w:t>11 août 2026</w:t>
            </w:r>
          </w:p>
        </w:tc>
      </w:tr>
      <w:tr w:rsidR="00BD1614" w:rsidRPr="00AA1DF1" w14:paraId="6B2B4BC1" w14:textId="77777777" w:rsidTr="00490624">
        <w:trPr>
          <w:cantSplit/>
          <w:jc w:val="center"/>
        </w:trPr>
        <w:tc>
          <w:tcPr>
            <w:tcW w:w="7088" w:type="dxa"/>
          </w:tcPr>
          <w:p w14:paraId="780A194C" w14:textId="77777777" w:rsidR="00BD1614" w:rsidRPr="00AA1DF1" w:rsidRDefault="00BD1614" w:rsidP="007A47E9">
            <w:pPr>
              <w:spacing w:before="0"/>
              <w:rPr>
                <w:rFonts w:cstheme="minorHAnsi"/>
                <w:b/>
                <w:smallCaps/>
                <w:szCs w:val="24"/>
              </w:rPr>
            </w:pPr>
          </w:p>
        </w:tc>
        <w:tc>
          <w:tcPr>
            <w:tcW w:w="2943" w:type="dxa"/>
            <w:tcMar>
              <w:left w:w="142" w:type="dxa"/>
              <w:right w:w="0" w:type="dxa"/>
            </w:tcMar>
          </w:tcPr>
          <w:p w14:paraId="36796BDA" w14:textId="7A166A47" w:rsidR="00BD1614" w:rsidRPr="00AA1DF1" w:rsidRDefault="00801154" w:rsidP="007A47E9">
            <w:pPr>
              <w:spacing w:before="0"/>
              <w:rPr>
                <w:rFonts w:cstheme="minorHAnsi"/>
                <w:b/>
                <w:szCs w:val="24"/>
              </w:rPr>
            </w:pPr>
            <w:proofErr w:type="gramStart"/>
            <w:r w:rsidRPr="00AA1DF1">
              <w:rPr>
                <w:rFonts w:cstheme="minorHAnsi"/>
                <w:b/>
                <w:szCs w:val="24"/>
              </w:rPr>
              <w:t>Original:</w:t>
            </w:r>
            <w:proofErr w:type="gramEnd"/>
            <w:r w:rsidRPr="00AA1DF1">
              <w:rPr>
                <w:rFonts w:cstheme="minorHAnsi"/>
                <w:b/>
                <w:szCs w:val="24"/>
              </w:rPr>
              <w:t xml:space="preserve"> </w:t>
            </w:r>
            <w:r w:rsidR="00C550C5" w:rsidRPr="00AA1DF1">
              <w:rPr>
                <w:b/>
                <w:bCs/>
                <w:color w:val="000000"/>
                <w:szCs w:val="24"/>
              </w:rPr>
              <w:t>anglais</w:t>
            </w:r>
          </w:p>
        </w:tc>
      </w:tr>
      <w:tr w:rsidR="00BD1614" w:rsidRPr="00AA1DF1" w14:paraId="4259B884" w14:textId="77777777" w:rsidTr="002E1AF7">
        <w:trPr>
          <w:cantSplit/>
          <w:jc w:val="center"/>
        </w:trPr>
        <w:tc>
          <w:tcPr>
            <w:tcW w:w="10031" w:type="dxa"/>
            <w:gridSpan w:val="2"/>
          </w:tcPr>
          <w:p w14:paraId="770628D7" w14:textId="77777777" w:rsidR="00BD1614" w:rsidRPr="00AA1DF1" w:rsidRDefault="00BD1614" w:rsidP="007A47E9">
            <w:pPr>
              <w:spacing w:before="0" w:line="240" w:lineRule="atLeast"/>
              <w:rPr>
                <w:rFonts w:cstheme="minorHAnsi"/>
                <w:b/>
                <w:szCs w:val="24"/>
              </w:rPr>
            </w:pPr>
          </w:p>
        </w:tc>
      </w:tr>
      <w:tr w:rsidR="00BD1614" w:rsidRPr="00AA1DF1" w14:paraId="6A9FB924" w14:textId="77777777" w:rsidTr="0099381A">
        <w:trPr>
          <w:cantSplit/>
          <w:trHeight w:val="773"/>
          <w:jc w:val="center"/>
        </w:trPr>
        <w:tc>
          <w:tcPr>
            <w:tcW w:w="10031" w:type="dxa"/>
            <w:gridSpan w:val="2"/>
          </w:tcPr>
          <w:p w14:paraId="070875E6" w14:textId="5EDD6785" w:rsidR="00BD1614" w:rsidRPr="00AA1DF1" w:rsidRDefault="00C550C5" w:rsidP="0099381A">
            <w:pPr>
              <w:pStyle w:val="Source"/>
              <w:spacing w:before="480"/>
            </w:pPr>
            <w:bookmarkStart w:id="1" w:name="dsource" w:colFirst="0" w:colLast="0"/>
            <w:bookmarkEnd w:id="0"/>
            <w:r w:rsidRPr="00AA1DF1">
              <w:rPr>
                <w:bCs/>
              </w:rPr>
              <w:t>Rapport de la Secrétaire générale</w:t>
            </w:r>
          </w:p>
        </w:tc>
      </w:tr>
      <w:tr w:rsidR="00BD1614" w:rsidRPr="00AA1DF1" w14:paraId="534EEA05" w14:textId="77777777" w:rsidTr="002E1AF7">
        <w:trPr>
          <w:cantSplit/>
          <w:jc w:val="center"/>
        </w:trPr>
        <w:tc>
          <w:tcPr>
            <w:tcW w:w="10031" w:type="dxa"/>
            <w:gridSpan w:val="2"/>
          </w:tcPr>
          <w:p w14:paraId="0C8E89F3" w14:textId="4D4141E7" w:rsidR="00BD1614" w:rsidRPr="00AA1DF1" w:rsidRDefault="0062756D" w:rsidP="007A47E9">
            <w:pPr>
              <w:pStyle w:val="Title1"/>
            </w:pPr>
            <w:bookmarkStart w:id="2" w:name="dtitle1" w:colFirst="0" w:colLast="0"/>
            <w:bookmarkEnd w:id="1"/>
            <w:r w:rsidRPr="00AA1DF1">
              <w:rPr>
                <w:caps w:val="0"/>
              </w:rPr>
              <w:t>SUR LE SEPTIÈME FORUM MONDIAL DES POLITIQUES DE TÉLÉCOMMUNICATION</w:t>
            </w:r>
            <w:r w:rsidRPr="00AA1DF1">
              <w:rPr>
                <w:caps w:val="0"/>
              </w:rPr>
              <w:br/>
              <w:t>ET DES TECHNOLOGIES DE L'INFORMATION ET DE LA COMMUNICATION</w:t>
            </w:r>
            <w:r w:rsidRPr="00AA1DF1">
              <w:rPr>
                <w:caps w:val="0"/>
              </w:rPr>
              <w:br/>
              <w:t>DE 2026, TEL QUE FINALISÉ PAR LE GEI-FMPT-26</w:t>
            </w:r>
          </w:p>
        </w:tc>
      </w:tr>
    </w:tbl>
    <w:p w14:paraId="3D8B98E1" w14:textId="77777777" w:rsidR="00C550C5" w:rsidRPr="00AA1DF1" w:rsidRDefault="00C550C5" w:rsidP="00F63FB7">
      <w:pPr>
        <w:pStyle w:val="Heading1"/>
        <w:tabs>
          <w:tab w:val="clear" w:pos="567"/>
        </w:tabs>
        <w:spacing w:before="440"/>
        <w:ind w:left="851" w:hanging="851"/>
      </w:pPr>
      <w:bookmarkStart w:id="3" w:name="_Hlk182852311"/>
      <w:bookmarkEnd w:id="2"/>
      <w:r w:rsidRPr="00AA1DF1">
        <w:t>1</w:t>
      </w:r>
      <w:r w:rsidRPr="00AA1DF1">
        <w:tab/>
        <w:t>Préambule</w:t>
      </w:r>
    </w:p>
    <w:p w14:paraId="2F74D32B" w14:textId="6FE0647C" w:rsidR="00C550C5" w:rsidRPr="00AA1DF1" w:rsidRDefault="00C550C5" w:rsidP="00C209C0">
      <w:pPr>
        <w:pStyle w:val="Heading2"/>
        <w:tabs>
          <w:tab w:val="clear" w:pos="567"/>
        </w:tabs>
        <w:spacing w:before="120"/>
        <w:ind w:left="851" w:hanging="851"/>
        <w:rPr>
          <w:sz w:val="28"/>
          <w:szCs w:val="21"/>
        </w:rPr>
      </w:pPr>
      <w:r w:rsidRPr="00AA1DF1">
        <w:rPr>
          <w:bCs/>
          <w:szCs w:val="24"/>
        </w:rPr>
        <w:t>1.1</w:t>
      </w:r>
      <w:r w:rsidRPr="00AA1DF1">
        <w:rPr>
          <w:szCs w:val="24"/>
        </w:rPr>
        <w:tab/>
      </w:r>
      <w:r w:rsidRPr="00AA1DF1">
        <w:rPr>
          <w:bCs/>
          <w:szCs w:val="24"/>
        </w:rPr>
        <w:t>Septième Forum mondial des politiques de télécommunication et des technologies de l</w:t>
      </w:r>
      <w:r w:rsidR="00230D1A" w:rsidRPr="00AA1DF1">
        <w:rPr>
          <w:bCs/>
          <w:szCs w:val="24"/>
        </w:rPr>
        <w:t>'</w:t>
      </w:r>
      <w:r w:rsidRPr="00AA1DF1">
        <w:rPr>
          <w:bCs/>
          <w:szCs w:val="24"/>
        </w:rPr>
        <w:t>information et de la communication de 2026 (FMPT-26)</w:t>
      </w:r>
    </w:p>
    <w:p w14:paraId="2FD5F3E3" w14:textId="2EA314BC" w:rsidR="00C550C5" w:rsidRPr="00AA1DF1" w:rsidRDefault="00C550C5" w:rsidP="00911311">
      <w:pPr>
        <w:tabs>
          <w:tab w:val="clear" w:pos="567"/>
          <w:tab w:val="left" w:pos="851"/>
        </w:tabs>
        <w:jc w:val="both"/>
        <w:rPr>
          <w:rFonts w:eastAsiaTheme="minorEastAsia"/>
          <w:b/>
        </w:rPr>
      </w:pPr>
      <w:r w:rsidRPr="00AA1DF1">
        <w:t>1.1.1</w:t>
      </w:r>
      <w:r w:rsidRPr="00AA1DF1">
        <w:tab/>
        <w:t>Créé initialement par la Conférence de plénipotentiaires de l</w:t>
      </w:r>
      <w:r w:rsidR="00230D1A" w:rsidRPr="00AA1DF1">
        <w:t>'</w:t>
      </w:r>
      <w:r w:rsidRPr="00AA1DF1">
        <w:t>Union internationale des télécommunications (UIT) de 1994, le Forum mondial des politiques de télécommunication/technologies de l</w:t>
      </w:r>
      <w:r w:rsidR="00230D1A" w:rsidRPr="00AA1DF1">
        <w:t>'</w:t>
      </w:r>
      <w:r w:rsidRPr="00AA1DF1">
        <w:t xml:space="preserve">information et de la communication (FMPT) a été organisé avec succès en 1996, 1998, 2001, 2009, 2013 et 2021. Par sa </w:t>
      </w:r>
      <w:hyperlink r:id="rId10" w:history="1">
        <w:r w:rsidRPr="00AA1DF1">
          <w:rPr>
            <w:rStyle w:val="Hyperlink"/>
          </w:rPr>
          <w:t>Résolution 2 (Rév. Bucarest, 2022)</w:t>
        </w:r>
      </w:hyperlink>
      <w:r w:rsidRPr="00AA1DF1">
        <w:t>, la Conférence de plénipotentiaires de l</w:t>
      </w:r>
      <w:r w:rsidR="00230D1A" w:rsidRPr="00AA1DF1">
        <w:t>'</w:t>
      </w:r>
      <w:r w:rsidRPr="00AA1DF1">
        <w:t>UIT a décidé d</w:t>
      </w:r>
      <w:r w:rsidR="00230D1A" w:rsidRPr="00AA1DF1">
        <w:t>'</w:t>
      </w:r>
      <w:r w:rsidRPr="00AA1DF1">
        <w:t>organiser le prochain FMPT en 2026.</w:t>
      </w:r>
      <w:hyperlink r:id="rId11"/>
    </w:p>
    <w:p w14:paraId="3DFA0815" w14:textId="52192BD2" w:rsidR="00C550C5" w:rsidRPr="00AA1DF1" w:rsidRDefault="00C550C5" w:rsidP="00911311">
      <w:pPr>
        <w:tabs>
          <w:tab w:val="clear" w:pos="567"/>
          <w:tab w:val="left" w:pos="851"/>
        </w:tabs>
        <w:jc w:val="both"/>
        <w:rPr>
          <w:rFonts w:asciiTheme="minorHAnsi" w:eastAsiaTheme="minorEastAsia" w:hAnsiTheme="minorHAnsi" w:cstheme="minorBidi"/>
          <w:b/>
          <w:szCs w:val="24"/>
        </w:rPr>
      </w:pPr>
      <w:r w:rsidRPr="00AA1DF1">
        <w:rPr>
          <w:szCs w:val="24"/>
        </w:rPr>
        <w:t>1.1.2</w:t>
      </w:r>
      <w:r w:rsidRPr="00AA1DF1">
        <w:rPr>
          <w:szCs w:val="24"/>
        </w:rPr>
        <w:tab/>
        <w:t>L</w:t>
      </w:r>
      <w:r w:rsidR="00230D1A" w:rsidRPr="00AA1DF1">
        <w:rPr>
          <w:szCs w:val="24"/>
        </w:rPr>
        <w:t>'</w:t>
      </w:r>
      <w:r w:rsidRPr="00AA1DF1">
        <w:rPr>
          <w:szCs w:val="24"/>
        </w:rPr>
        <w:t>objet du FMPT est de servir de cadre à l</w:t>
      </w:r>
      <w:r w:rsidR="00230D1A" w:rsidRPr="00AA1DF1">
        <w:rPr>
          <w:szCs w:val="24"/>
        </w:rPr>
        <w:t>'</w:t>
      </w:r>
      <w:r w:rsidRPr="00AA1DF1">
        <w:rPr>
          <w:szCs w:val="24"/>
        </w:rPr>
        <w:t>échange de vues et d</w:t>
      </w:r>
      <w:r w:rsidR="00230D1A" w:rsidRPr="00AA1DF1">
        <w:rPr>
          <w:szCs w:val="24"/>
        </w:rPr>
        <w:t>'</w:t>
      </w:r>
      <w:r w:rsidRPr="00AA1DF1">
        <w:rPr>
          <w:szCs w:val="24"/>
        </w:rPr>
        <w:t>informations et, partant, à l</w:t>
      </w:r>
      <w:r w:rsidR="00230D1A" w:rsidRPr="00AA1DF1">
        <w:rPr>
          <w:szCs w:val="24"/>
        </w:rPr>
        <w:t>'</w:t>
      </w:r>
      <w:r w:rsidRPr="00AA1DF1">
        <w:rPr>
          <w:szCs w:val="24"/>
        </w:rPr>
        <w:t xml:space="preserve">élaboration, par des </w:t>
      </w:r>
      <w:r w:rsidRPr="00AA1DF1">
        <w:t>décideurs</w:t>
      </w:r>
      <w:r w:rsidRPr="00AA1DF1">
        <w:rPr>
          <w:szCs w:val="24"/>
        </w:rPr>
        <w:t xml:space="preserve"> du monde entier, d</w:t>
      </w:r>
      <w:r w:rsidR="00230D1A" w:rsidRPr="00AA1DF1">
        <w:rPr>
          <w:szCs w:val="24"/>
        </w:rPr>
        <w:t>'</w:t>
      </w:r>
      <w:r w:rsidRPr="00AA1DF1">
        <w:rPr>
          <w:szCs w:val="24"/>
        </w:rPr>
        <w:t>une vision commune des défis et des possibilités découlant des services et des technologies de télécommunication/TIC nouveaux et émergents et d</w:t>
      </w:r>
      <w:r w:rsidR="00230D1A" w:rsidRPr="00AA1DF1">
        <w:rPr>
          <w:szCs w:val="24"/>
        </w:rPr>
        <w:t>'</w:t>
      </w:r>
      <w:r w:rsidRPr="00AA1DF1">
        <w:rPr>
          <w:szCs w:val="24"/>
        </w:rPr>
        <w:t>étudier toute autre question de politique générale des télécommunications/TIC pour laquelle un échange de vues au niveau mondial serait utile, en plus de l</w:t>
      </w:r>
      <w:r w:rsidR="00230D1A" w:rsidRPr="00AA1DF1">
        <w:rPr>
          <w:szCs w:val="24"/>
        </w:rPr>
        <w:t>'</w:t>
      </w:r>
      <w:r w:rsidRPr="00AA1DF1">
        <w:rPr>
          <w:szCs w:val="24"/>
        </w:rPr>
        <w:t>adoption d</w:t>
      </w:r>
      <w:r w:rsidR="00230D1A" w:rsidRPr="00AA1DF1">
        <w:rPr>
          <w:szCs w:val="24"/>
        </w:rPr>
        <w:t>'</w:t>
      </w:r>
      <w:r w:rsidRPr="00AA1DF1">
        <w:rPr>
          <w:szCs w:val="24"/>
        </w:rPr>
        <w:t>avis reflétant des points de vue communs, conformément à la Résolution 2 (Rév. Bucarest, 2022).</w:t>
      </w:r>
      <w:hyperlink r:id="rId12" w:history="1"/>
    </w:p>
    <w:p w14:paraId="3C14E572" w14:textId="7EFC9A46" w:rsidR="00C550C5" w:rsidRPr="00AA1DF1" w:rsidRDefault="00C550C5" w:rsidP="00911311">
      <w:pPr>
        <w:tabs>
          <w:tab w:val="clear" w:pos="567"/>
          <w:tab w:val="left" w:pos="851"/>
        </w:tabs>
        <w:jc w:val="both"/>
        <w:rPr>
          <w:rFonts w:asciiTheme="minorHAnsi" w:eastAsiaTheme="minorEastAsia" w:hAnsiTheme="minorHAnsi" w:cstheme="minorBidi"/>
          <w:b/>
          <w:szCs w:val="24"/>
        </w:rPr>
      </w:pPr>
      <w:r w:rsidRPr="00AA1DF1">
        <w:rPr>
          <w:szCs w:val="24"/>
        </w:rPr>
        <w:t>1.1.3</w:t>
      </w:r>
      <w:r w:rsidRPr="00AA1DF1">
        <w:rPr>
          <w:szCs w:val="24"/>
        </w:rPr>
        <w:tab/>
        <w:t xml:space="preserve">En vertu de la </w:t>
      </w:r>
      <w:hyperlink r:id="rId13" w:history="1">
        <w:r w:rsidRPr="00AA1DF1">
          <w:rPr>
            <w:rStyle w:val="Hyperlink"/>
          </w:rPr>
          <w:t>Décision</w:t>
        </w:r>
        <w:r w:rsidRPr="00AA1DF1">
          <w:rPr>
            <w:rStyle w:val="Hyperlink"/>
            <w:szCs w:val="24"/>
          </w:rPr>
          <w:t xml:space="preserve"> 641 (C24, dernière mod. C25)</w:t>
        </w:r>
      </w:hyperlink>
      <w:r w:rsidRPr="00AA1DF1">
        <w:rPr>
          <w:szCs w:val="24"/>
        </w:rPr>
        <w:t>, le Conseil de l</w:t>
      </w:r>
      <w:r w:rsidR="00230D1A" w:rsidRPr="00AA1DF1">
        <w:rPr>
          <w:szCs w:val="24"/>
        </w:rPr>
        <w:t>'</w:t>
      </w:r>
      <w:r w:rsidRPr="00AA1DF1">
        <w:rPr>
          <w:szCs w:val="24"/>
        </w:rPr>
        <w:t>UIT a décidé que le</w:t>
      </w:r>
      <w:r w:rsidR="00C209C0" w:rsidRPr="00AA1DF1">
        <w:rPr>
          <w:szCs w:val="24"/>
        </w:rPr>
        <w:t> </w:t>
      </w:r>
      <w:r w:rsidRPr="00AA1DF1">
        <w:rPr>
          <w:szCs w:val="24"/>
        </w:rPr>
        <w:t xml:space="preserve">FMPT-26 serait placé sous le thème </w:t>
      </w:r>
      <w:proofErr w:type="gramStart"/>
      <w:r w:rsidRPr="00AA1DF1">
        <w:rPr>
          <w:szCs w:val="24"/>
        </w:rPr>
        <w:t>suivant:</w:t>
      </w:r>
      <w:proofErr w:type="gramEnd"/>
      <w:r>
        <w:fldChar w:fldCharType="begin"/>
      </w:r>
      <w:r>
        <w:instrText>HYPERLINK "https://www.itu.int/md/S25-CL-C-0126/en"</w:instrText>
      </w:r>
      <w:r>
        <w:fldChar w:fldCharType="separate"/>
      </w:r>
      <w:r>
        <w:fldChar w:fldCharType="end"/>
      </w:r>
    </w:p>
    <w:p w14:paraId="08B31BC3" w14:textId="3D125611" w:rsidR="00C550C5" w:rsidRPr="00AA1DF1" w:rsidRDefault="00C550C5" w:rsidP="00911311">
      <w:pPr>
        <w:pStyle w:val="enumlev1"/>
        <w:jc w:val="both"/>
        <w:rPr>
          <w:rFonts w:eastAsiaTheme="minorEastAsia"/>
          <w:iCs/>
          <w:szCs w:val="24"/>
        </w:rPr>
      </w:pPr>
      <w:r w:rsidRPr="00AA1DF1">
        <w:rPr>
          <w:szCs w:val="24"/>
        </w:rPr>
        <w:tab/>
        <w:t>"</w:t>
      </w:r>
      <w:r w:rsidRPr="00AA1DF1">
        <w:rPr>
          <w:b/>
          <w:bCs/>
          <w:i/>
          <w:iCs/>
          <w:szCs w:val="24"/>
        </w:rPr>
        <w:t xml:space="preserve">Accélérer la marche vers un avenir numérique inclusif, durable, résilient et propice à </w:t>
      </w:r>
      <w:proofErr w:type="gramStart"/>
      <w:r w:rsidRPr="00AA1DF1">
        <w:rPr>
          <w:b/>
          <w:bCs/>
          <w:i/>
          <w:iCs/>
          <w:szCs w:val="24"/>
        </w:rPr>
        <w:t>l</w:t>
      </w:r>
      <w:r w:rsidR="00230D1A" w:rsidRPr="00AA1DF1">
        <w:rPr>
          <w:b/>
          <w:bCs/>
          <w:i/>
          <w:iCs/>
          <w:szCs w:val="24"/>
        </w:rPr>
        <w:t>'</w:t>
      </w:r>
      <w:r w:rsidRPr="00AA1DF1">
        <w:rPr>
          <w:b/>
          <w:bCs/>
          <w:i/>
          <w:iCs/>
          <w:szCs w:val="24"/>
        </w:rPr>
        <w:t>innovation</w:t>
      </w:r>
      <w:r w:rsidRPr="00AA1DF1">
        <w:rPr>
          <w:szCs w:val="24"/>
        </w:rPr>
        <w:t>:</w:t>
      </w:r>
      <w:proofErr w:type="gramEnd"/>
      <w:r w:rsidRPr="00AA1DF1">
        <w:rPr>
          <w:szCs w:val="24"/>
        </w:rPr>
        <w:t xml:space="preserve"> à cet égard, les participants au FMPT-26 examineront les perspectives, les difficultés ainsi que les politiques dans les domaines </w:t>
      </w:r>
      <w:proofErr w:type="gramStart"/>
      <w:r w:rsidRPr="00AA1DF1">
        <w:rPr>
          <w:szCs w:val="24"/>
        </w:rPr>
        <w:t>suivants:</w:t>
      </w:r>
      <w:proofErr w:type="gramEnd"/>
    </w:p>
    <w:p w14:paraId="5A3CB70B" w14:textId="25F8157B" w:rsidR="00C550C5" w:rsidRPr="00AA1DF1" w:rsidRDefault="00C550C5" w:rsidP="00911311">
      <w:pPr>
        <w:pStyle w:val="enumlev2"/>
        <w:tabs>
          <w:tab w:val="clear" w:pos="1134"/>
        </w:tabs>
        <w:ind w:left="1418"/>
        <w:jc w:val="both"/>
        <w:rPr>
          <w:rFonts w:eastAsiaTheme="minorEastAsia"/>
          <w:szCs w:val="24"/>
        </w:rPr>
      </w:pPr>
      <w:r w:rsidRPr="00AA1DF1">
        <w:rPr>
          <w:szCs w:val="24"/>
        </w:rPr>
        <w:t>–</w:t>
      </w:r>
      <w:r w:rsidRPr="00AA1DF1">
        <w:rPr>
          <w:szCs w:val="24"/>
        </w:rPr>
        <w:tab/>
      </w:r>
      <w:r w:rsidR="00F912F0" w:rsidRPr="00AA1DF1">
        <w:rPr>
          <w:szCs w:val="24"/>
        </w:rPr>
        <w:t>r</w:t>
      </w:r>
      <w:r w:rsidRPr="00AA1DF1">
        <w:rPr>
          <w:szCs w:val="24"/>
        </w:rPr>
        <w:t>éduction des fractures numériques, notamment entre les hommes et les femmes et entre les générations, ainsi qu</w:t>
      </w:r>
      <w:r w:rsidR="00230D1A" w:rsidRPr="00AA1DF1">
        <w:rPr>
          <w:szCs w:val="24"/>
        </w:rPr>
        <w:t>'</w:t>
      </w:r>
      <w:r w:rsidRPr="00AA1DF1">
        <w:rPr>
          <w:szCs w:val="24"/>
        </w:rPr>
        <w:t xml:space="preserve">en matière de compétences et de </w:t>
      </w:r>
      <w:proofErr w:type="gramStart"/>
      <w:r w:rsidRPr="00AA1DF1">
        <w:rPr>
          <w:szCs w:val="24"/>
        </w:rPr>
        <w:t>connectivité</w:t>
      </w:r>
      <w:r w:rsidR="00F912F0" w:rsidRPr="00AA1DF1">
        <w:rPr>
          <w:szCs w:val="24"/>
        </w:rPr>
        <w:t>;</w:t>
      </w:r>
      <w:proofErr w:type="gramEnd"/>
    </w:p>
    <w:p w14:paraId="66470B78" w14:textId="2FE0C70B" w:rsidR="00C550C5" w:rsidRPr="00AA1DF1" w:rsidRDefault="00C550C5" w:rsidP="00911311">
      <w:pPr>
        <w:pStyle w:val="enumlev2"/>
        <w:tabs>
          <w:tab w:val="clear" w:pos="1134"/>
        </w:tabs>
        <w:ind w:left="1418"/>
        <w:jc w:val="both"/>
        <w:rPr>
          <w:rFonts w:eastAsiaTheme="minorEastAsia"/>
          <w:szCs w:val="24"/>
        </w:rPr>
      </w:pPr>
      <w:r w:rsidRPr="00AA1DF1">
        <w:rPr>
          <w:szCs w:val="24"/>
        </w:rPr>
        <w:t>–</w:t>
      </w:r>
      <w:r w:rsidRPr="00AA1DF1">
        <w:rPr>
          <w:szCs w:val="24"/>
        </w:rPr>
        <w:tab/>
      </w:r>
      <w:r w:rsidR="00F912F0" w:rsidRPr="00AA1DF1">
        <w:rPr>
          <w:szCs w:val="24"/>
        </w:rPr>
        <w:t>t</w:t>
      </w:r>
      <w:r w:rsidRPr="00AA1DF1">
        <w:rPr>
          <w:szCs w:val="24"/>
        </w:rPr>
        <w:t xml:space="preserve">ransformation numérique </w:t>
      </w:r>
      <w:proofErr w:type="gramStart"/>
      <w:r w:rsidRPr="00AA1DF1">
        <w:rPr>
          <w:szCs w:val="24"/>
        </w:rPr>
        <w:t>écologique:</w:t>
      </w:r>
      <w:proofErr w:type="gramEnd"/>
      <w:r w:rsidRPr="00AA1DF1">
        <w:rPr>
          <w:szCs w:val="24"/>
        </w:rPr>
        <w:t xml:space="preserve"> changements climatiques et durabilité </w:t>
      </w:r>
      <w:proofErr w:type="gramStart"/>
      <w:r w:rsidRPr="00AA1DF1">
        <w:rPr>
          <w:szCs w:val="24"/>
        </w:rPr>
        <w:t>environnementale</w:t>
      </w:r>
      <w:r w:rsidR="00F912F0" w:rsidRPr="00AA1DF1">
        <w:rPr>
          <w:szCs w:val="24"/>
        </w:rPr>
        <w:t>;</w:t>
      </w:r>
      <w:proofErr w:type="gramEnd"/>
    </w:p>
    <w:p w14:paraId="4E8FD8B4" w14:textId="67CB1180" w:rsidR="00C550C5" w:rsidRPr="00AA1DF1" w:rsidRDefault="00C550C5" w:rsidP="00911311">
      <w:pPr>
        <w:pStyle w:val="enumlev2"/>
        <w:tabs>
          <w:tab w:val="clear" w:pos="1134"/>
        </w:tabs>
        <w:ind w:left="1418"/>
        <w:jc w:val="both"/>
        <w:rPr>
          <w:rFonts w:eastAsiaTheme="minorEastAsia"/>
          <w:szCs w:val="24"/>
        </w:rPr>
      </w:pPr>
      <w:r w:rsidRPr="00AA1DF1">
        <w:rPr>
          <w:szCs w:val="24"/>
        </w:rPr>
        <w:t>–</w:t>
      </w:r>
      <w:r w:rsidRPr="00AA1DF1">
        <w:rPr>
          <w:szCs w:val="24"/>
        </w:rPr>
        <w:tab/>
      </w:r>
      <w:r w:rsidR="00F912F0" w:rsidRPr="00AA1DF1">
        <w:rPr>
          <w:szCs w:val="24"/>
        </w:rPr>
        <w:t>r</w:t>
      </w:r>
      <w:r w:rsidRPr="00AA1DF1">
        <w:rPr>
          <w:szCs w:val="24"/>
        </w:rPr>
        <w:t>ésilience des télécommunications/</w:t>
      </w:r>
      <w:proofErr w:type="gramStart"/>
      <w:r w:rsidRPr="00AA1DF1">
        <w:rPr>
          <w:szCs w:val="24"/>
        </w:rPr>
        <w:t>TIC</w:t>
      </w:r>
      <w:r w:rsidR="00F912F0" w:rsidRPr="00AA1DF1">
        <w:rPr>
          <w:szCs w:val="24"/>
        </w:rPr>
        <w:t>;</w:t>
      </w:r>
      <w:proofErr w:type="gramEnd"/>
    </w:p>
    <w:p w14:paraId="7F79509F" w14:textId="7794FECD" w:rsidR="00C550C5" w:rsidRPr="00AA1DF1" w:rsidRDefault="00C550C5" w:rsidP="00911311">
      <w:pPr>
        <w:pStyle w:val="enumlev2"/>
        <w:tabs>
          <w:tab w:val="clear" w:pos="1134"/>
        </w:tabs>
        <w:ind w:left="1418"/>
        <w:jc w:val="both"/>
        <w:rPr>
          <w:rFonts w:eastAsiaTheme="minorEastAsia"/>
          <w:szCs w:val="24"/>
        </w:rPr>
      </w:pPr>
      <w:r w:rsidRPr="00AA1DF1">
        <w:rPr>
          <w:szCs w:val="24"/>
        </w:rPr>
        <w:t>–</w:t>
      </w:r>
      <w:r w:rsidRPr="00AA1DF1">
        <w:rPr>
          <w:szCs w:val="24"/>
        </w:rPr>
        <w:tab/>
      </w:r>
      <w:r w:rsidR="00F912F0" w:rsidRPr="00AA1DF1">
        <w:rPr>
          <w:szCs w:val="24"/>
        </w:rPr>
        <w:t>c</w:t>
      </w:r>
      <w:r w:rsidRPr="00AA1DF1">
        <w:rPr>
          <w:szCs w:val="24"/>
        </w:rPr>
        <w:t xml:space="preserve">onnectivité </w:t>
      </w:r>
      <w:proofErr w:type="gramStart"/>
      <w:r w:rsidRPr="00AA1DF1">
        <w:rPr>
          <w:szCs w:val="24"/>
        </w:rPr>
        <w:t>spatiale</w:t>
      </w:r>
      <w:r w:rsidR="00F912F0" w:rsidRPr="00AA1DF1">
        <w:rPr>
          <w:szCs w:val="24"/>
        </w:rPr>
        <w:t>;</w:t>
      </w:r>
      <w:proofErr w:type="gramEnd"/>
    </w:p>
    <w:p w14:paraId="6C16DECB" w14:textId="62624025" w:rsidR="00C550C5" w:rsidRPr="00AA1DF1" w:rsidRDefault="00C550C5" w:rsidP="00911311">
      <w:pPr>
        <w:pStyle w:val="enumlev2"/>
        <w:widowControl w:val="0"/>
        <w:tabs>
          <w:tab w:val="clear" w:pos="1134"/>
        </w:tabs>
        <w:ind w:left="1418"/>
        <w:jc w:val="both"/>
        <w:rPr>
          <w:rFonts w:eastAsiaTheme="minorEastAsia"/>
          <w:szCs w:val="24"/>
        </w:rPr>
      </w:pPr>
      <w:r w:rsidRPr="00AA1DF1">
        <w:rPr>
          <w:szCs w:val="24"/>
        </w:rPr>
        <w:t>–</w:t>
      </w:r>
      <w:r w:rsidRPr="00AA1DF1">
        <w:rPr>
          <w:szCs w:val="24"/>
        </w:rPr>
        <w:tab/>
      </w:r>
      <w:r w:rsidR="00F912F0" w:rsidRPr="00AA1DF1">
        <w:rPr>
          <w:szCs w:val="24"/>
        </w:rPr>
        <w:t>r</w:t>
      </w:r>
      <w:r w:rsidRPr="00AA1DF1">
        <w:rPr>
          <w:szCs w:val="24"/>
        </w:rPr>
        <w:t>enforcement des écosystèmes de l</w:t>
      </w:r>
      <w:r w:rsidR="00230D1A" w:rsidRPr="00AA1DF1">
        <w:rPr>
          <w:szCs w:val="24"/>
        </w:rPr>
        <w:t>'</w:t>
      </w:r>
      <w:r w:rsidRPr="00AA1DF1">
        <w:rPr>
          <w:szCs w:val="24"/>
        </w:rPr>
        <w:t>innovation et de l</w:t>
      </w:r>
      <w:r w:rsidR="00230D1A" w:rsidRPr="00AA1DF1">
        <w:rPr>
          <w:szCs w:val="24"/>
        </w:rPr>
        <w:t>'</w:t>
      </w:r>
      <w:r w:rsidRPr="00AA1DF1">
        <w:rPr>
          <w:szCs w:val="24"/>
        </w:rPr>
        <w:t>entrepreneuriat centrés sur les</w:t>
      </w:r>
      <w:r w:rsidR="005A05BD" w:rsidRPr="00AA1DF1">
        <w:rPr>
          <w:szCs w:val="24"/>
        </w:rPr>
        <w:t> </w:t>
      </w:r>
      <w:r w:rsidRPr="00AA1DF1">
        <w:rPr>
          <w:szCs w:val="24"/>
        </w:rPr>
        <w:t>TIC"</w:t>
      </w:r>
      <w:r w:rsidR="005A05BD" w:rsidRPr="00AA1DF1">
        <w:rPr>
          <w:szCs w:val="24"/>
        </w:rPr>
        <w:t>.</w:t>
      </w:r>
    </w:p>
    <w:p w14:paraId="446DF57A" w14:textId="1F4262C6" w:rsidR="00C550C5" w:rsidRPr="00AA1DF1" w:rsidRDefault="00C550C5" w:rsidP="00911311">
      <w:pPr>
        <w:tabs>
          <w:tab w:val="clear" w:pos="567"/>
          <w:tab w:val="left" w:pos="851"/>
        </w:tabs>
        <w:jc w:val="both"/>
        <w:rPr>
          <w:rFonts w:asciiTheme="minorHAnsi" w:eastAsiaTheme="minorEastAsia" w:hAnsiTheme="minorHAnsi" w:cstheme="minorBidi"/>
          <w:szCs w:val="24"/>
        </w:rPr>
      </w:pPr>
      <w:r w:rsidRPr="00AA1DF1">
        <w:rPr>
          <w:szCs w:val="24"/>
        </w:rPr>
        <w:lastRenderedPageBreak/>
        <w:t>1.1.4</w:t>
      </w:r>
      <w:r w:rsidRPr="00AA1DF1">
        <w:rPr>
          <w:szCs w:val="24"/>
        </w:rPr>
        <w:tab/>
        <w:t xml:space="preserve">Le FMPT-26 ne doit pas produire de règlements </w:t>
      </w:r>
      <w:proofErr w:type="gramStart"/>
      <w:r w:rsidRPr="00AA1DF1">
        <w:rPr>
          <w:szCs w:val="24"/>
        </w:rPr>
        <w:t>contraignants;</w:t>
      </w:r>
      <w:proofErr w:type="gramEnd"/>
      <w:r w:rsidRPr="00AA1DF1">
        <w:rPr>
          <w:szCs w:val="24"/>
        </w:rPr>
        <w:t xml:space="preserve"> toutefois, il élaborera des rapports et adoptera des avis non contraignants par consensus, qu</w:t>
      </w:r>
      <w:r w:rsidR="00230D1A" w:rsidRPr="00AA1DF1">
        <w:rPr>
          <w:szCs w:val="24"/>
        </w:rPr>
        <w:t>'</w:t>
      </w:r>
      <w:r w:rsidRPr="00AA1DF1">
        <w:rPr>
          <w:szCs w:val="24"/>
        </w:rPr>
        <w:t>il soumettra pour examen aux États Membres et aux Membres de Secteur ainsi qu</w:t>
      </w:r>
      <w:r w:rsidR="00230D1A" w:rsidRPr="00AA1DF1">
        <w:rPr>
          <w:szCs w:val="24"/>
        </w:rPr>
        <w:t>'</w:t>
      </w:r>
      <w:r w:rsidRPr="00AA1DF1">
        <w:rPr>
          <w:szCs w:val="24"/>
        </w:rPr>
        <w:t>aux réunions pertinentes de l</w:t>
      </w:r>
      <w:r w:rsidR="00230D1A" w:rsidRPr="00AA1DF1">
        <w:rPr>
          <w:szCs w:val="24"/>
        </w:rPr>
        <w:t>'</w:t>
      </w:r>
      <w:r w:rsidRPr="00AA1DF1">
        <w:rPr>
          <w:szCs w:val="24"/>
        </w:rPr>
        <w:t>UIT (</w:t>
      </w:r>
      <w:hyperlink r:id="rId14" w:history="1">
        <w:r w:rsidRPr="00AA1DF1">
          <w:rPr>
            <w:rStyle w:val="Hyperlink"/>
            <w:szCs w:val="24"/>
          </w:rPr>
          <w:t>Résolution</w:t>
        </w:r>
        <w:r w:rsidR="0099381A" w:rsidRPr="00AA1DF1">
          <w:rPr>
            <w:rStyle w:val="Hyperlink"/>
            <w:szCs w:val="24"/>
          </w:rPr>
          <w:t> </w:t>
        </w:r>
        <w:r w:rsidRPr="00AA1DF1">
          <w:rPr>
            <w:rStyle w:val="Hyperlink"/>
            <w:szCs w:val="24"/>
          </w:rPr>
          <w:t>2 (Rév. Dubaï, 2022)</w:t>
        </w:r>
      </w:hyperlink>
      <w:r w:rsidRPr="00AA1DF1">
        <w:rPr>
          <w:szCs w:val="24"/>
        </w:rPr>
        <w:t xml:space="preserve"> de la Conférence de plénipotentiaires).</w:t>
      </w:r>
      <w:hyperlink r:id="rId15"/>
    </w:p>
    <w:p w14:paraId="496F1A2B" w14:textId="63602052" w:rsidR="00C550C5" w:rsidRPr="00AA1DF1" w:rsidRDefault="00C550C5" w:rsidP="00911311">
      <w:pPr>
        <w:tabs>
          <w:tab w:val="clear" w:pos="567"/>
          <w:tab w:val="left" w:pos="851"/>
        </w:tabs>
        <w:jc w:val="both"/>
        <w:rPr>
          <w:rFonts w:asciiTheme="minorHAnsi" w:eastAsiaTheme="minorEastAsia" w:hAnsiTheme="minorHAnsi" w:cstheme="minorBidi"/>
          <w:szCs w:val="24"/>
        </w:rPr>
      </w:pPr>
      <w:r w:rsidRPr="00AA1DF1">
        <w:rPr>
          <w:szCs w:val="24"/>
        </w:rPr>
        <w:t>1.1.5</w:t>
      </w:r>
      <w:r w:rsidRPr="00AA1DF1">
        <w:rPr>
          <w:szCs w:val="24"/>
        </w:rPr>
        <w:tab/>
        <w:t xml:space="preserve">De plus amples informations concernant le processus préparatoire du FMPT-26 sont disponibles sur </w:t>
      </w:r>
      <w:hyperlink r:id="rId16" w:anchor="/fr" w:history="1">
        <w:r w:rsidRPr="00AA1DF1">
          <w:rPr>
            <w:rStyle w:val="Hyperlink"/>
            <w:szCs w:val="24"/>
          </w:rPr>
          <w:t>www.itu.int/en/council/Pages/ieg-wtpf-26.aspx</w:t>
        </w:r>
      </w:hyperlink>
      <w:r w:rsidRPr="00AA1DF1">
        <w:rPr>
          <w:szCs w:val="24"/>
        </w:rPr>
        <w:t>.</w:t>
      </w:r>
      <w:hyperlink r:id="rId17" w:history="1"/>
    </w:p>
    <w:p w14:paraId="464BBD16" w14:textId="507D0413" w:rsidR="00C550C5" w:rsidRPr="00AA1DF1" w:rsidRDefault="00C550C5" w:rsidP="00F63FB7">
      <w:pPr>
        <w:pStyle w:val="Heading1"/>
        <w:tabs>
          <w:tab w:val="clear" w:pos="567"/>
        </w:tabs>
        <w:ind w:left="851" w:hanging="851"/>
      </w:pPr>
      <w:r w:rsidRPr="00AA1DF1">
        <w:t>2</w:t>
      </w:r>
      <w:r w:rsidRPr="00AA1DF1">
        <w:tab/>
        <w:t>Processus préparatoire et rapport de la Secrétaire générale de l</w:t>
      </w:r>
      <w:r w:rsidR="00230D1A" w:rsidRPr="00AA1DF1">
        <w:t>'</w:t>
      </w:r>
      <w:r w:rsidRPr="00AA1DF1">
        <w:t>UIT</w:t>
      </w:r>
    </w:p>
    <w:p w14:paraId="62A1CA2F" w14:textId="0E745089" w:rsidR="00C550C5" w:rsidRPr="00AA1DF1" w:rsidRDefault="00C550C5" w:rsidP="00911311">
      <w:pPr>
        <w:tabs>
          <w:tab w:val="clear" w:pos="567"/>
          <w:tab w:val="left" w:pos="851"/>
        </w:tabs>
        <w:jc w:val="both"/>
        <w:rPr>
          <w:rFonts w:asciiTheme="minorHAnsi" w:eastAsiaTheme="minorEastAsia" w:hAnsiTheme="minorHAnsi" w:cstheme="minorBidi"/>
          <w:szCs w:val="24"/>
        </w:rPr>
      </w:pPr>
      <w:r w:rsidRPr="00AA1DF1">
        <w:rPr>
          <w:szCs w:val="24"/>
        </w:rPr>
        <w:t>2.1.1</w:t>
      </w:r>
      <w:r w:rsidRPr="00AA1DF1">
        <w:rPr>
          <w:szCs w:val="24"/>
        </w:rPr>
        <w:tab/>
        <w:t>Les débats du FMPT-26 seront fondés exclusivement sur un rapport unique de la Secrétaire générale de l</w:t>
      </w:r>
      <w:r w:rsidR="00230D1A" w:rsidRPr="00AA1DF1">
        <w:rPr>
          <w:szCs w:val="24"/>
        </w:rPr>
        <w:t>'</w:t>
      </w:r>
      <w:r w:rsidRPr="00AA1DF1">
        <w:rPr>
          <w:szCs w:val="24"/>
        </w:rPr>
        <w:t>UIT ainsi que sur les contributions soumises par les participants d</w:t>
      </w:r>
      <w:r w:rsidR="00230D1A" w:rsidRPr="00AA1DF1">
        <w:rPr>
          <w:szCs w:val="24"/>
        </w:rPr>
        <w:t>'</w:t>
      </w:r>
      <w:r w:rsidRPr="00AA1DF1">
        <w:rPr>
          <w:szCs w:val="24"/>
        </w:rPr>
        <w:t>après ce rapport, établi selon une procédure adoptée par le Conseil, sur la base des propositions des États</w:t>
      </w:r>
      <w:r w:rsidR="0099381A" w:rsidRPr="00AA1DF1">
        <w:rPr>
          <w:szCs w:val="24"/>
        </w:rPr>
        <w:t> </w:t>
      </w:r>
      <w:r w:rsidRPr="00AA1DF1">
        <w:rPr>
          <w:szCs w:val="24"/>
        </w:rPr>
        <w:t>Membres et des Membres des Secteurs, et des vues des Associés, des établissements universitaires et des parties prenantes, et le FMPT ne prendra en considération aucun projet de nouvel Avis qui n</w:t>
      </w:r>
      <w:r w:rsidR="00230D1A" w:rsidRPr="00AA1DF1">
        <w:rPr>
          <w:szCs w:val="24"/>
        </w:rPr>
        <w:t>'</w:t>
      </w:r>
      <w:r w:rsidRPr="00AA1DF1">
        <w:rPr>
          <w:szCs w:val="24"/>
        </w:rPr>
        <w:t>aura pas été présenté au cours de la période préparatoire prévue pour l</w:t>
      </w:r>
      <w:r w:rsidR="00230D1A" w:rsidRPr="00AA1DF1">
        <w:rPr>
          <w:szCs w:val="24"/>
        </w:rPr>
        <w:t>'</w:t>
      </w:r>
      <w:r w:rsidRPr="00AA1DF1">
        <w:rPr>
          <w:szCs w:val="24"/>
        </w:rPr>
        <w:t xml:space="preserve">établissement du rapport de la Secrétaire générale avant le forum, conformément à la </w:t>
      </w:r>
      <w:hyperlink r:id="rId18" w:history="1">
        <w:r w:rsidRPr="00AA1DF1">
          <w:rPr>
            <w:rStyle w:val="Hyperlink"/>
            <w:szCs w:val="24"/>
          </w:rPr>
          <w:t>Résolution</w:t>
        </w:r>
        <w:r w:rsidR="0099381A" w:rsidRPr="00AA1DF1">
          <w:rPr>
            <w:rStyle w:val="Hyperlink"/>
            <w:szCs w:val="24"/>
          </w:rPr>
          <w:t> </w:t>
        </w:r>
        <w:r w:rsidRPr="00AA1DF1">
          <w:rPr>
            <w:rStyle w:val="Hyperlink"/>
            <w:szCs w:val="24"/>
          </w:rPr>
          <w:t>2 (Rév. Bucarest, 2022)</w:t>
        </w:r>
      </w:hyperlink>
      <w:r w:rsidRPr="00AA1DF1">
        <w:rPr>
          <w:szCs w:val="24"/>
        </w:rPr>
        <w:t xml:space="preserve"> de la Conférence de plénipotentiaires</w:t>
      </w:r>
      <w:r w:rsidR="005A05BD" w:rsidRPr="00AA1DF1">
        <w:rPr>
          <w:szCs w:val="24"/>
        </w:rPr>
        <w:t>.</w:t>
      </w:r>
      <w:hyperlink r:id="rId19" w:history="1"/>
    </w:p>
    <w:p w14:paraId="73D65B11" w14:textId="52512E67" w:rsidR="00C550C5" w:rsidRPr="0062756D" w:rsidRDefault="00C550C5" w:rsidP="00911311">
      <w:pPr>
        <w:tabs>
          <w:tab w:val="clear" w:pos="567"/>
          <w:tab w:val="left" w:pos="851"/>
        </w:tabs>
        <w:jc w:val="both"/>
        <w:rPr>
          <w:rFonts w:asciiTheme="minorHAnsi" w:eastAsiaTheme="minorEastAsia" w:hAnsiTheme="minorHAnsi" w:cstheme="minorBidi"/>
          <w:spacing w:val="-2"/>
          <w:szCs w:val="24"/>
        </w:rPr>
      </w:pPr>
      <w:r w:rsidRPr="0062756D">
        <w:rPr>
          <w:spacing w:val="-2"/>
          <w:szCs w:val="24"/>
        </w:rPr>
        <w:t>2.1.2</w:t>
      </w:r>
      <w:r w:rsidRPr="0062756D">
        <w:rPr>
          <w:spacing w:val="-2"/>
          <w:szCs w:val="24"/>
        </w:rPr>
        <w:tab/>
        <w:t xml:space="preserve">Conformément à la </w:t>
      </w:r>
      <w:hyperlink r:id="rId20" w:history="1">
        <w:r w:rsidRPr="0062756D">
          <w:rPr>
            <w:rStyle w:val="Hyperlink"/>
            <w:spacing w:val="-2"/>
            <w:szCs w:val="24"/>
          </w:rPr>
          <w:t>Décision 641 (C24)</w:t>
        </w:r>
      </w:hyperlink>
      <w:r w:rsidRPr="0062756D">
        <w:rPr>
          <w:spacing w:val="-2"/>
          <w:szCs w:val="24"/>
        </w:rPr>
        <w:t>, le Secrétaire général convoquera un groupe d</w:t>
      </w:r>
      <w:r w:rsidR="00230D1A" w:rsidRPr="0062756D">
        <w:rPr>
          <w:spacing w:val="-2"/>
          <w:szCs w:val="24"/>
        </w:rPr>
        <w:t>'</w:t>
      </w:r>
      <w:r w:rsidRPr="0062756D">
        <w:rPr>
          <w:spacing w:val="-2"/>
          <w:szCs w:val="24"/>
        </w:rPr>
        <w:t>experts informel (GEI) équilibré, dont chacun participera activement à la préparation du</w:t>
      </w:r>
      <w:r w:rsidR="005A05BD" w:rsidRPr="0062756D">
        <w:rPr>
          <w:spacing w:val="-2"/>
          <w:szCs w:val="24"/>
        </w:rPr>
        <w:t> </w:t>
      </w:r>
      <w:r w:rsidRPr="0062756D">
        <w:rPr>
          <w:spacing w:val="-2"/>
          <w:szCs w:val="24"/>
        </w:rPr>
        <w:t>FMPT</w:t>
      </w:r>
      <w:r w:rsidR="0099381A" w:rsidRPr="0062756D">
        <w:rPr>
          <w:spacing w:val="-2"/>
          <w:szCs w:val="24"/>
        </w:rPr>
        <w:noBreakHyphen/>
      </w:r>
      <w:r w:rsidRPr="0062756D">
        <w:rPr>
          <w:spacing w:val="-2"/>
          <w:szCs w:val="24"/>
        </w:rPr>
        <w:t>26 dans son pays, pour prêter son concours</w:t>
      </w:r>
      <w:r w:rsidR="00F94D05" w:rsidRPr="0062756D">
        <w:rPr>
          <w:spacing w:val="-2"/>
          <w:szCs w:val="24"/>
        </w:rPr>
        <w:t>.</w:t>
      </w:r>
      <w:r w:rsidRPr="0062756D">
        <w:rPr>
          <w:spacing w:val="-2"/>
          <w:szCs w:val="24"/>
        </w:rPr>
        <w:t xml:space="preserve"> À cet égard, une lettre circulaire (</w:t>
      </w:r>
      <w:hyperlink r:id="rId21" w:history="1">
        <w:r w:rsidRPr="0062756D">
          <w:rPr>
            <w:rStyle w:val="Hyperlink"/>
            <w:spacing w:val="-2"/>
            <w:szCs w:val="24"/>
          </w:rPr>
          <w:t>CL-24/44</w:t>
        </w:r>
      </w:hyperlink>
      <w:r w:rsidRPr="0062756D">
        <w:rPr>
          <w:spacing w:val="-2"/>
          <w:szCs w:val="24"/>
        </w:rPr>
        <w:t>) a été envoyée le 14 juin 2024 aux États Membres, à l</w:t>
      </w:r>
      <w:r w:rsidR="00230D1A" w:rsidRPr="0062756D">
        <w:rPr>
          <w:spacing w:val="-2"/>
          <w:szCs w:val="24"/>
        </w:rPr>
        <w:t>'</w:t>
      </w:r>
      <w:r w:rsidRPr="0062756D">
        <w:rPr>
          <w:spacing w:val="-2"/>
          <w:szCs w:val="24"/>
        </w:rPr>
        <w:t>État de Palestine, aux Membres de Secteur, aux Associés, aux établissements universitaires et aux organisations ayant le droit d</w:t>
      </w:r>
      <w:r w:rsidR="00230D1A" w:rsidRPr="0062756D">
        <w:rPr>
          <w:spacing w:val="-2"/>
          <w:szCs w:val="24"/>
        </w:rPr>
        <w:t>'</w:t>
      </w:r>
      <w:r w:rsidRPr="0062756D">
        <w:rPr>
          <w:spacing w:val="-2"/>
          <w:szCs w:val="24"/>
        </w:rPr>
        <w:t>assister aux conférences et réunions de l</w:t>
      </w:r>
      <w:r w:rsidR="00230D1A" w:rsidRPr="0062756D">
        <w:rPr>
          <w:spacing w:val="-2"/>
          <w:szCs w:val="24"/>
        </w:rPr>
        <w:t>'</w:t>
      </w:r>
      <w:r w:rsidRPr="0062756D">
        <w:rPr>
          <w:spacing w:val="-2"/>
          <w:szCs w:val="24"/>
        </w:rPr>
        <w:t>UIT en qualité d</w:t>
      </w:r>
      <w:r w:rsidR="00230D1A" w:rsidRPr="0062756D">
        <w:rPr>
          <w:spacing w:val="-2"/>
          <w:szCs w:val="24"/>
        </w:rPr>
        <w:t>'</w:t>
      </w:r>
      <w:r w:rsidRPr="0062756D">
        <w:rPr>
          <w:spacing w:val="-2"/>
          <w:szCs w:val="24"/>
        </w:rPr>
        <w:t>observateurs, les invitant à désigner des experts qui composeront le GEI.</w:t>
      </w:r>
      <w:hyperlink r:id="rId22" w:history="1"/>
      <w:hyperlink r:id="rId23" w:history="1"/>
    </w:p>
    <w:p w14:paraId="01708DE5" w14:textId="29879693" w:rsidR="00C550C5" w:rsidRPr="00AA1DF1" w:rsidRDefault="00C550C5" w:rsidP="00911311">
      <w:pPr>
        <w:tabs>
          <w:tab w:val="clear" w:pos="567"/>
          <w:tab w:val="left" w:pos="851"/>
        </w:tabs>
        <w:jc w:val="both"/>
        <w:rPr>
          <w:rFonts w:asciiTheme="minorHAnsi" w:eastAsiaTheme="minorEastAsia" w:hAnsiTheme="minorHAnsi" w:cstheme="minorBidi"/>
          <w:szCs w:val="24"/>
        </w:rPr>
      </w:pPr>
      <w:r w:rsidRPr="00AA1DF1">
        <w:rPr>
          <w:szCs w:val="24"/>
        </w:rPr>
        <w:t>2.1.3</w:t>
      </w:r>
      <w:r w:rsidRPr="00AA1DF1">
        <w:rPr>
          <w:szCs w:val="24"/>
        </w:rPr>
        <w:tab/>
        <w:t>Conformément à la Résolution 2 (Rév. Bucarest, 2022) et à la Décision 641 (Mod. 2025), le présent rapport a été établi par la Secrétaire générale dans le cadre d</w:t>
      </w:r>
      <w:r w:rsidR="00230D1A" w:rsidRPr="00AA1DF1">
        <w:rPr>
          <w:szCs w:val="24"/>
        </w:rPr>
        <w:t>'</w:t>
      </w:r>
      <w:r w:rsidRPr="00AA1DF1">
        <w:rPr>
          <w:szCs w:val="24"/>
        </w:rPr>
        <w:t>un processus itératif de collaboration avec le GEI, en tenant pleinement compte des contributions écrites et orales soumises par les États Membres et les Membres de Secteur. Le rapport ne représente pas un résultat négocié, bien qu</w:t>
      </w:r>
      <w:r w:rsidR="00230D1A" w:rsidRPr="00AA1DF1">
        <w:rPr>
          <w:szCs w:val="24"/>
        </w:rPr>
        <w:t>'</w:t>
      </w:r>
      <w:r w:rsidRPr="00AA1DF1">
        <w:rPr>
          <w:szCs w:val="24"/>
        </w:rPr>
        <w:t>il s</w:t>
      </w:r>
      <w:r w:rsidR="00230D1A" w:rsidRPr="00AA1DF1">
        <w:rPr>
          <w:szCs w:val="24"/>
        </w:rPr>
        <w:t>'</w:t>
      </w:r>
      <w:r w:rsidRPr="00AA1DF1">
        <w:rPr>
          <w:szCs w:val="24"/>
        </w:rPr>
        <w:t>efforce de tenir compte de la diversité des vues des États Membres et des Membres de Secteur participant au GEI. La citation de sources individuelles n</w:t>
      </w:r>
      <w:r w:rsidR="00230D1A" w:rsidRPr="00AA1DF1">
        <w:rPr>
          <w:szCs w:val="24"/>
        </w:rPr>
        <w:t>'</w:t>
      </w:r>
      <w:r w:rsidRPr="00AA1DF1">
        <w:rPr>
          <w:szCs w:val="24"/>
        </w:rPr>
        <w:t>implique pas l</w:t>
      </w:r>
      <w:r w:rsidR="00230D1A" w:rsidRPr="00AA1DF1">
        <w:rPr>
          <w:szCs w:val="24"/>
        </w:rPr>
        <w:t>'</w:t>
      </w:r>
      <w:r w:rsidRPr="00AA1DF1">
        <w:rPr>
          <w:szCs w:val="24"/>
        </w:rPr>
        <w:t>approbation de cette source ou de son organisation/entité.</w:t>
      </w:r>
    </w:p>
    <w:p w14:paraId="56004143" w14:textId="7F9C3DB8" w:rsidR="00C550C5" w:rsidRPr="00AA1DF1" w:rsidRDefault="00C550C5" w:rsidP="00911311">
      <w:pPr>
        <w:tabs>
          <w:tab w:val="clear" w:pos="567"/>
          <w:tab w:val="left" w:pos="851"/>
        </w:tabs>
        <w:jc w:val="both"/>
        <w:rPr>
          <w:szCs w:val="24"/>
        </w:rPr>
      </w:pPr>
      <w:r w:rsidRPr="00AA1DF1">
        <w:rPr>
          <w:szCs w:val="24"/>
        </w:rPr>
        <w:t>2.1.4</w:t>
      </w:r>
      <w:r w:rsidRPr="00AA1DF1">
        <w:rPr>
          <w:szCs w:val="24"/>
        </w:rPr>
        <w:tab/>
        <w:t>Le processus préparatoire suivra le calendrier figurant dans l</w:t>
      </w:r>
      <w:r w:rsidR="00230D1A" w:rsidRPr="00AA1DF1">
        <w:rPr>
          <w:szCs w:val="24"/>
        </w:rPr>
        <w:t>'</w:t>
      </w:r>
      <w:r w:rsidRPr="00AA1DF1">
        <w:rPr>
          <w:szCs w:val="24"/>
        </w:rPr>
        <w:t>Annexe 2 de la Décision 641 et dans le Tableau 1 ci-après (révisé sur la base de l</w:t>
      </w:r>
      <w:r w:rsidR="00230D1A" w:rsidRPr="00AA1DF1">
        <w:rPr>
          <w:szCs w:val="24"/>
        </w:rPr>
        <w:t>'</w:t>
      </w:r>
      <w:r w:rsidRPr="00AA1DF1">
        <w:rPr>
          <w:szCs w:val="24"/>
        </w:rPr>
        <w:t>accord obtenu à la première réunion du GEI).</w:t>
      </w:r>
    </w:p>
    <w:p w14:paraId="27F8B441" w14:textId="0B27F78F" w:rsidR="00F94D05" w:rsidRPr="00AA1DF1" w:rsidRDefault="00F94D05">
      <w:pPr>
        <w:tabs>
          <w:tab w:val="clear" w:pos="567"/>
          <w:tab w:val="clear" w:pos="1134"/>
          <w:tab w:val="clear" w:pos="1701"/>
          <w:tab w:val="clear" w:pos="2268"/>
          <w:tab w:val="clear" w:pos="2835"/>
        </w:tabs>
        <w:overflowPunct/>
        <w:autoSpaceDE/>
        <w:autoSpaceDN/>
        <w:adjustRightInd/>
        <w:spacing w:before="0"/>
        <w:textAlignment w:val="auto"/>
        <w:rPr>
          <w:rFonts w:asciiTheme="minorHAnsi" w:eastAsiaTheme="minorEastAsia" w:hAnsiTheme="minorHAnsi" w:cstheme="minorBidi"/>
          <w:szCs w:val="24"/>
        </w:rPr>
      </w:pPr>
      <w:r w:rsidRPr="00AA1DF1">
        <w:rPr>
          <w:rFonts w:asciiTheme="minorHAnsi" w:eastAsiaTheme="minorEastAsia" w:hAnsiTheme="minorHAnsi" w:cstheme="minorBidi"/>
          <w:szCs w:val="24"/>
        </w:rPr>
        <w:br w:type="page"/>
      </w:r>
    </w:p>
    <w:p w14:paraId="62D49496" w14:textId="77777777" w:rsidR="00C550C5" w:rsidRPr="00AA1DF1" w:rsidRDefault="00C550C5" w:rsidP="00C550C5">
      <w:pPr>
        <w:pStyle w:val="TableNo"/>
      </w:pPr>
      <w:r w:rsidRPr="00AA1DF1">
        <w:lastRenderedPageBreak/>
        <w:t>Tableau 1</w:t>
      </w:r>
    </w:p>
    <w:p w14:paraId="10551D5B" w14:textId="0447E0B7" w:rsidR="00C550C5" w:rsidRPr="00AA1DF1" w:rsidRDefault="00C550C5" w:rsidP="00C550C5">
      <w:pPr>
        <w:pStyle w:val="Tabletitle"/>
      </w:pPr>
      <w:r w:rsidRPr="00AA1DF1">
        <w:rPr>
          <w:bCs/>
        </w:rPr>
        <w:t>Calendrier pour l</w:t>
      </w:r>
      <w:r w:rsidR="00230D1A" w:rsidRPr="00AA1DF1">
        <w:rPr>
          <w:bCs/>
        </w:rPr>
        <w:t>'</w:t>
      </w:r>
      <w:r w:rsidRPr="00AA1DF1">
        <w:rPr>
          <w:bCs/>
        </w:rPr>
        <w:t>élaboration du rapport de la Secrétaire générale de l</w:t>
      </w:r>
      <w:r w:rsidR="00230D1A" w:rsidRPr="00AA1DF1">
        <w:rPr>
          <w:bCs/>
        </w:rPr>
        <w:t>'</w:t>
      </w:r>
      <w:r w:rsidRPr="00AA1DF1">
        <w:rPr>
          <w:bCs/>
        </w:rPr>
        <w:t>UIT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43"/>
        <w:gridCol w:w="7396"/>
      </w:tblGrid>
      <w:tr w:rsidR="00C550C5" w:rsidRPr="00AA1DF1" w14:paraId="09E11AD9" w14:textId="77777777" w:rsidTr="0046226A">
        <w:trPr>
          <w:cantSplit/>
          <w:jc w:val="center"/>
        </w:trPr>
        <w:tc>
          <w:tcPr>
            <w:tcW w:w="2243" w:type="dxa"/>
          </w:tcPr>
          <w:p w14:paraId="2C53DDE3" w14:textId="77777777" w:rsidR="00C550C5" w:rsidRPr="00AA1DF1" w:rsidRDefault="00C550C5" w:rsidP="0046226A">
            <w:pPr>
              <w:pStyle w:val="Tabletext"/>
              <w:jc w:val="center"/>
              <w:rPr>
                <w:b/>
                <w:bCs/>
              </w:rPr>
            </w:pPr>
            <w:r w:rsidRPr="00AA1DF1">
              <w:rPr>
                <w:b/>
                <w:bCs/>
                <w:color w:val="000000"/>
              </w:rPr>
              <w:t>5 août 2024</w:t>
            </w:r>
          </w:p>
        </w:tc>
        <w:tc>
          <w:tcPr>
            <w:tcW w:w="7396" w:type="dxa"/>
          </w:tcPr>
          <w:p w14:paraId="28741F4A" w14:textId="77777777" w:rsidR="00C550C5" w:rsidRPr="00AA1DF1" w:rsidRDefault="00C550C5" w:rsidP="005A05BD">
            <w:pPr>
              <w:pStyle w:val="Tabletext"/>
              <w:ind w:left="67"/>
            </w:pPr>
            <w:r w:rsidRPr="00AA1DF1">
              <w:rPr>
                <w:color w:val="000000"/>
              </w:rPr>
              <w:t>Un avant-projet de structure du rapport de la Secrétaire générale sera mis en ligne pour observations.</w:t>
            </w:r>
          </w:p>
        </w:tc>
      </w:tr>
      <w:tr w:rsidR="00C550C5" w:rsidRPr="00AA1DF1" w14:paraId="6007A93A" w14:textId="77777777" w:rsidTr="0046226A">
        <w:trPr>
          <w:cantSplit/>
          <w:jc w:val="center"/>
        </w:trPr>
        <w:tc>
          <w:tcPr>
            <w:tcW w:w="2243" w:type="dxa"/>
          </w:tcPr>
          <w:p w14:paraId="1BCFBCD1" w14:textId="77777777" w:rsidR="00C550C5" w:rsidRPr="00AA1DF1" w:rsidRDefault="00C550C5" w:rsidP="0046226A">
            <w:pPr>
              <w:pStyle w:val="Tabletext"/>
              <w:jc w:val="center"/>
              <w:rPr>
                <w:b/>
                <w:bCs/>
              </w:rPr>
            </w:pPr>
            <w:r w:rsidRPr="00AA1DF1">
              <w:rPr>
                <w:b/>
                <w:bCs/>
                <w:color w:val="000000"/>
              </w:rPr>
              <w:t>26 août 2024</w:t>
            </w:r>
          </w:p>
        </w:tc>
        <w:tc>
          <w:tcPr>
            <w:tcW w:w="7396" w:type="dxa"/>
          </w:tcPr>
          <w:p w14:paraId="0B8B6A6E" w14:textId="6BA5DA93" w:rsidR="00C550C5" w:rsidRPr="00AA1DF1" w:rsidRDefault="00C550C5" w:rsidP="005A05BD">
            <w:pPr>
              <w:pStyle w:val="Tabletext"/>
              <w:ind w:left="67"/>
            </w:pPr>
            <w:r w:rsidRPr="00AA1DF1">
              <w:rPr>
                <w:color w:val="000000"/>
              </w:rPr>
              <w:t>Date limite de réception des observations sur l</w:t>
            </w:r>
            <w:r w:rsidR="00230D1A" w:rsidRPr="00AA1DF1">
              <w:rPr>
                <w:color w:val="000000"/>
              </w:rPr>
              <w:t>'</w:t>
            </w:r>
            <w:r w:rsidRPr="00AA1DF1">
              <w:rPr>
                <w:color w:val="000000"/>
              </w:rPr>
              <w:t>avant-projet et des contributions relatives aux grandes lignes des possibles projets d</w:t>
            </w:r>
            <w:r w:rsidR="00230D1A" w:rsidRPr="00AA1DF1">
              <w:rPr>
                <w:color w:val="000000"/>
              </w:rPr>
              <w:t>'</w:t>
            </w:r>
            <w:r w:rsidRPr="00AA1DF1">
              <w:rPr>
                <w:color w:val="000000"/>
              </w:rPr>
              <w:t>avis.</w:t>
            </w:r>
          </w:p>
          <w:p w14:paraId="7E7EC2E4" w14:textId="2348C465" w:rsidR="00C550C5" w:rsidRPr="00AA1DF1" w:rsidRDefault="00C550C5" w:rsidP="005A05BD">
            <w:pPr>
              <w:pStyle w:val="Tabletext"/>
              <w:ind w:left="67"/>
            </w:pPr>
            <w:r w:rsidRPr="00AA1DF1">
              <w:rPr>
                <w:color w:val="000000"/>
              </w:rPr>
              <w:t>Date limite pour la désignation des membres du groupe d</w:t>
            </w:r>
            <w:r w:rsidR="00230D1A" w:rsidRPr="00AA1DF1">
              <w:rPr>
                <w:color w:val="000000"/>
              </w:rPr>
              <w:t>'</w:t>
            </w:r>
            <w:r w:rsidRPr="00AA1DF1">
              <w:rPr>
                <w:color w:val="000000"/>
              </w:rPr>
              <w:t>experts équilibré qui donnera des avis à la Secrétaire générale sur la suite de l</w:t>
            </w:r>
            <w:r w:rsidR="00230D1A" w:rsidRPr="00AA1DF1">
              <w:rPr>
                <w:color w:val="000000"/>
              </w:rPr>
              <w:t>'</w:t>
            </w:r>
            <w:r w:rsidRPr="00AA1DF1">
              <w:rPr>
                <w:color w:val="000000"/>
              </w:rPr>
              <w:t>élaboration du rapport et sur les projets d</w:t>
            </w:r>
            <w:r w:rsidR="00230D1A" w:rsidRPr="00AA1DF1">
              <w:rPr>
                <w:color w:val="000000"/>
              </w:rPr>
              <w:t>'</w:t>
            </w:r>
            <w:r w:rsidRPr="00AA1DF1">
              <w:rPr>
                <w:color w:val="000000"/>
              </w:rPr>
              <w:t>avis associés à ce rapport.</w:t>
            </w:r>
          </w:p>
        </w:tc>
      </w:tr>
      <w:tr w:rsidR="00C550C5" w:rsidRPr="00AA1DF1" w14:paraId="3BD1AA01" w14:textId="77777777" w:rsidTr="0046226A">
        <w:trPr>
          <w:cantSplit/>
          <w:jc w:val="center"/>
        </w:trPr>
        <w:tc>
          <w:tcPr>
            <w:tcW w:w="2243" w:type="dxa"/>
          </w:tcPr>
          <w:p w14:paraId="20F3EE6A" w14:textId="3C3683AC" w:rsidR="00C550C5" w:rsidRPr="00AA1DF1" w:rsidRDefault="00C550C5" w:rsidP="0046226A">
            <w:pPr>
              <w:pStyle w:val="Tabletext"/>
              <w:jc w:val="center"/>
              <w:rPr>
                <w:b/>
                <w:bCs/>
              </w:rPr>
            </w:pPr>
            <w:r w:rsidRPr="00AA1DF1">
              <w:rPr>
                <w:b/>
                <w:bCs/>
                <w:color w:val="000000"/>
              </w:rPr>
              <w:t xml:space="preserve">1ère réunion du GEI </w:t>
            </w:r>
            <w:r w:rsidR="0099381A" w:rsidRPr="00AA1DF1">
              <w:rPr>
                <w:b/>
                <w:bCs/>
                <w:color w:val="000000"/>
              </w:rPr>
              <w:br/>
            </w:r>
            <w:r w:rsidRPr="00AA1DF1">
              <w:rPr>
                <w:b/>
                <w:bCs/>
                <w:color w:val="000000"/>
              </w:rPr>
              <w:t>(7-8 octobre 2024, pendant la série de réunions des GTC)</w:t>
            </w:r>
          </w:p>
        </w:tc>
        <w:tc>
          <w:tcPr>
            <w:tcW w:w="7396" w:type="dxa"/>
          </w:tcPr>
          <w:p w14:paraId="490E11E7" w14:textId="566B4EA4" w:rsidR="00C550C5" w:rsidRPr="00AA1DF1" w:rsidRDefault="00C550C5" w:rsidP="005A05BD">
            <w:pPr>
              <w:pStyle w:val="Tabletext"/>
              <w:ind w:left="67"/>
            </w:pPr>
            <w:r w:rsidRPr="00AA1DF1">
              <w:rPr>
                <w:color w:val="000000"/>
              </w:rPr>
              <w:t>Première réunion du groupe d</w:t>
            </w:r>
            <w:r w:rsidR="00230D1A" w:rsidRPr="00AA1DF1">
              <w:rPr>
                <w:color w:val="000000"/>
              </w:rPr>
              <w:t>'</w:t>
            </w:r>
            <w:r w:rsidRPr="00AA1DF1">
              <w:rPr>
                <w:color w:val="000000"/>
              </w:rPr>
              <w:t>experts pour examiner l</w:t>
            </w:r>
            <w:r w:rsidR="00230D1A" w:rsidRPr="00AA1DF1">
              <w:rPr>
                <w:color w:val="000000"/>
              </w:rPr>
              <w:t>'</w:t>
            </w:r>
            <w:r w:rsidRPr="00AA1DF1">
              <w:rPr>
                <w:color w:val="000000"/>
              </w:rPr>
              <w:t>avant-projet de rapport de la Secrétaire générale et les observations reçues.</w:t>
            </w:r>
          </w:p>
        </w:tc>
      </w:tr>
      <w:tr w:rsidR="00C550C5" w:rsidRPr="00AA1DF1" w14:paraId="4903A2DB" w14:textId="77777777" w:rsidTr="0046226A">
        <w:trPr>
          <w:cantSplit/>
          <w:jc w:val="center"/>
        </w:trPr>
        <w:tc>
          <w:tcPr>
            <w:tcW w:w="2243" w:type="dxa"/>
          </w:tcPr>
          <w:p w14:paraId="7573AF18" w14:textId="77777777" w:rsidR="00C550C5" w:rsidRPr="00AA1DF1" w:rsidRDefault="00C550C5" w:rsidP="0046226A">
            <w:pPr>
              <w:pStyle w:val="Tabletext"/>
              <w:jc w:val="center"/>
              <w:rPr>
                <w:b/>
                <w:bCs/>
              </w:rPr>
            </w:pPr>
            <w:r w:rsidRPr="00AA1DF1">
              <w:rPr>
                <w:b/>
                <w:bCs/>
                <w:color w:val="000000"/>
              </w:rPr>
              <w:t>18 novembre 2024</w:t>
            </w:r>
          </w:p>
        </w:tc>
        <w:tc>
          <w:tcPr>
            <w:tcW w:w="7396" w:type="dxa"/>
          </w:tcPr>
          <w:p w14:paraId="7211178A" w14:textId="4EC1A31D" w:rsidR="00C550C5" w:rsidRPr="00AA1DF1" w:rsidRDefault="00C550C5" w:rsidP="005A05BD">
            <w:pPr>
              <w:pStyle w:val="Tabletext"/>
              <w:ind w:left="67"/>
            </w:pPr>
            <w:r w:rsidRPr="00AA1DF1">
              <w:rPr>
                <w:color w:val="000000"/>
              </w:rPr>
              <w:t>Une deuxième version du projet de rapport de la Secrétaire générale, intégrant les débats de la première réunion du GEI et reprenant les grandes lignes des projets d</w:t>
            </w:r>
            <w:r w:rsidR="00230D1A" w:rsidRPr="00AA1DF1">
              <w:rPr>
                <w:color w:val="000000"/>
              </w:rPr>
              <w:t>'</w:t>
            </w:r>
            <w:r w:rsidRPr="00AA1DF1">
              <w:rPr>
                <w:color w:val="000000"/>
              </w:rPr>
              <w:t>avis, sera publiée en ligne.</w:t>
            </w:r>
          </w:p>
          <w:p w14:paraId="14C0F1A9" w14:textId="77777777" w:rsidR="00C550C5" w:rsidRPr="00AA1DF1" w:rsidRDefault="00C550C5" w:rsidP="005A05BD">
            <w:pPr>
              <w:pStyle w:val="Tabletext"/>
              <w:ind w:left="67"/>
            </w:pPr>
            <w:r w:rsidRPr="00AA1DF1">
              <w:rPr>
                <w:color w:val="000000"/>
              </w:rPr>
              <w:t>Cette version du projet de rapport sera également mise en ligne aux fins de consultations ouvertes publiques.</w:t>
            </w:r>
          </w:p>
        </w:tc>
      </w:tr>
      <w:tr w:rsidR="00C550C5" w:rsidRPr="00AA1DF1" w14:paraId="2DC7028F" w14:textId="77777777" w:rsidTr="0046226A">
        <w:trPr>
          <w:cantSplit/>
          <w:jc w:val="center"/>
        </w:trPr>
        <w:tc>
          <w:tcPr>
            <w:tcW w:w="2243" w:type="dxa"/>
          </w:tcPr>
          <w:p w14:paraId="2B8B89D2" w14:textId="77777777" w:rsidR="00C550C5" w:rsidRPr="00AA1DF1" w:rsidRDefault="00C550C5" w:rsidP="0046226A">
            <w:pPr>
              <w:pStyle w:val="Tabletext"/>
              <w:jc w:val="center"/>
              <w:rPr>
                <w:b/>
                <w:bCs/>
              </w:rPr>
            </w:pPr>
            <w:r w:rsidRPr="00AA1DF1">
              <w:rPr>
                <w:b/>
                <w:bCs/>
                <w:color w:val="000000"/>
              </w:rPr>
              <w:t>13 janvier 2025</w:t>
            </w:r>
          </w:p>
        </w:tc>
        <w:tc>
          <w:tcPr>
            <w:tcW w:w="7396" w:type="dxa"/>
          </w:tcPr>
          <w:p w14:paraId="23330419" w14:textId="6898FD5A" w:rsidR="00C550C5" w:rsidRPr="00AA1DF1" w:rsidRDefault="00C550C5" w:rsidP="005A05BD">
            <w:pPr>
              <w:pStyle w:val="Tabletext"/>
              <w:ind w:left="67"/>
            </w:pPr>
            <w:r w:rsidRPr="00AA1DF1">
              <w:rPr>
                <w:color w:val="000000"/>
              </w:rPr>
              <w:t>Date limite de réception des observations sur la deuxième version du projet et des contributions relatives aux possibles projets d</w:t>
            </w:r>
            <w:r w:rsidR="00230D1A" w:rsidRPr="00AA1DF1">
              <w:rPr>
                <w:color w:val="000000"/>
              </w:rPr>
              <w:t>'</w:t>
            </w:r>
            <w:r w:rsidRPr="00AA1DF1">
              <w:rPr>
                <w:color w:val="000000"/>
              </w:rPr>
              <w:t>avis.</w:t>
            </w:r>
          </w:p>
          <w:p w14:paraId="7730FF81" w14:textId="77777777" w:rsidR="00C550C5" w:rsidRPr="00AA1DF1" w:rsidRDefault="00C550C5" w:rsidP="005A05BD">
            <w:pPr>
              <w:pStyle w:val="Tabletext"/>
              <w:ind w:left="67"/>
            </w:pPr>
            <w:r w:rsidRPr="00AA1DF1">
              <w:rPr>
                <w:color w:val="000000"/>
              </w:rPr>
              <w:t>Date limite de soumission des contributions issues des consultations ouvertes publiques.</w:t>
            </w:r>
          </w:p>
        </w:tc>
      </w:tr>
      <w:tr w:rsidR="00C550C5" w:rsidRPr="00AA1DF1" w14:paraId="2AE2A236" w14:textId="77777777" w:rsidTr="0046226A">
        <w:trPr>
          <w:cantSplit/>
          <w:jc w:val="center"/>
        </w:trPr>
        <w:tc>
          <w:tcPr>
            <w:tcW w:w="2243" w:type="dxa"/>
          </w:tcPr>
          <w:p w14:paraId="46B9E3D1" w14:textId="77777777" w:rsidR="00C550C5" w:rsidRPr="00AA1DF1" w:rsidRDefault="00C550C5" w:rsidP="0046226A">
            <w:pPr>
              <w:pStyle w:val="Tabletext"/>
              <w:jc w:val="center"/>
              <w:rPr>
                <w:b/>
                <w:bCs/>
              </w:rPr>
            </w:pPr>
            <w:r w:rsidRPr="00AA1DF1">
              <w:rPr>
                <w:b/>
                <w:bCs/>
                <w:color w:val="000000"/>
              </w:rPr>
              <w:t>2ème réunion du GEI (13-14 février 2025, pendant la série de réunions des GTC)</w:t>
            </w:r>
          </w:p>
        </w:tc>
        <w:tc>
          <w:tcPr>
            <w:tcW w:w="7396" w:type="dxa"/>
          </w:tcPr>
          <w:p w14:paraId="6465A7C8" w14:textId="05F3FC7D" w:rsidR="00C550C5" w:rsidRPr="00AA1DF1" w:rsidRDefault="00C550C5" w:rsidP="005A05BD">
            <w:pPr>
              <w:pStyle w:val="Tabletext"/>
              <w:ind w:left="67"/>
            </w:pPr>
            <w:r w:rsidRPr="00AA1DF1">
              <w:rPr>
                <w:color w:val="000000"/>
              </w:rPr>
              <w:t>Deuxième réunion du groupe d</w:t>
            </w:r>
            <w:r w:rsidR="00230D1A" w:rsidRPr="00AA1DF1">
              <w:rPr>
                <w:color w:val="000000"/>
              </w:rPr>
              <w:t>'</w:t>
            </w:r>
            <w:r w:rsidRPr="00AA1DF1">
              <w:rPr>
                <w:color w:val="000000"/>
              </w:rPr>
              <w:t>experts pour examiner la deuxième version du projet de rapport de la Secrétaire générale ainsi que les possibles projets d</w:t>
            </w:r>
            <w:r w:rsidR="00230D1A" w:rsidRPr="00AA1DF1">
              <w:rPr>
                <w:color w:val="000000"/>
              </w:rPr>
              <w:t>'</w:t>
            </w:r>
            <w:r w:rsidRPr="00AA1DF1">
              <w:rPr>
                <w:color w:val="000000"/>
              </w:rPr>
              <w:t>avis et les observations reçues, y compris celles résultant des consultations ouvertes publiques.</w:t>
            </w:r>
          </w:p>
        </w:tc>
      </w:tr>
      <w:tr w:rsidR="00C550C5" w:rsidRPr="00AA1DF1" w14:paraId="4AF71730" w14:textId="77777777" w:rsidTr="0046226A">
        <w:trPr>
          <w:cantSplit/>
          <w:jc w:val="center"/>
        </w:trPr>
        <w:tc>
          <w:tcPr>
            <w:tcW w:w="2243" w:type="dxa"/>
          </w:tcPr>
          <w:p w14:paraId="5375C370" w14:textId="77777777" w:rsidR="00C550C5" w:rsidRPr="00AA1DF1" w:rsidRDefault="00C550C5" w:rsidP="0046226A">
            <w:pPr>
              <w:pStyle w:val="Tabletext"/>
              <w:jc w:val="center"/>
              <w:rPr>
                <w:b/>
                <w:bCs/>
              </w:rPr>
            </w:pPr>
            <w:r w:rsidRPr="00AA1DF1">
              <w:rPr>
                <w:b/>
                <w:bCs/>
                <w:color w:val="000000"/>
              </w:rPr>
              <w:t>31 mars 2025</w:t>
            </w:r>
          </w:p>
        </w:tc>
        <w:tc>
          <w:tcPr>
            <w:tcW w:w="7396" w:type="dxa"/>
          </w:tcPr>
          <w:p w14:paraId="67D78703" w14:textId="708DB384" w:rsidR="00C550C5" w:rsidRPr="00AA1DF1" w:rsidRDefault="00C550C5" w:rsidP="005A05BD">
            <w:pPr>
              <w:pStyle w:val="Tabletext"/>
              <w:ind w:left="67"/>
            </w:pPr>
            <w:r w:rsidRPr="00AA1DF1">
              <w:rPr>
                <w:color w:val="000000"/>
              </w:rPr>
              <w:t>La troisième version du projet de rapport de la Secrétaire générale, intégrant les débats de la deuxième réunion du GEI et reprenant le texte des possibles projets d</w:t>
            </w:r>
            <w:r w:rsidR="00230D1A" w:rsidRPr="00AA1DF1">
              <w:rPr>
                <w:color w:val="000000"/>
              </w:rPr>
              <w:t>'</w:t>
            </w:r>
            <w:r w:rsidRPr="00AA1DF1">
              <w:rPr>
                <w:color w:val="000000"/>
              </w:rPr>
              <w:t>avis en annexe, sera mise en ligne.</w:t>
            </w:r>
          </w:p>
          <w:p w14:paraId="52636A6F" w14:textId="77777777" w:rsidR="00C550C5" w:rsidRPr="00AA1DF1" w:rsidRDefault="00C550C5" w:rsidP="005A05BD">
            <w:pPr>
              <w:pStyle w:val="Tabletext"/>
              <w:ind w:left="67"/>
            </w:pPr>
            <w:r w:rsidRPr="00AA1DF1">
              <w:rPr>
                <w:color w:val="000000"/>
              </w:rPr>
              <w:t>Cette version du projet de rapport sera également mise en ligne aux fins de consultations ouvertes publiques.</w:t>
            </w:r>
          </w:p>
        </w:tc>
      </w:tr>
      <w:tr w:rsidR="00C550C5" w:rsidRPr="00AA1DF1" w14:paraId="2455B23C" w14:textId="77777777" w:rsidTr="0046226A">
        <w:trPr>
          <w:cantSplit/>
          <w:jc w:val="center"/>
        </w:trPr>
        <w:tc>
          <w:tcPr>
            <w:tcW w:w="2243" w:type="dxa"/>
          </w:tcPr>
          <w:p w14:paraId="044177BD" w14:textId="77777777" w:rsidR="00C550C5" w:rsidRPr="00AA1DF1" w:rsidRDefault="00C550C5" w:rsidP="0046226A">
            <w:pPr>
              <w:pStyle w:val="Tabletext"/>
              <w:jc w:val="center"/>
              <w:rPr>
                <w:b/>
                <w:bCs/>
              </w:rPr>
            </w:pPr>
            <w:r w:rsidRPr="00AA1DF1">
              <w:rPr>
                <w:b/>
                <w:bCs/>
                <w:color w:val="000000"/>
              </w:rPr>
              <w:t>16 juin 2025</w:t>
            </w:r>
          </w:p>
        </w:tc>
        <w:tc>
          <w:tcPr>
            <w:tcW w:w="7396" w:type="dxa"/>
          </w:tcPr>
          <w:p w14:paraId="5E9B4555" w14:textId="59E3A801" w:rsidR="00C550C5" w:rsidRPr="00AA1DF1" w:rsidRDefault="00C550C5" w:rsidP="005A05BD">
            <w:pPr>
              <w:pStyle w:val="Tabletext"/>
              <w:ind w:left="67"/>
            </w:pPr>
            <w:r w:rsidRPr="00AA1DF1">
              <w:rPr>
                <w:color w:val="000000"/>
              </w:rPr>
              <w:t>Date limite de réception des observations sur la troisième version du projet, incluant les possibles projets d</w:t>
            </w:r>
            <w:r w:rsidR="00230D1A" w:rsidRPr="00AA1DF1">
              <w:rPr>
                <w:color w:val="000000"/>
              </w:rPr>
              <w:t>'</w:t>
            </w:r>
            <w:r w:rsidRPr="00AA1DF1">
              <w:rPr>
                <w:color w:val="000000"/>
              </w:rPr>
              <w:t>avis.</w:t>
            </w:r>
          </w:p>
          <w:p w14:paraId="05BFA626" w14:textId="77777777" w:rsidR="00C550C5" w:rsidRPr="00AA1DF1" w:rsidRDefault="00C550C5" w:rsidP="005A05BD">
            <w:pPr>
              <w:pStyle w:val="Tabletext"/>
              <w:ind w:left="67"/>
            </w:pPr>
            <w:r w:rsidRPr="00AA1DF1">
              <w:rPr>
                <w:color w:val="000000"/>
              </w:rPr>
              <w:t>Date limite de réception des observations issues de la consultation ouverte publique.</w:t>
            </w:r>
          </w:p>
        </w:tc>
      </w:tr>
      <w:tr w:rsidR="00C550C5" w:rsidRPr="00AA1DF1" w14:paraId="35A1DD50" w14:textId="77777777" w:rsidTr="0046226A">
        <w:trPr>
          <w:cantSplit/>
          <w:jc w:val="center"/>
        </w:trPr>
        <w:tc>
          <w:tcPr>
            <w:tcW w:w="2243" w:type="dxa"/>
          </w:tcPr>
          <w:p w14:paraId="06A364A4" w14:textId="77777777" w:rsidR="00C550C5" w:rsidRPr="00AA1DF1" w:rsidRDefault="00C550C5" w:rsidP="0046226A">
            <w:pPr>
              <w:pStyle w:val="Tabletext"/>
              <w:jc w:val="center"/>
              <w:rPr>
                <w:b/>
                <w:bCs/>
              </w:rPr>
            </w:pPr>
            <w:r w:rsidRPr="00AA1DF1">
              <w:rPr>
                <w:b/>
                <w:bCs/>
                <w:color w:val="000000"/>
              </w:rPr>
              <w:t>7 août 2025</w:t>
            </w:r>
          </w:p>
        </w:tc>
        <w:tc>
          <w:tcPr>
            <w:tcW w:w="7396" w:type="dxa"/>
          </w:tcPr>
          <w:p w14:paraId="4558ADF0" w14:textId="77777777" w:rsidR="00C550C5" w:rsidRPr="00AA1DF1" w:rsidRDefault="00C550C5" w:rsidP="005A05BD">
            <w:pPr>
              <w:pStyle w:val="Tabletext"/>
              <w:ind w:left="67"/>
            </w:pPr>
            <w:r w:rsidRPr="00AA1DF1">
              <w:rPr>
                <w:color w:val="000000"/>
              </w:rPr>
              <w:t>Date limite intermédiaire pour la soumission des contributions écrites après la publication, le 16 juin 2025, du rapport du Président contenant les projets de texte de base pour les avis.</w:t>
            </w:r>
          </w:p>
          <w:p w14:paraId="7615992A" w14:textId="763B6DAD" w:rsidR="00C550C5" w:rsidRPr="00AA1DF1" w:rsidRDefault="00C550C5" w:rsidP="005A05BD">
            <w:pPr>
              <w:pStyle w:val="Tabletext"/>
              <w:ind w:left="67"/>
            </w:pPr>
            <w:r w:rsidRPr="00AA1DF1">
              <w:rPr>
                <w:color w:val="000000"/>
              </w:rPr>
              <w:t>Ce délai intermédiaire vise à permettre la poursuite de l</w:t>
            </w:r>
            <w:r w:rsidR="00230D1A" w:rsidRPr="00AA1DF1">
              <w:rPr>
                <w:color w:val="000000"/>
              </w:rPr>
              <w:t>'</w:t>
            </w:r>
            <w:r w:rsidRPr="00AA1DF1">
              <w:rPr>
                <w:color w:val="000000"/>
              </w:rPr>
              <w:t>examen des projets d</w:t>
            </w:r>
            <w:r w:rsidR="00230D1A" w:rsidRPr="00AA1DF1">
              <w:rPr>
                <w:color w:val="000000"/>
              </w:rPr>
              <w:t>'</w:t>
            </w:r>
            <w:r w:rsidRPr="00AA1DF1">
              <w:rPr>
                <w:color w:val="000000"/>
              </w:rPr>
              <w:t>avis avant la réunion suivante du groupe d</w:t>
            </w:r>
            <w:r w:rsidR="00230D1A" w:rsidRPr="00AA1DF1">
              <w:rPr>
                <w:color w:val="000000"/>
              </w:rPr>
              <w:t>'</w:t>
            </w:r>
            <w:r w:rsidRPr="00AA1DF1">
              <w:rPr>
                <w:color w:val="000000"/>
              </w:rPr>
              <w:t>experts informel.</w:t>
            </w:r>
          </w:p>
        </w:tc>
      </w:tr>
      <w:tr w:rsidR="00C550C5" w:rsidRPr="00AA1DF1" w14:paraId="46B60F47" w14:textId="77777777" w:rsidTr="0046226A">
        <w:trPr>
          <w:cantSplit/>
          <w:jc w:val="center"/>
        </w:trPr>
        <w:tc>
          <w:tcPr>
            <w:tcW w:w="2243" w:type="dxa"/>
          </w:tcPr>
          <w:p w14:paraId="1DB4260C" w14:textId="77777777" w:rsidR="00C550C5" w:rsidRPr="00AA1DF1" w:rsidRDefault="00C550C5" w:rsidP="0046226A">
            <w:pPr>
              <w:pStyle w:val="Tabletext"/>
              <w:jc w:val="center"/>
              <w:rPr>
                <w:b/>
                <w:bCs/>
              </w:rPr>
            </w:pPr>
            <w:r w:rsidRPr="00AA1DF1">
              <w:rPr>
                <w:b/>
                <w:bCs/>
                <w:color w:val="000000"/>
              </w:rPr>
              <w:t>3ème réunion du GEI (17-19 septembre 2025, pendant la série de réunions des GTC)</w:t>
            </w:r>
          </w:p>
        </w:tc>
        <w:tc>
          <w:tcPr>
            <w:tcW w:w="7396" w:type="dxa"/>
          </w:tcPr>
          <w:p w14:paraId="232467FD" w14:textId="2A985F09" w:rsidR="00C550C5" w:rsidRPr="00AA1DF1" w:rsidRDefault="00C550C5" w:rsidP="005A05BD">
            <w:pPr>
              <w:pStyle w:val="Tabletext"/>
              <w:ind w:left="67"/>
            </w:pPr>
            <w:r w:rsidRPr="00AA1DF1">
              <w:rPr>
                <w:color w:val="000000"/>
              </w:rPr>
              <w:t>Troisième réunion du groupe d</w:t>
            </w:r>
            <w:r w:rsidR="00230D1A" w:rsidRPr="00AA1DF1">
              <w:rPr>
                <w:color w:val="000000"/>
              </w:rPr>
              <w:t>'</w:t>
            </w:r>
            <w:r w:rsidRPr="00AA1DF1">
              <w:rPr>
                <w:color w:val="000000"/>
              </w:rPr>
              <w:t>experts pour examiner la troisième version du projet de rapport de la Secrétaire générale ainsi que les projets d</w:t>
            </w:r>
            <w:r w:rsidR="00230D1A" w:rsidRPr="00AA1DF1">
              <w:rPr>
                <w:color w:val="000000"/>
              </w:rPr>
              <w:t>'</w:t>
            </w:r>
            <w:r w:rsidRPr="00AA1DF1">
              <w:rPr>
                <w:color w:val="000000"/>
              </w:rPr>
              <w:t>avis et les observations reçues, y compris celles résultant des consultations ouvertes publiques.</w:t>
            </w:r>
          </w:p>
        </w:tc>
      </w:tr>
      <w:tr w:rsidR="00C550C5" w:rsidRPr="00AA1DF1" w14:paraId="2B4E9031" w14:textId="77777777" w:rsidTr="0046226A">
        <w:trPr>
          <w:cantSplit/>
          <w:jc w:val="center"/>
        </w:trPr>
        <w:tc>
          <w:tcPr>
            <w:tcW w:w="2243" w:type="dxa"/>
          </w:tcPr>
          <w:p w14:paraId="517503BD" w14:textId="77777777" w:rsidR="00C550C5" w:rsidRPr="00AA1DF1" w:rsidRDefault="00C550C5" w:rsidP="0046226A">
            <w:pPr>
              <w:pStyle w:val="Tabletext"/>
              <w:jc w:val="center"/>
              <w:rPr>
                <w:b/>
                <w:bCs/>
              </w:rPr>
            </w:pPr>
            <w:r w:rsidRPr="00AA1DF1">
              <w:rPr>
                <w:b/>
                <w:bCs/>
                <w:color w:val="000000"/>
              </w:rPr>
              <w:lastRenderedPageBreak/>
              <w:t>3 novembre 2025</w:t>
            </w:r>
          </w:p>
        </w:tc>
        <w:tc>
          <w:tcPr>
            <w:tcW w:w="7396" w:type="dxa"/>
          </w:tcPr>
          <w:p w14:paraId="111D478C" w14:textId="59A597F5" w:rsidR="00C550C5" w:rsidRPr="00AA1DF1" w:rsidRDefault="00C550C5" w:rsidP="005A05BD">
            <w:pPr>
              <w:pStyle w:val="Tabletext"/>
              <w:ind w:left="67"/>
            </w:pPr>
            <w:r w:rsidRPr="00AA1DF1">
              <w:rPr>
                <w:color w:val="000000"/>
              </w:rPr>
              <w:t>La quatrième version du projet de rapport de la Secrétaire générale, reprenant les débats de la troisième réunion du GEI et intégrant les projets d</w:t>
            </w:r>
            <w:r w:rsidR="00230D1A" w:rsidRPr="00AA1DF1">
              <w:rPr>
                <w:color w:val="000000"/>
              </w:rPr>
              <w:t>'</w:t>
            </w:r>
            <w:r w:rsidRPr="00AA1DF1">
              <w:rPr>
                <w:color w:val="000000"/>
              </w:rPr>
              <w:t>avis en annexe, sera mise en ligne.</w:t>
            </w:r>
          </w:p>
        </w:tc>
      </w:tr>
      <w:tr w:rsidR="00C550C5" w:rsidRPr="00AA1DF1" w14:paraId="754E5845" w14:textId="77777777" w:rsidTr="0046226A">
        <w:trPr>
          <w:cantSplit/>
          <w:jc w:val="center"/>
        </w:trPr>
        <w:tc>
          <w:tcPr>
            <w:tcW w:w="2243" w:type="dxa"/>
          </w:tcPr>
          <w:p w14:paraId="7FFE6277" w14:textId="77777777" w:rsidR="00C550C5" w:rsidRPr="00AA1DF1" w:rsidRDefault="00C550C5" w:rsidP="0046226A">
            <w:pPr>
              <w:pStyle w:val="Tabletext"/>
              <w:jc w:val="center"/>
              <w:rPr>
                <w:b/>
                <w:bCs/>
              </w:rPr>
            </w:pPr>
            <w:r w:rsidRPr="00AA1DF1">
              <w:rPr>
                <w:b/>
                <w:bCs/>
                <w:color w:val="000000"/>
              </w:rPr>
              <w:t>19 décembre 2025</w:t>
            </w:r>
          </w:p>
        </w:tc>
        <w:tc>
          <w:tcPr>
            <w:tcW w:w="7396" w:type="dxa"/>
          </w:tcPr>
          <w:p w14:paraId="5D14780C" w14:textId="261B177A" w:rsidR="00C550C5" w:rsidRPr="00AA1DF1" w:rsidRDefault="00C550C5" w:rsidP="005A05BD">
            <w:pPr>
              <w:pStyle w:val="Tabletext"/>
              <w:ind w:left="67"/>
            </w:pPr>
            <w:r w:rsidRPr="00AA1DF1">
              <w:rPr>
                <w:color w:val="000000"/>
              </w:rPr>
              <w:t>Date limite de réception des observations sur la quatrième version du projet de rapport, comprenant le texte des projets d</w:t>
            </w:r>
            <w:r w:rsidR="00230D1A" w:rsidRPr="00AA1DF1">
              <w:rPr>
                <w:color w:val="000000"/>
              </w:rPr>
              <w:t>'</w:t>
            </w:r>
            <w:r w:rsidRPr="00AA1DF1">
              <w:rPr>
                <w:color w:val="000000"/>
              </w:rPr>
              <w:t>avis.</w:t>
            </w:r>
          </w:p>
        </w:tc>
      </w:tr>
      <w:tr w:rsidR="00C550C5" w:rsidRPr="00AA1DF1" w14:paraId="651810E6" w14:textId="77777777" w:rsidTr="0046226A">
        <w:trPr>
          <w:cantSplit/>
          <w:jc w:val="center"/>
        </w:trPr>
        <w:tc>
          <w:tcPr>
            <w:tcW w:w="2243" w:type="dxa"/>
          </w:tcPr>
          <w:p w14:paraId="599D4F31" w14:textId="77777777" w:rsidR="00C550C5" w:rsidRPr="00AA1DF1" w:rsidRDefault="00C550C5" w:rsidP="0046226A">
            <w:pPr>
              <w:pStyle w:val="Tabletext"/>
              <w:jc w:val="center"/>
              <w:rPr>
                <w:b/>
                <w:bCs/>
              </w:rPr>
            </w:pPr>
            <w:r w:rsidRPr="00AA1DF1">
              <w:rPr>
                <w:b/>
                <w:bCs/>
                <w:color w:val="000000"/>
              </w:rPr>
              <w:t>4ème réunion du GEI (21-23 janvier 2026, pendant la série de réunions des GTC)</w:t>
            </w:r>
          </w:p>
        </w:tc>
        <w:tc>
          <w:tcPr>
            <w:tcW w:w="7396" w:type="dxa"/>
          </w:tcPr>
          <w:p w14:paraId="02F3FC05" w14:textId="3B661FB9" w:rsidR="00C550C5" w:rsidRPr="00AA1DF1" w:rsidRDefault="00C550C5" w:rsidP="005A05BD">
            <w:pPr>
              <w:pStyle w:val="Tabletext"/>
              <w:ind w:left="67"/>
            </w:pPr>
            <w:r w:rsidRPr="00AA1DF1">
              <w:rPr>
                <w:color w:val="000000"/>
              </w:rPr>
              <w:t>Quatrième réunion du groupe d</w:t>
            </w:r>
            <w:r w:rsidR="00230D1A" w:rsidRPr="00AA1DF1">
              <w:rPr>
                <w:color w:val="000000"/>
              </w:rPr>
              <w:t>'</w:t>
            </w:r>
            <w:r w:rsidRPr="00AA1DF1">
              <w:rPr>
                <w:color w:val="000000"/>
              </w:rPr>
              <w:t>experts pour achever le projet de rapport de la Secrétaire générale, comprenant la version définitive des projets d</w:t>
            </w:r>
            <w:r w:rsidR="00230D1A" w:rsidRPr="00AA1DF1">
              <w:rPr>
                <w:color w:val="000000"/>
              </w:rPr>
              <w:t>'</w:t>
            </w:r>
            <w:r w:rsidRPr="00AA1DF1">
              <w:rPr>
                <w:color w:val="000000"/>
              </w:rPr>
              <w:t>avis, qui sera soumis au septième FMPT.</w:t>
            </w:r>
          </w:p>
        </w:tc>
      </w:tr>
      <w:tr w:rsidR="00C550C5" w:rsidRPr="00AA1DF1" w14:paraId="0868E804" w14:textId="77777777" w:rsidTr="0046226A">
        <w:trPr>
          <w:cantSplit/>
          <w:jc w:val="center"/>
        </w:trPr>
        <w:tc>
          <w:tcPr>
            <w:tcW w:w="2243" w:type="dxa"/>
          </w:tcPr>
          <w:p w14:paraId="674D3387" w14:textId="77777777" w:rsidR="00C550C5" w:rsidRPr="00AA1DF1" w:rsidRDefault="00C550C5" w:rsidP="0046226A">
            <w:pPr>
              <w:pStyle w:val="Tabletext"/>
              <w:jc w:val="center"/>
              <w:rPr>
                <w:b/>
                <w:bCs/>
              </w:rPr>
            </w:pPr>
            <w:r w:rsidRPr="00AA1DF1">
              <w:rPr>
                <w:b/>
                <w:bCs/>
                <w:color w:val="000000"/>
              </w:rPr>
              <w:t>13 avril 2026</w:t>
            </w:r>
          </w:p>
        </w:tc>
        <w:tc>
          <w:tcPr>
            <w:tcW w:w="7396" w:type="dxa"/>
          </w:tcPr>
          <w:p w14:paraId="17BEA912" w14:textId="27C09B42" w:rsidR="00C550C5" w:rsidRPr="00AA1DF1" w:rsidRDefault="00C550C5" w:rsidP="005A05BD">
            <w:pPr>
              <w:pStyle w:val="Tabletext"/>
              <w:ind w:left="67"/>
            </w:pPr>
            <w:r w:rsidRPr="00AA1DF1">
              <w:rPr>
                <w:color w:val="000000"/>
              </w:rPr>
              <w:t>Le rapport final du Secrétaire général au FMPT sera mis en ligne, avec les projets d</w:t>
            </w:r>
            <w:r w:rsidR="00230D1A" w:rsidRPr="00AA1DF1">
              <w:rPr>
                <w:color w:val="000000"/>
              </w:rPr>
              <w:t>'</w:t>
            </w:r>
            <w:r w:rsidRPr="00AA1DF1">
              <w:rPr>
                <w:color w:val="000000"/>
              </w:rPr>
              <w:t>avis.</w:t>
            </w:r>
          </w:p>
        </w:tc>
      </w:tr>
      <w:tr w:rsidR="00C550C5" w:rsidRPr="00AA1DF1" w14:paraId="5F7D9126" w14:textId="77777777" w:rsidTr="0046226A">
        <w:trPr>
          <w:cantSplit/>
          <w:jc w:val="center"/>
        </w:trPr>
        <w:tc>
          <w:tcPr>
            <w:tcW w:w="2243" w:type="dxa"/>
          </w:tcPr>
          <w:p w14:paraId="3B999814" w14:textId="58A0A15B" w:rsidR="00C550C5" w:rsidRPr="00AA1DF1" w:rsidRDefault="00C550C5" w:rsidP="0046226A">
            <w:pPr>
              <w:pStyle w:val="Tabletext"/>
              <w:jc w:val="center"/>
              <w:rPr>
                <w:b/>
                <w:bCs/>
              </w:rPr>
            </w:pPr>
            <w:r w:rsidRPr="00AA1DF1">
              <w:rPr>
                <w:b/>
                <w:bCs/>
                <w:color w:val="000000"/>
              </w:rPr>
              <w:t>Consultations informelles (24</w:t>
            </w:r>
            <w:r w:rsidR="00F63FB7" w:rsidRPr="00AA1DF1">
              <w:rPr>
                <w:b/>
                <w:bCs/>
                <w:color w:val="000000"/>
              </w:rPr>
              <w:t> </w:t>
            </w:r>
            <w:r w:rsidRPr="00AA1DF1">
              <w:rPr>
                <w:b/>
                <w:bCs/>
                <w:color w:val="000000"/>
              </w:rPr>
              <w:t>février</w:t>
            </w:r>
            <w:r w:rsidR="00F63FB7" w:rsidRPr="00AA1DF1">
              <w:rPr>
                <w:b/>
                <w:bCs/>
                <w:color w:val="000000"/>
              </w:rPr>
              <w:t> </w:t>
            </w:r>
            <w:r w:rsidRPr="00AA1DF1">
              <w:rPr>
                <w:b/>
                <w:bCs/>
                <w:color w:val="000000"/>
              </w:rPr>
              <w:t>2026, 24</w:t>
            </w:r>
            <w:r w:rsidR="00F63FB7" w:rsidRPr="00AA1DF1">
              <w:rPr>
                <w:b/>
                <w:bCs/>
                <w:color w:val="000000"/>
              </w:rPr>
              <w:t> </w:t>
            </w:r>
            <w:r w:rsidRPr="00AA1DF1">
              <w:rPr>
                <w:b/>
                <w:bCs/>
                <w:color w:val="000000"/>
              </w:rPr>
              <w:t>mars 2026, 26</w:t>
            </w:r>
            <w:r w:rsidR="00F63FB7" w:rsidRPr="00AA1DF1">
              <w:rPr>
                <w:b/>
                <w:bCs/>
                <w:color w:val="000000"/>
              </w:rPr>
              <w:t> </w:t>
            </w:r>
            <w:r w:rsidRPr="00AA1DF1">
              <w:rPr>
                <w:b/>
                <w:bCs/>
                <w:color w:val="000000"/>
              </w:rPr>
              <w:t>avril</w:t>
            </w:r>
            <w:r w:rsidR="00F63FB7" w:rsidRPr="00AA1DF1">
              <w:rPr>
                <w:b/>
                <w:bCs/>
                <w:color w:val="000000"/>
              </w:rPr>
              <w:t> </w:t>
            </w:r>
            <w:r w:rsidRPr="00AA1DF1">
              <w:rPr>
                <w:b/>
                <w:bCs/>
                <w:color w:val="000000"/>
              </w:rPr>
              <w:t>2026)</w:t>
            </w:r>
          </w:p>
        </w:tc>
        <w:tc>
          <w:tcPr>
            <w:tcW w:w="7396" w:type="dxa"/>
          </w:tcPr>
          <w:p w14:paraId="0E6BFAB4" w14:textId="2FFDA989" w:rsidR="00C550C5" w:rsidRPr="00AA1DF1" w:rsidRDefault="00C550C5" w:rsidP="005A05BD">
            <w:pPr>
              <w:pStyle w:val="Tabletext"/>
              <w:ind w:left="67"/>
            </w:pPr>
            <w:r w:rsidRPr="00AA1DF1">
              <w:rPr>
                <w:color w:val="000000"/>
              </w:rPr>
              <w:t>Deux projets d</w:t>
            </w:r>
            <w:r w:rsidR="00230D1A" w:rsidRPr="00AA1DF1">
              <w:rPr>
                <w:color w:val="000000"/>
              </w:rPr>
              <w:t>'</w:t>
            </w:r>
            <w:r w:rsidRPr="00AA1DF1">
              <w:rPr>
                <w:color w:val="000000"/>
              </w:rPr>
              <w:t>avis ont nécessité un délai supplémentaire en raison du volume et de la teneur des questions soulevées par les membres du GEI dans chaque domaine thématique. En conséquence, ceux-ci ont décidé d</w:t>
            </w:r>
            <w:r w:rsidR="00230D1A" w:rsidRPr="00AA1DF1">
              <w:rPr>
                <w:color w:val="000000"/>
              </w:rPr>
              <w:t>'</w:t>
            </w:r>
            <w:r w:rsidRPr="00AA1DF1">
              <w:rPr>
                <w:color w:val="000000"/>
              </w:rPr>
              <w:t>organiser trois réunions de suivi informelles pour achever les deux autres projets d</w:t>
            </w:r>
            <w:r w:rsidR="00230D1A" w:rsidRPr="00AA1DF1">
              <w:rPr>
                <w:color w:val="000000"/>
              </w:rPr>
              <w:t>'</w:t>
            </w:r>
            <w:r w:rsidRPr="00AA1DF1">
              <w:rPr>
                <w:color w:val="000000"/>
              </w:rPr>
              <w:t>avis et le Rapport de la Secrétaire générale. Il s</w:t>
            </w:r>
            <w:r w:rsidR="00230D1A" w:rsidRPr="00AA1DF1">
              <w:rPr>
                <w:color w:val="000000"/>
              </w:rPr>
              <w:t>'</w:t>
            </w:r>
            <w:r w:rsidRPr="00AA1DF1">
              <w:rPr>
                <w:color w:val="000000"/>
              </w:rPr>
              <w:t>agit des réunions virtuelles informelles des</w:t>
            </w:r>
            <w:r w:rsidR="00F63FB7" w:rsidRPr="00AA1DF1">
              <w:rPr>
                <w:color w:val="000000"/>
              </w:rPr>
              <w:t> </w:t>
            </w:r>
            <w:r w:rsidRPr="00AA1DF1">
              <w:rPr>
                <w:color w:val="000000"/>
              </w:rPr>
              <w:t>24 février et 24 mars 2026, et d</w:t>
            </w:r>
            <w:r w:rsidR="00230D1A" w:rsidRPr="00AA1DF1">
              <w:rPr>
                <w:color w:val="000000"/>
              </w:rPr>
              <w:t>'</w:t>
            </w:r>
            <w:r w:rsidRPr="00AA1DF1">
              <w:rPr>
                <w:color w:val="000000"/>
              </w:rPr>
              <w:t>une réunion en présentiel informelle avec participation à distance organisée le 26 avril 2026.</w:t>
            </w:r>
          </w:p>
        </w:tc>
      </w:tr>
      <w:tr w:rsidR="00C550C5" w:rsidRPr="00AA1DF1" w14:paraId="5C74977C" w14:textId="77777777" w:rsidTr="0046226A">
        <w:trPr>
          <w:cantSplit/>
          <w:jc w:val="center"/>
        </w:trPr>
        <w:tc>
          <w:tcPr>
            <w:tcW w:w="2243" w:type="dxa"/>
          </w:tcPr>
          <w:p w14:paraId="6F363CC3" w14:textId="77777777" w:rsidR="00C550C5" w:rsidRPr="00AA1DF1" w:rsidRDefault="00C550C5" w:rsidP="0046226A">
            <w:pPr>
              <w:pStyle w:val="Tabletext"/>
              <w:jc w:val="center"/>
              <w:rPr>
                <w:b/>
                <w:bCs/>
              </w:rPr>
            </w:pPr>
            <w:r w:rsidRPr="00AA1DF1">
              <w:rPr>
                <w:b/>
                <w:bCs/>
                <w:color w:val="000000"/>
              </w:rPr>
              <w:t>2-4 septembre 2026</w:t>
            </w:r>
          </w:p>
        </w:tc>
        <w:tc>
          <w:tcPr>
            <w:tcW w:w="7396" w:type="dxa"/>
          </w:tcPr>
          <w:p w14:paraId="0EC5FC81" w14:textId="4258080A" w:rsidR="00C550C5" w:rsidRPr="00AA1DF1" w:rsidRDefault="00C550C5" w:rsidP="005A05BD">
            <w:pPr>
              <w:pStyle w:val="Tabletext"/>
              <w:ind w:left="67"/>
            </w:pPr>
            <w:r w:rsidRPr="00AA1DF1">
              <w:rPr>
                <w:color w:val="000000"/>
              </w:rPr>
              <w:t>Septième Forum mondial des télécommunications/technologies de l</w:t>
            </w:r>
            <w:r w:rsidR="00230D1A" w:rsidRPr="00AA1DF1">
              <w:rPr>
                <w:color w:val="000000"/>
              </w:rPr>
              <w:t>'</w:t>
            </w:r>
            <w:r w:rsidRPr="00AA1DF1">
              <w:rPr>
                <w:color w:val="000000"/>
              </w:rPr>
              <w:t>information et de la communication (FMPT-26), organisé aux Bahamas du</w:t>
            </w:r>
            <w:r w:rsidR="00F63FB7" w:rsidRPr="00AA1DF1">
              <w:rPr>
                <w:color w:val="000000"/>
              </w:rPr>
              <w:t> </w:t>
            </w:r>
            <w:r w:rsidRPr="00AA1DF1">
              <w:rPr>
                <w:color w:val="000000"/>
              </w:rPr>
              <w:t>2</w:t>
            </w:r>
            <w:r w:rsidR="00D57B4D" w:rsidRPr="00AA1DF1">
              <w:rPr>
                <w:color w:val="000000"/>
              </w:rPr>
              <w:t> </w:t>
            </w:r>
            <w:r w:rsidRPr="00AA1DF1">
              <w:rPr>
                <w:color w:val="000000"/>
              </w:rPr>
              <w:t>au</w:t>
            </w:r>
            <w:r w:rsidR="00D57B4D" w:rsidRPr="00AA1DF1">
              <w:rPr>
                <w:color w:val="000000"/>
              </w:rPr>
              <w:t> </w:t>
            </w:r>
            <w:r w:rsidRPr="00AA1DF1">
              <w:rPr>
                <w:color w:val="000000"/>
              </w:rPr>
              <w:t>4</w:t>
            </w:r>
            <w:r w:rsidR="00D57B4D" w:rsidRPr="00AA1DF1">
              <w:rPr>
                <w:color w:val="000000"/>
              </w:rPr>
              <w:t> </w:t>
            </w:r>
            <w:r w:rsidRPr="00AA1DF1">
              <w:rPr>
                <w:color w:val="000000"/>
              </w:rPr>
              <w:t>septembre</w:t>
            </w:r>
            <w:r w:rsidR="00D57B4D" w:rsidRPr="00AA1DF1">
              <w:rPr>
                <w:color w:val="000000"/>
              </w:rPr>
              <w:t> </w:t>
            </w:r>
            <w:r w:rsidRPr="00AA1DF1">
              <w:rPr>
                <w:color w:val="000000"/>
              </w:rPr>
              <w:t>2026, avec un Dialogue stratégique organisé le</w:t>
            </w:r>
            <w:r w:rsidR="00F63FB7" w:rsidRPr="00AA1DF1">
              <w:rPr>
                <w:color w:val="000000"/>
              </w:rPr>
              <w:t> </w:t>
            </w:r>
            <w:r w:rsidRPr="00AA1DF1">
              <w:rPr>
                <w:color w:val="000000"/>
              </w:rPr>
              <w:t>1er</w:t>
            </w:r>
            <w:r w:rsidR="00D57B4D" w:rsidRPr="00AA1DF1">
              <w:rPr>
                <w:color w:val="000000"/>
              </w:rPr>
              <w:t> </w:t>
            </w:r>
            <w:r w:rsidRPr="00AA1DF1">
              <w:rPr>
                <w:color w:val="000000"/>
              </w:rPr>
              <w:t>septembre</w:t>
            </w:r>
            <w:r w:rsidR="00D57B4D" w:rsidRPr="00AA1DF1">
              <w:rPr>
                <w:color w:val="000000"/>
              </w:rPr>
              <w:t> </w:t>
            </w:r>
            <w:r w:rsidRPr="00AA1DF1">
              <w:rPr>
                <w:color w:val="000000"/>
              </w:rPr>
              <w:t>2026</w:t>
            </w:r>
          </w:p>
        </w:tc>
      </w:tr>
    </w:tbl>
    <w:p w14:paraId="29A190ED" w14:textId="77777777" w:rsidR="00F94D05" w:rsidRPr="00AA1DF1" w:rsidRDefault="00F94D05">
      <w:pPr>
        <w:tabs>
          <w:tab w:val="clear" w:pos="567"/>
          <w:tab w:val="clear" w:pos="1134"/>
          <w:tab w:val="clear" w:pos="1701"/>
          <w:tab w:val="clear" w:pos="2268"/>
          <w:tab w:val="clear" w:pos="2835"/>
        </w:tabs>
        <w:overflowPunct/>
        <w:autoSpaceDE/>
        <w:autoSpaceDN/>
        <w:adjustRightInd/>
        <w:spacing w:before="0"/>
        <w:textAlignment w:val="auto"/>
        <w:rPr>
          <w:b/>
          <w:bCs/>
          <w:sz w:val="28"/>
        </w:rPr>
      </w:pPr>
      <w:bookmarkStart w:id="4" w:name="_Hlk181690953"/>
      <w:r w:rsidRPr="00AA1DF1">
        <w:rPr>
          <w:bCs/>
        </w:rPr>
        <w:br w:type="page"/>
      </w:r>
    </w:p>
    <w:p w14:paraId="1A9241E5" w14:textId="161C1CA4" w:rsidR="00C550C5" w:rsidRPr="00AA1DF1" w:rsidRDefault="00C550C5" w:rsidP="00D57B4D">
      <w:pPr>
        <w:pStyle w:val="Heading1"/>
        <w:tabs>
          <w:tab w:val="clear" w:pos="567"/>
        </w:tabs>
        <w:spacing w:before="360"/>
        <w:ind w:left="851" w:hanging="851"/>
      </w:pPr>
      <w:r w:rsidRPr="00AA1DF1">
        <w:rPr>
          <w:bCs/>
        </w:rPr>
        <w:lastRenderedPageBreak/>
        <w:t>3</w:t>
      </w:r>
      <w:r w:rsidRPr="00AA1DF1">
        <w:tab/>
      </w:r>
      <w:r w:rsidRPr="00AA1DF1">
        <w:rPr>
          <w:bCs/>
        </w:rPr>
        <w:t>Thème du FMPT-26</w:t>
      </w:r>
    </w:p>
    <w:bookmarkEnd w:id="4"/>
    <w:p w14:paraId="77F6A02A" w14:textId="3A508EFB" w:rsidR="00C550C5" w:rsidRPr="00AA1DF1" w:rsidRDefault="00C550C5" w:rsidP="00911311">
      <w:pPr>
        <w:tabs>
          <w:tab w:val="clear" w:pos="567"/>
          <w:tab w:val="left" w:pos="851"/>
        </w:tabs>
        <w:jc w:val="both"/>
        <w:rPr>
          <w:rFonts w:asciiTheme="minorHAnsi" w:eastAsiaTheme="minorEastAsia" w:hAnsiTheme="minorHAnsi" w:cstheme="minorBidi"/>
          <w:szCs w:val="24"/>
        </w:rPr>
      </w:pPr>
      <w:r w:rsidRPr="00AA1DF1">
        <w:rPr>
          <w:szCs w:val="24"/>
        </w:rPr>
        <w:t>3.1</w:t>
      </w:r>
      <w:r w:rsidRPr="00AA1DF1">
        <w:rPr>
          <w:szCs w:val="24"/>
        </w:rPr>
        <w:tab/>
        <w:t>En vertu de la Décision 641 (C24), le Conseil a décidé, à sa session de 2024, que le</w:t>
      </w:r>
      <w:r w:rsidR="00F63FB7" w:rsidRPr="00AA1DF1">
        <w:rPr>
          <w:szCs w:val="24"/>
        </w:rPr>
        <w:t> </w:t>
      </w:r>
      <w:r w:rsidRPr="00AA1DF1">
        <w:rPr>
          <w:szCs w:val="24"/>
        </w:rPr>
        <w:t>FMPT</w:t>
      </w:r>
      <w:r w:rsidR="00D57B4D" w:rsidRPr="00AA1DF1">
        <w:rPr>
          <w:szCs w:val="24"/>
        </w:rPr>
        <w:noBreakHyphen/>
      </w:r>
      <w:r w:rsidRPr="00AA1DF1">
        <w:rPr>
          <w:szCs w:val="24"/>
        </w:rPr>
        <w:t>26 serait placé sous le thème présenté au § 1.3</w:t>
      </w:r>
      <w:r w:rsidR="00911311">
        <w:rPr>
          <w:szCs w:val="24"/>
        </w:rPr>
        <w:t>.</w:t>
      </w:r>
    </w:p>
    <w:p w14:paraId="4B6B7161" w14:textId="2C2994E7" w:rsidR="00C550C5" w:rsidRPr="00AA1DF1" w:rsidRDefault="00C550C5" w:rsidP="00911311">
      <w:pPr>
        <w:tabs>
          <w:tab w:val="clear" w:pos="567"/>
          <w:tab w:val="left" w:pos="851"/>
        </w:tabs>
        <w:jc w:val="both"/>
        <w:rPr>
          <w:rFonts w:asciiTheme="minorHAnsi" w:eastAsiaTheme="minorEastAsia" w:hAnsiTheme="minorHAnsi" w:cstheme="minorBidi"/>
          <w:szCs w:val="24"/>
        </w:rPr>
      </w:pPr>
      <w:r w:rsidRPr="00AA1DF1">
        <w:rPr>
          <w:szCs w:val="24"/>
        </w:rPr>
        <w:t>3.2</w:t>
      </w:r>
      <w:r w:rsidRPr="00AA1DF1">
        <w:rPr>
          <w:szCs w:val="24"/>
        </w:rPr>
        <w:tab/>
        <w:t>Dans le but d</w:t>
      </w:r>
      <w:r w:rsidR="00230D1A" w:rsidRPr="00AA1DF1">
        <w:rPr>
          <w:szCs w:val="24"/>
        </w:rPr>
        <w:t>'</w:t>
      </w:r>
      <w:r w:rsidRPr="00AA1DF1">
        <w:rPr>
          <w:szCs w:val="24"/>
        </w:rPr>
        <w:t>accélérer la mise en place d</w:t>
      </w:r>
      <w:r w:rsidR="00230D1A" w:rsidRPr="00AA1DF1">
        <w:rPr>
          <w:szCs w:val="24"/>
        </w:rPr>
        <w:t>'</w:t>
      </w:r>
      <w:r w:rsidRPr="00AA1DF1">
        <w:rPr>
          <w:szCs w:val="24"/>
        </w:rPr>
        <w:t>un avenir numérique inclusif, durable, résilient et innovant, cinq grands thèmes sont présentés pour examen et discussion lors du FMPT-26. Alors que les percées technologiques dans des domaines tels que l</w:t>
      </w:r>
      <w:r w:rsidR="00230D1A" w:rsidRPr="00AA1DF1">
        <w:rPr>
          <w:szCs w:val="24"/>
        </w:rPr>
        <w:t>'</w:t>
      </w:r>
      <w:r w:rsidRPr="00AA1DF1">
        <w:rPr>
          <w:szCs w:val="24"/>
        </w:rPr>
        <w:t>intelligence artificielle (IA), l</w:t>
      </w:r>
      <w:r w:rsidR="00230D1A" w:rsidRPr="00AA1DF1">
        <w:rPr>
          <w:szCs w:val="24"/>
        </w:rPr>
        <w:t>'</w:t>
      </w:r>
      <w:r w:rsidRPr="00AA1DF1">
        <w:rPr>
          <w:szCs w:val="24"/>
        </w:rPr>
        <w:t>informatique quantique, les technologies spatiales et d</w:t>
      </w:r>
      <w:r w:rsidR="00230D1A" w:rsidRPr="00AA1DF1">
        <w:rPr>
          <w:szCs w:val="24"/>
        </w:rPr>
        <w:t>'</w:t>
      </w:r>
      <w:r w:rsidRPr="00AA1DF1">
        <w:rPr>
          <w:szCs w:val="24"/>
        </w:rPr>
        <w:t>autres domaines remodèlent l</w:t>
      </w:r>
      <w:r w:rsidR="00230D1A" w:rsidRPr="00AA1DF1">
        <w:rPr>
          <w:szCs w:val="24"/>
        </w:rPr>
        <w:t>'</w:t>
      </w:r>
      <w:r w:rsidRPr="00AA1DF1">
        <w:rPr>
          <w:szCs w:val="24"/>
        </w:rPr>
        <w:t>économie numérique mondiale, il est essentiel de traiter un large éventail de questions interdépendantes, tout en concevant des politiques publiques susceptibles d</w:t>
      </w:r>
      <w:r w:rsidR="00230D1A" w:rsidRPr="00AA1DF1">
        <w:rPr>
          <w:szCs w:val="24"/>
        </w:rPr>
        <w:t>'</w:t>
      </w:r>
      <w:r w:rsidRPr="00AA1DF1">
        <w:rPr>
          <w:szCs w:val="24"/>
        </w:rPr>
        <w:t>optimiser les possibilités et de résoudre les problèmes liés à l</w:t>
      </w:r>
      <w:r w:rsidR="00230D1A" w:rsidRPr="00AA1DF1">
        <w:rPr>
          <w:szCs w:val="24"/>
        </w:rPr>
        <w:t>'</w:t>
      </w:r>
      <w:r w:rsidRPr="00AA1DF1">
        <w:rPr>
          <w:szCs w:val="24"/>
        </w:rPr>
        <w:t>adoption et à l</w:t>
      </w:r>
      <w:r w:rsidR="00230D1A" w:rsidRPr="00AA1DF1">
        <w:rPr>
          <w:szCs w:val="24"/>
        </w:rPr>
        <w:t>'</w:t>
      </w:r>
      <w:r w:rsidRPr="00AA1DF1">
        <w:rPr>
          <w:szCs w:val="24"/>
        </w:rPr>
        <w:t>utilisation de services et de technologies de télécommunication/TIC nouveaux et émergents. À l</w:t>
      </w:r>
      <w:r w:rsidR="00230D1A" w:rsidRPr="00AA1DF1">
        <w:rPr>
          <w:szCs w:val="24"/>
        </w:rPr>
        <w:t>'</w:t>
      </w:r>
      <w:r w:rsidRPr="00AA1DF1">
        <w:rPr>
          <w:szCs w:val="24"/>
        </w:rPr>
        <w:t>horizon 2026 et au-delà, et compte tenu du peu de temps dont dispose la communauté mondiale pour progresser dans la réalisation des</w:t>
      </w:r>
      <w:r w:rsidR="00F63FB7" w:rsidRPr="00AA1DF1">
        <w:rPr>
          <w:szCs w:val="24"/>
        </w:rPr>
        <w:t> </w:t>
      </w:r>
      <w:r w:rsidRPr="00AA1DF1">
        <w:rPr>
          <w:szCs w:val="24"/>
        </w:rPr>
        <w:t>17</w:t>
      </w:r>
      <w:r w:rsidR="00D57B4D" w:rsidRPr="00AA1DF1">
        <w:rPr>
          <w:szCs w:val="24"/>
        </w:rPr>
        <w:t> </w:t>
      </w:r>
      <w:r w:rsidRPr="00AA1DF1">
        <w:rPr>
          <w:szCs w:val="24"/>
        </w:rPr>
        <w:t>Objectifs de développement durable (ODD) des Nations Unies, il est impératif que les décideurs politiques et les autres parties prenantes adoptent une approche holistique et complémentaire pour élaborer les cadres politiques intégrés nécessaires pour traiter les sujets présentés dans le thème.</w:t>
      </w:r>
    </w:p>
    <w:p w14:paraId="73E97578" w14:textId="73C9C2BA" w:rsidR="00C550C5" w:rsidRPr="00AA1DF1" w:rsidRDefault="00C550C5" w:rsidP="00911311">
      <w:pPr>
        <w:tabs>
          <w:tab w:val="clear" w:pos="567"/>
          <w:tab w:val="left" w:pos="851"/>
        </w:tabs>
        <w:jc w:val="both"/>
        <w:rPr>
          <w:rFonts w:asciiTheme="minorHAnsi" w:eastAsiaTheme="minorEastAsia" w:hAnsiTheme="minorHAnsi" w:cstheme="minorBidi"/>
          <w:szCs w:val="24"/>
        </w:rPr>
      </w:pPr>
      <w:r w:rsidRPr="00AA1DF1">
        <w:rPr>
          <w:szCs w:val="24"/>
        </w:rPr>
        <w:t>3.3</w:t>
      </w:r>
      <w:r w:rsidRPr="00AA1DF1">
        <w:rPr>
          <w:szCs w:val="24"/>
        </w:rPr>
        <w:tab/>
        <w:t>L</w:t>
      </w:r>
      <w:r w:rsidR="00230D1A" w:rsidRPr="00AA1DF1">
        <w:rPr>
          <w:szCs w:val="24"/>
        </w:rPr>
        <w:t>'</w:t>
      </w:r>
      <w:r w:rsidRPr="00AA1DF1">
        <w:rPr>
          <w:szCs w:val="24"/>
        </w:rPr>
        <w:t>instauration d</w:t>
      </w:r>
      <w:r w:rsidR="00230D1A" w:rsidRPr="00AA1DF1">
        <w:rPr>
          <w:szCs w:val="24"/>
        </w:rPr>
        <w:t>'</w:t>
      </w:r>
      <w:r w:rsidRPr="00AA1DF1">
        <w:rPr>
          <w:szCs w:val="24"/>
        </w:rPr>
        <w:t>un environnement propice et solide grâce à l</w:t>
      </w:r>
      <w:r w:rsidR="00230D1A" w:rsidRPr="00AA1DF1">
        <w:rPr>
          <w:szCs w:val="24"/>
        </w:rPr>
        <w:t>'</w:t>
      </w:r>
      <w:r w:rsidRPr="00AA1DF1">
        <w:rPr>
          <w:szCs w:val="24"/>
        </w:rPr>
        <w:t>élaboration de politiques efficaces est essentielle pour faciliter les efforts, en particulier dans les pays en développement, visant à garantir des infrastructures et des services universellement accessibles, abordables, de qualité, interopérables et sûrs, à renforcer la coordination internationale et la normalisation internationale des services et technologies de télécommunication/TIC et à tirer parti des technologies, solutions de connectivité et modèles économiques existants et émergents pour réduire la fracture numérique, en garantissant l</w:t>
      </w:r>
      <w:r w:rsidR="00230D1A" w:rsidRPr="00AA1DF1">
        <w:rPr>
          <w:szCs w:val="24"/>
        </w:rPr>
        <w:t>'</w:t>
      </w:r>
      <w:r w:rsidRPr="00AA1DF1">
        <w:rPr>
          <w:szCs w:val="24"/>
        </w:rPr>
        <w:t>accès dans tous les pays et toutes les régions.</w:t>
      </w:r>
    </w:p>
    <w:p w14:paraId="5E4C77A0" w14:textId="52423457" w:rsidR="00C550C5" w:rsidRPr="00AA1DF1" w:rsidRDefault="00C550C5" w:rsidP="00911311">
      <w:pPr>
        <w:tabs>
          <w:tab w:val="clear" w:pos="567"/>
          <w:tab w:val="left" w:pos="851"/>
        </w:tabs>
        <w:jc w:val="both"/>
        <w:rPr>
          <w:rFonts w:asciiTheme="minorHAnsi" w:eastAsiaTheme="minorEastAsia" w:hAnsiTheme="minorHAnsi" w:cstheme="minorBidi"/>
          <w:szCs w:val="24"/>
        </w:rPr>
      </w:pPr>
      <w:r w:rsidRPr="00AA1DF1">
        <w:rPr>
          <w:szCs w:val="24"/>
        </w:rPr>
        <w:t>3.4</w:t>
      </w:r>
      <w:r w:rsidRPr="00AA1DF1">
        <w:rPr>
          <w:szCs w:val="24"/>
        </w:rPr>
        <w:tab/>
        <w:t>Le présent rapport a été élaboré dans le cadre d</w:t>
      </w:r>
      <w:r w:rsidR="00230D1A" w:rsidRPr="00AA1DF1">
        <w:rPr>
          <w:szCs w:val="24"/>
        </w:rPr>
        <w:t>'</w:t>
      </w:r>
      <w:r w:rsidRPr="00AA1DF1">
        <w:rPr>
          <w:szCs w:val="24"/>
        </w:rPr>
        <w:t>un processus préparatoire ouvert et inclusif, conformément au calendrier établi dans la Décision 641 (Conseil, 2024), et servira de base aux discussions du FMPT-26, compte tenu des contributions et des contributions des experts et des parties prenantes.</w:t>
      </w:r>
    </w:p>
    <w:p w14:paraId="369618DB" w14:textId="2F18E7B5" w:rsidR="00C550C5" w:rsidRPr="00AA1DF1" w:rsidRDefault="00C550C5" w:rsidP="00911311">
      <w:pPr>
        <w:keepNext/>
        <w:keepLines/>
        <w:tabs>
          <w:tab w:val="clear" w:pos="567"/>
          <w:tab w:val="left" w:pos="851"/>
        </w:tabs>
        <w:jc w:val="both"/>
        <w:rPr>
          <w:rFonts w:asciiTheme="minorHAnsi" w:eastAsiaTheme="minorEastAsia" w:hAnsiTheme="minorHAnsi" w:cstheme="minorBidi"/>
          <w:szCs w:val="24"/>
        </w:rPr>
      </w:pPr>
      <w:r w:rsidRPr="00AA1DF1">
        <w:rPr>
          <w:szCs w:val="24"/>
        </w:rPr>
        <w:t>3.5</w:t>
      </w:r>
      <w:r w:rsidRPr="00AA1DF1">
        <w:rPr>
          <w:szCs w:val="24"/>
        </w:rPr>
        <w:tab/>
        <w:t>Le rapport présente les enjeux de politique générale et les principales questions à examiner pour chacune des questions relevant du thème, en vue d</w:t>
      </w:r>
      <w:r w:rsidR="00230D1A" w:rsidRPr="00AA1DF1">
        <w:rPr>
          <w:szCs w:val="24"/>
        </w:rPr>
        <w:t>'</w:t>
      </w:r>
      <w:r w:rsidRPr="00AA1DF1">
        <w:rPr>
          <w:szCs w:val="24"/>
        </w:rPr>
        <w:t>aider les décideurs à réfléchir aux moyens de mettre les services et technologies de télécommunication/TIC nouveaux et émergents au service du développement durable, de bâtir une société et une économie inclusives, et d</w:t>
      </w:r>
      <w:r w:rsidR="00230D1A" w:rsidRPr="00AA1DF1">
        <w:rPr>
          <w:szCs w:val="24"/>
        </w:rPr>
        <w:t>'</w:t>
      </w:r>
      <w:r w:rsidRPr="00AA1DF1">
        <w:rPr>
          <w:szCs w:val="24"/>
        </w:rPr>
        <w:t>œuvrer à réduire la fracture numérique pour tous, y compris les femmes et les jeunes filles, les jeunes, les peuples autochtones, les personnes âgées, les personnes handicapées et les personnes ayant des besoins particuliers, et à promouvoir et permettre la transformation numérique dans tous les domaines de la vie et dans tous les domaines d</w:t>
      </w:r>
      <w:r w:rsidR="00230D1A" w:rsidRPr="00AA1DF1">
        <w:rPr>
          <w:szCs w:val="24"/>
        </w:rPr>
        <w:t>'</w:t>
      </w:r>
      <w:r w:rsidRPr="00AA1DF1">
        <w:rPr>
          <w:szCs w:val="24"/>
        </w:rPr>
        <w:t>activité, en particulier pour faire face à la double crise climatique et environnementale, favoriser les progrès continus de la science, promouvoir l</w:t>
      </w:r>
      <w:r w:rsidR="00230D1A" w:rsidRPr="00AA1DF1">
        <w:rPr>
          <w:szCs w:val="24"/>
        </w:rPr>
        <w:t>'</w:t>
      </w:r>
      <w:r w:rsidRPr="00AA1DF1">
        <w:rPr>
          <w:szCs w:val="24"/>
        </w:rPr>
        <w:t>exploration durable de la Terre et de l</w:t>
      </w:r>
      <w:r w:rsidR="00230D1A" w:rsidRPr="00AA1DF1">
        <w:rPr>
          <w:szCs w:val="24"/>
        </w:rPr>
        <w:t>'</w:t>
      </w:r>
      <w:r w:rsidRPr="00AA1DF1">
        <w:rPr>
          <w:szCs w:val="24"/>
        </w:rPr>
        <w:t>espace et encourager l</w:t>
      </w:r>
      <w:r w:rsidR="00230D1A" w:rsidRPr="00AA1DF1">
        <w:rPr>
          <w:szCs w:val="24"/>
        </w:rPr>
        <w:t>'</w:t>
      </w:r>
      <w:r w:rsidRPr="00AA1DF1">
        <w:rPr>
          <w:szCs w:val="24"/>
        </w:rPr>
        <w:t>utilisation des ressources dans l</w:t>
      </w:r>
      <w:r w:rsidR="00230D1A" w:rsidRPr="00AA1DF1">
        <w:rPr>
          <w:szCs w:val="24"/>
        </w:rPr>
        <w:t>'</w:t>
      </w:r>
      <w:r w:rsidRPr="00AA1DF1">
        <w:rPr>
          <w:szCs w:val="24"/>
        </w:rPr>
        <w:t>intérêt de tous.</w:t>
      </w:r>
    </w:p>
    <w:p w14:paraId="37445A55" w14:textId="7C9106C0" w:rsidR="00C550C5" w:rsidRPr="00AA1DF1" w:rsidRDefault="00C550C5" w:rsidP="00911311">
      <w:pPr>
        <w:tabs>
          <w:tab w:val="clear" w:pos="567"/>
          <w:tab w:val="left" w:pos="851"/>
        </w:tabs>
        <w:jc w:val="both"/>
        <w:rPr>
          <w:rFonts w:asciiTheme="minorHAnsi" w:eastAsiaTheme="minorEastAsia" w:hAnsiTheme="minorHAnsi" w:cstheme="minorBidi"/>
          <w:szCs w:val="24"/>
        </w:rPr>
      </w:pPr>
      <w:r w:rsidRPr="00AA1DF1">
        <w:rPr>
          <w:szCs w:val="24"/>
        </w:rPr>
        <w:t>3.6</w:t>
      </w:r>
      <w:r w:rsidRPr="00AA1DF1">
        <w:rPr>
          <w:szCs w:val="24"/>
        </w:rPr>
        <w:tab/>
        <w:t>Chacun des thèmes est examiné dans les sections ci-après et les projets d</w:t>
      </w:r>
      <w:r w:rsidR="00230D1A" w:rsidRPr="00AA1DF1">
        <w:rPr>
          <w:szCs w:val="24"/>
        </w:rPr>
        <w:t>'</w:t>
      </w:r>
      <w:r w:rsidRPr="00AA1DF1">
        <w:rPr>
          <w:szCs w:val="24"/>
        </w:rPr>
        <w:t>Avis approuvés par le Groupe informel d</w:t>
      </w:r>
      <w:r w:rsidR="00230D1A" w:rsidRPr="00AA1DF1">
        <w:rPr>
          <w:szCs w:val="24"/>
        </w:rPr>
        <w:t>'</w:t>
      </w:r>
      <w:r w:rsidRPr="00AA1DF1">
        <w:rPr>
          <w:szCs w:val="24"/>
        </w:rPr>
        <w:t xml:space="preserve">experts pendant le processus préparatoire sont présentés en </w:t>
      </w:r>
      <w:proofErr w:type="gramStart"/>
      <w:r w:rsidRPr="00AA1DF1">
        <w:rPr>
          <w:szCs w:val="24"/>
        </w:rPr>
        <w:t>Annexe:</w:t>
      </w:r>
      <w:proofErr w:type="gramEnd"/>
    </w:p>
    <w:p w14:paraId="544A4160" w14:textId="77777777" w:rsidR="00C550C5" w:rsidRPr="00A50DC7" w:rsidRDefault="00C550C5" w:rsidP="00A50DC7">
      <w:pPr>
        <w:pStyle w:val="enumlev1"/>
        <w:jc w:val="both"/>
      </w:pPr>
      <w:r w:rsidRPr="00AA1DF1">
        <w:t>–</w:t>
      </w:r>
      <w:r w:rsidRPr="00AA1DF1">
        <w:tab/>
      </w:r>
      <w:r w:rsidRPr="00A50DC7">
        <w:t xml:space="preserve">Section </w:t>
      </w:r>
      <w:proofErr w:type="gramStart"/>
      <w:r w:rsidRPr="00A50DC7">
        <w:t>4:</w:t>
      </w:r>
      <w:proofErr w:type="gramEnd"/>
      <w:r w:rsidRPr="00A50DC7">
        <w:t xml:space="preserve"> La réduction des fractures numériques, en particulier entre les hommes et les femmes et entre les jeunes et les personnes âgées, ainsi que les compétences et la connectivité</w:t>
      </w:r>
    </w:p>
    <w:p w14:paraId="3FBAD931" w14:textId="5BF11CA1" w:rsidR="00C550C5" w:rsidRPr="00A50DC7" w:rsidRDefault="00C550C5" w:rsidP="00A50DC7">
      <w:pPr>
        <w:pStyle w:val="enumlev1"/>
        <w:jc w:val="both"/>
      </w:pPr>
      <w:r w:rsidRPr="00A50DC7">
        <w:t>–</w:t>
      </w:r>
      <w:r w:rsidRPr="00A50DC7">
        <w:tab/>
        <w:t xml:space="preserve">Section </w:t>
      </w:r>
      <w:proofErr w:type="gramStart"/>
      <w:r w:rsidRPr="00A50DC7">
        <w:t>5:</w:t>
      </w:r>
      <w:proofErr w:type="gramEnd"/>
      <w:r w:rsidRPr="00A50DC7">
        <w:t xml:space="preserve"> Transformation numérique </w:t>
      </w:r>
      <w:proofErr w:type="gramStart"/>
      <w:r w:rsidRPr="00A50DC7">
        <w:t>écologique:</w:t>
      </w:r>
      <w:proofErr w:type="gramEnd"/>
      <w:r w:rsidRPr="00A50DC7">
        <w:t xml:space="preserve"> changements climatiques et durabilité environnementale</w:t>
      </w:r>
    </w:p>
    <w:p w14:paraId="7E2AF40E" w14:textId="4BE4219B" w:rsidR="00C550C5" w:rsidRPr="00A50DC7" w:rsidRDefault="00C550C5" w:rsidP="00A50DC7">
      <w:pPr>
        <w:pStyle w:val="enumlev1"/>
        <w:jc w:val="both"/>
      </w:pPr>
      <w:r w:rsidRPr="00A50DC7">
        <w:t>–</w:t>
      </w:r>
      <w:r w:rsidRPr="00A50DC7">
        <w:tab/>
        <w:t xml:space="preserve">Section </w:t>
      </w:r>
      <w:proofErr w:type="gramStart"/>
      <w:r w:rsidRPr="00A50DC7">
        <w:t>6:</w:t>
      </w:r>
      <w:proofErr w:type="gramEnd"/>
      <w:r w:rsidRPr="00A50DC7">
        <w:t xml:space="preserve"> Résilience des télécommunications/TIC</w:t>
      </w:r>
    </w:p>
    <w:p w14:paraId="50E1B352" w14:textId="77777777" w:rsidR="00C550C5" w:rsidRPr="00A50DC7" w:rsidRDefault="00C550C5" w:rsidP="00A50DC7">
      <w:pPr>
        <w:pStyle w:val="enumlev1"/>
        <w:jc w:val="both"/>
      </w:pPr>
      <w:r w:rsidRPr="00A50DC7">
        <w:lastRenderedPageBreak/>
        <w:t>–</w:t>
      </w:r>
      <w:r w:rsidRPr="00A50DC7">
        <w:tab/>
        <w:t xml:space="preserve">Section </w:t>
      </w:r>
      <w:proofErr w:type="gramStart"/>
      <w:r w:rsidRPr="00A50DC7">
        <w:t>7:</w:t>
      </w:r>
      <w:proofErr w:type="gramEnd"/>
      <w:r w:rsidRPr="00A50DC7">
        <w:t xml:space="preserve"> Connectivité spatiale</w:t>
      </w:r>
    </w:p>
    <w:p w14:paraId="7DA942E7" w14:textId="737EB303" w:rsidR="00C550C5" w:rsidRPr="00A50DC7" w:rsidRDefault="00C550C5" w:rsidP="00A50DC7">
      <w:pPr>
        <w:pStyle w:val="enumlev1"/>
        <w:jc w:val="both"/>
      </w:pPr>
      <w:r w:rsidRPr="00A50DC7">
        <w:t>–</w:t>
      </w:r>
      <w:r w:rsidRPr="00A50DC7">
        <w:tab/>
        <w:t xml:space="preserve">Section </w:t>
      </w:r>
      <w:proofErr w:type="gramStart"/>
      <w:r w:rsidRPr="00A50DC7">
        <w:t>8:</w:t>
      </w:r>
      <w:proofErr w:type="gramEnd"/>
      <w:r w:rsidRPr="00A50DC7">
        <w:t xml:space="preserve"> Renforcement des écosystèmes de l</w:t>
      </w:r>
      <w:r w:rsidR="00230D1A" w:rsidRPr="00A50DC7">
        <w:t>'</w:t>
      </w:r>
      <w:r w:rsidRPr="00A50DC7">
        <w:t>innovation et de l</w:t>
      </w:r>
      <w:r w:rsidR="00230D1A" w:rsidRPr="00A50DC7">
        <w:t>'</w:t>
      </w:r>
      <w:r w:rsidRPr="00A50DC7">
        <w:t>entrepreneuriat centrés sur les TIC</w:t>
      </w:r>
    </w:p>
    <w:p w14:paraId="61788A42" w14:textId="264B8AD2" w:rsidR="00C550C5" w:rsidRPr="00AA1DF1" w:rsidRDefault="00C550C5" w:rsidP="00A50DC7">
      <w:pPr>
        <w:pStyle w:val="enumlev1"/>
        <w:jc w:val="both"/>
        <w:rPr>
          <w:rFonts w:eastAsiaTheme="minorEastAsia"/>
        </w:rPr>
      </w:pPr>
      <w:r w:rsidRPr="00A50DC7">
        <w:t>–</w:t>
      </w:r>
      <w:r w:rsidRPr="00A50DC7">
        <w:tab/>
      </w:r>
      <w:proofErr w:type="gramStart"/>
      <w:r w:rsidRPr="00A50DC7">
        <w:t>Annexe:</w:t>
      </w:r>
      <w:proofErr w:type="gramEnd"/>
      <w:r w:rsidRPr="00A50DC7">
        <w:t xml:space="preserve"> Projets</w:t>
      </w:r>
      <w:r w:rsidRPr="00AA1DF1">
        <w:t xml:space="preserve"> d</w:t>
      </w:r>
      <w:r w:rsidR="00230D1A" w:rsidRPr="00AA1DF1">
        <w:t>'</w:t>
      </w:r>
      <w:r w:rsidRPr="00AA1DF1">
        <w:t>Avis</w:t>
      </w:r>
    </w:p>
    <w:p w14:paraId="066AEE99" w14:textId="4F500D8B" w:rsidR="00F94D05" w:rsidRPr="00AA1DF1" w:rsidRDefault="00F94D05">
      <w:pPr>
        <w:tabs>
          <w:tab w:val="clear" w:pos="567"/>
          <w:tab w:val="clear" w:pos="1134"/>
          <w:tab w:val="clear" w:pos="1701"/>
          <w:tab w:val="clear" w:pos="2268"/>
          <w:tab w:val="clear" w:pos="2835"/>
        </w:tabs>
        <w:overflowPunct/>
        <w:autoSpaceDE/>
        <w:autoSpaceDN/>
        <w:adjustRightInd/>
        <w:spacing w:before="0"/>
        <w:textAlignment w:val="auto"/>
        <w:rPr>
          <w:b/>
          <w:bCs/>
          <w:sz w:val="28"/>
        </w:rPr>
      </w:pPr>
      <w:r w:rsidRPr="00AA1DF1">
        <w:rPr>
          <w:bCs/>
        </w:rPr>
        <w:br w:type="page"/>
      </w:r>
    </w:p>
    <w:p w14:paraId="685CE702" w14:textId="50A288E7" w:rsidR="00C550C5" w:rsidRPr="00AA1DF1" w:rsidRDefault="00C550C5" w:rsidP="00D57B4D">
      <w:pPr>
        <w:pStyle w:val="Heading1"/>
        <w:tabs>
          <w:tab w:val="clear" w:pos="567"/>
        </w:tabs>
        <w:spacing w:before="360"/>
        <w:ind w:left="851" w:hanging="851"/>
      </w:pPr>
      <w:r w:rsidRPr="00AA1DF1">
        <w:rPr>
          <w:bCs/>
        </w:rPr>
        <w:lastRenderedPageBreak/>
        <w:t>4</w:t>
      </w:r>
      <w:r w:rsidRPr="00AA1DF1">
        <w:tab/>
      </w:r>
      <w:r w:rsidRPr="00AA1DF1">
        <w:rPr>
          <w:bCs/>
        </w:rPr>
        <w:t>La réduction des fractures numériques, en particulier entre les hommes et les femmes et entre les jeunes et les personnes âgées, ainsi que les compétences et la connectivité</w:t>
      </w:r>
    </w:p>
    <w:p w14:paraId="4F171A2F" w14:textId="781306B5" w:rsidR="00C550C5" w:rsidRPr="00AA1DF1" w:rsidRDefault="00C550C5" w:rsidP="00A50DC7">
      <w:pPr>
        <w:tabs>
          <w:tab w:val="clear" w:pos="567"/>
          <w:tab w:val="left" w:pos="851"/>
        </w:tabs>
        <w:jc w:val="both"/>
        <w:rPr>
          <w:rFonts w:asciiTheme="minorHAnsi" w:eastAsiaTheme="minorEastAsia" w:hAnsiTheme="minorHAnsi" w:cstheme="minorBidi"/>
          <w:sz w:val="22"/>
          <w:szCs w:val="22"/>
        </w:rPr>
      </w:pPr>
      <w:r w:rsidRPr="00AA1DF1">
        <w:rPr>
          <w:szCs w:val="24"/>
        </w:rPr>
        <w:t>4.1</w:t>
      </w:r>
      <w:r w:rsidRPr="00AA1DF1">
        <w:rPr>
          <w:szCs w:val="24"/>
        </w:rPr>
        <w:tab/>
        <w:t>Les éditions précédentes du FMPT ont reconnu que la réduction de la fracture numérique exigeait un engagement soutenu et une collaboration multi-parties prenantes. Aujourd</w:t>
      </w:r>
      <w:r w:rsidR="00230D1A" w:rsidRPr="00AA1DF1">
        <w:rPr>
          <w:szCs w:val="24"/>
        </w:rPr>
        <w:t>'</w:t>
      </w:r>
      <w:r w:rsidRPr="00AA1DF1">
        <w:rPr>
          <w:szCs w:val="24"/>
        </w:rPr>
        <w:t xml:space="preserve">hui, les fractures numériques sont plus complexes et protéiformes que </w:t>
      </w:r>
      <w:proofErr w:type="gramStart"/>
      <w:r w:rsidRPr="00AA1DF1">
        <w:rPr>
          <w:szCs w:val="24"/>
        </w:rPr>
        <w:t>jamais:</w:t>
      </w:r>
      <w:proofErr w:type="gramEnd"/>
      <w:r w:rsidRPr="00AA1DF1">
        <w:rPr>
          <w:szCs w:val="24"/>
        </w:rPr>
        <w:t xml:space="preserve"> elles comprennent non seulement les écarts de connectivité, mais aussi des disparités fondamentales en matière de compétences numériques, des obstacles liés à l</w:t>
      </w:r>
      <w:r w:rsidR="00230D1A" w:rsidRPr="00AA1DF1">
        <w:rPr>
          <w:szCs w:val="24"/>
        </w:rPr>
        <w:t>'</w:t>
      </w:r>
      <w:r w:rsidRPr="00AA1DF1">
        <w:rPr>
          <w:szCs w:val="24"/>
        </w:rPr>
        <w:t>âge et l</w:t>
      </w:r>
      <w:r w:rsidR="00230D1A" w:rsidRPr="00AA1DF1">
        <w:rPr>
          <w:szCs w:val="24"/>
        </w:rPr>
        <w:t>'</w:t>
      </w:r>
      <w:r w:rsidRPr="00AA1DF1">
        <w:rPr>
          <w:szCs w:val="24"/>
        </w:rPr>
        <w:t>exclusion fondée sur le sexe. Le concept de connectivité universelle et efficace, élaboré dans le cadre des travaux menés par l</w:t>
      </w:r>
      <w:r w:rsidR="00230D1A" w:rsidRPr="00AA1DF1">
        <w:rPr>
          <w:szCs w:val="24"/>
        </w:rPr>
        <w:t>'</w:t>
      </w:r>
      <w:r w:rsidRPr="00AA1DF1">
        <w:rPr>
          <w:szCs w:val="24"/>
        </w:rPr>
        <w:t>UIT en collaboration avec le Groupe de travail du G20 sur l</w:t>
      </w:r>
      <w:r w:rsidR="00230D1A" w:rsidRPr="00AA1DF1">
        <w:rPr>
          <w:szCs w:val="24"/>
        </w:rPr>
        <w:t>'</w:t>
      </w:r>
      <w:r w:rsidRPr="00AA1DF1">
        <w:rPr>
          <w:szCs w:val="24"/>
        </w:rPr>
        <w:t>économie numérique de 2024, offre un cadre complet pour relever ces défis interdépendants.</w:t>
      </w:r>
    </w:p>
    <w:p w14:paraId="44544A7A" w14:textId="49D31FAF" w:rsidR="00C550C5" w:rsidRPr="00AA1DF1" w:rsidRDefault="003B1823" w:rsidP="00A50DC7">
      <w:pPr>
        <w:keepNext/>
        <w:keepLines/>
        <w:tabs>
          <w:tab w:val="clear" w:pos="567"/>
          <w:tab w:val="left" w:pos="851"/>
        </w:tabs>
        <w:jc w:val="both"/>
        <w:rPr>
          <w:rFonts w:asciiTheme="minorHAnsi" w:eastAsiaTheme="minorEastAsia" w:hAnsiTheme="minorHAnsi" w:cstheme="minorBidi"/>
          <w:szCs w:val="24"/>
        </w:rPr>
      </w:pPr>
      <w:r w:rsidRPr="00AA1DF1">
        <w:rPr>
          <w:rFonts w:asciiTheme="minorHAnsi" w:eastAsiaTheme="minorEastAsia" w:hAnsiTheme="minorHAnsi" w:cstheme="minorBidi"/>
          <w:noProof/>
          <w:szCs w:val="24"/>
          <w:lang w:eastAsia="zh-CN"/>
        </w:rPr>
        <mc:AlternateContent>
          <mc:Choice Requires="wps">
            <w:drawing>
              <wp:anchor distT="0" distB="0" distL="114300" distR="114300" simplePos="0" relativeHeight="251675648" behindDoc="0" locked="1" layoutInCell="1" allowOverlap="1" wp14:anchorId="43736B65" wp14:editId="25325C05">
                <wp:simplePos x="0" y="0"/>
                <wp:positionH relativeFrom="column">
                  <wp:posOffset>3837940</wp:posOffset>
                </wp:positionH>
                <wp:positionV relativeFrom="margin">
                  <wp:posOffset>2067560</wp:posOffset>
                </wp:positionV>
                <wp:extent cx="2413000" cy="4053205"/>
                <wp:effectExtent l="0" t="0" r="25400" b="23495"/>
                <wp:wrapSquare wrapText="bothSides"/>
                <wp:docPr id="1228272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4053205"/>
                        </a:xfrm>
                        <a:prstGeom prst="rect">
                          <a:avLst/>
                        </a:prstGeom>
                        <a:solidFill>
                          <a:srgbClr val="FFFFFF"/>
                        </a:solidFill>
                        <a:ln w="12700">
                          <a:solidFill>
                            <a:srgbClr val="4F81BD">
                              <a:lumMod val="75000"/>
                            </a:srgbClr>
                          </a:solidFill>
                          <a:miter lim="800000"/>
                          <a:headEnd/>
                          <a:tailEnd/>
                        </a:ln>
                      </wps:spPr>
                      <wps:txbx>
                        <w:txbxContent>
                          <w:p w14:paraId="7B981E09" w14:textId="77777777" w:rsidR="003B1823" w:rsidRPr="002B624C" w:rsidRDefault="003B1823" w:rsidP="00252A40">
                            <w:pPr>
                              <w:spacing w:before="0"/>
                              <w:rPr>
                                <w:color w:val="4F81BD" w:themeColor="accent1"/>
                                <w:sz w:val="22"/>
                              </w:rPr>
                            </w:pPr>
                            <w:r w:rsidRPr="005056AF">
                              <w:rPr>
                                <w:color w:val="4F81BD" w:themeColor="accent1"/>
                                <w:sz w:val="22"/>
                              </w:rPr>
                              <w:t>L</w:t>
                            </w:r>
                            <w:r>
                              <w:rPr>
                                <w:color w:val="4F81BD" w:themeColor="accent1"/>
                                <w:sz w:val="22"/>
                              </w:rPr>
                              <w:t>'</w:t>
                            </w:r>
                            <w:r w:rsidRPr="005056AF">
                              <w:rPr>
                                <w:color w:val="4F81BD" w:themeColor="accent1"/>
                                <w:sz w:val="22"/>
                              </w:rPr>
                              <w:t xml:space="preserve">état de la fracture numérique en un coup </w:t>
                            </w:r>
                            <w:proofErr w:type="gramStart"/>
                            <w:r w:rsidRPr="005056AF">
                              <w:rPr>
                                <w:color w:val="4F81BD" w:themeColor="accent1"/>
                                <w:sz w:val="22"/>
                              </w:rPr>
                              <w:t>d</w:t>
                            </w:r>
                            <w:r>
                              <w:rPr>
                                <w:color w:val="4F81BD" w:themeColor="accent1"/>
                                <w:sz w:val="22"/>
                              </w:rPr>
                              <w:t>'</w:t>
                            </w:r>
                            <w:r w:rsidRPr="005056AF">
                              <w:rPr>
                                <w:color w:val="4F81BD" w:themeColor="accent1"/>
                                <w:sz w:val="22"/>
                              </w:rPr>
                              <w:t>œil:</w:t>
                            </w:r>
                            <w:proofErr w:type="gramEnd"/>
                          </w:p>
                          <w:p w14:paraId="15C53F7A" w14:textId="77777777" w:rsidR="003B1823" w:rsidRPr="00EE6F24" w:rsidRDefault="003B1823" w:rsidP="00252A40">
                            <w:pPr>
                              <w:pStyle w:val="enumlev1"/>
                              <w:ind w:left="210" w:right="-78" w:hanging="210"/>
                              <w:rPr>
                                <w:sz w:val="22"/>
                                <w:szCs w:val="18"/>
                              </w:rPr>
                            </w:pPr>
                            <w:r w:rsidRPr="00EE6F24">
                              <w:rPr>
                                <w:sz w:val="22"/>
                                <w:szCs w:val="18"/>
                              </w:rPr>
                              <w:t>•</w:t>
                            </w:r>
                            <w:r w:rsidRPr="00EE6F24">
                              <w:rPr>
                                <w:sz w:val="22"/>
                                <w:szCs w:val="18"/>
                              </w:rPr>
                              <w:tab/>
                              <w:t>Environ 74% de la population mondiale (6 milliards de personnes) est désormais connectée, tandis que 2,2 milliards de personnes (26% de la population mondiale) ne le sont toujours pas.</w:t>
                            </w:r>
                          </w:p>
                          <w:p w14:paraId="4B20D6B4" w14:textId="77777777" w:rsidR="003B1823" w:rsidRPr="00EE6F24" w:rsidRDefault="003B1823" w:rsidP="00252A40">
                            <w:pPr>
                              <w:pStyle w:val="enumlev1"/>
                              <w:ind w:left="210" w:right="-78" w:hanging="210"/>
                              <w:rPr>
                                <w:sz w:val="22"/>
                                <w:szCs w:val="18"/>
                              </w:rPr>
                            </w:pPr>
                            <w:r w:rsidRPr="00EE6F24">
                              <w:rPr>
                                <w:sz w:val="22"/>
                                <w:szCs w:val="18"/>
                              </w:rPr>
                              <w:t>•</w:t>
                            </w:r>
                            <w:r w:rsidRPr="00EE6F24">
                              <w:rPr>
                                <w:sz w:val="22"/>
                                <w:szCs w:val="18"/>
                              </w:rPr>
                              <w:tab/>
                              <w:t>Dans les pays à revenu élevé, 94% de la population utilise l'Internet, tandis que dans les pays à faible revenu, seulement 23% de la population est connectée.</w:t>
                            </w:r>
                          </w:p>
                          <w:p w14:paraId="45D997C0" w14:textId="77777777" w:rsidR="003B1823" w:rsidRPr="002B624C" w:rsidRDefault="003B1823" w:rsidP="00252A40">
                            <w:pPr>
                              <w:pStyle w:val="enumlev1"/>
                              <w:ind w:left="210" w:right="-78" w:hanging="210"/>
                            </w:pPr>
                            <w:r w:rsidRPr="00EE6F24">
                              <w:rPr>
                                <w:sz w:val="22"/>
                                <w:szCs w:val="18"/>
                              </w:rPr>
                              <w:t>•</w:t>
                            </w:r>
                            <w:r w:rsidRPr="00EE6F24">
                              <w:rPr>
                                <w:sz w:val="22"/>
                                <w:szCs w:val="18"/>
                              </w:rPr>
                              <w:tab/>
                              <w:t xml:space="preserve">Dans les pays en développement, les femmes sont 15% moins susceptibles d'utiliser l'Internet que les hommes, ce qui met en évidence la persistance des disparités entre les sexes en matière d'accès au numérique et d'utilisation </w:t>
                            </w:r>
                            <w:r>
                              <w:t>du numérique.</w:t>
                            </w:r>
                          </w:p>
                          <w:p w14:paraId="479F6ADB" w14:textId="77777777" w:rsidR="003B1823" w:rsidRPr="002B624C" w:rsidRDefault="003B1823" w:rsidP="003B1823">
                            <w:pPr>
                              <w:jc w:val="both"/>
                              <w:rPr>
                                <w:sz w:val="22"/>
                              </w:rPr>
                            </w:pPr>
                            <w:r>
                              <w:rPr>
                                <w:i/>
                                <w:iCs/>
                                <w:sz w:val="18"/>
                                <w:szCs w:val="18"/>
                              </w:rPr>
                              <w:t>Union internationale des télécommunications, "Faits et chiffres 2025 – Index du rapport"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736B65" id="_x0000_t202" coordsize="21600,21600" o:spt="202" path="m,l,21600r21600,l21600,xe">
                <v:stroke joinstyle="miter"/>
                <v:path gradientshapeok="t" o:connecttype="rect"/>
              </v:shapetype>
              <v:shape id="_x0000_s1026" type="#_x0000_t202" style="position:absolute;left:0;text-align:left;margin-left:302.2pt;margin-top:162.8pt;width:190pt;height:319.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" strokecolor="#376092" strokeweight="1pt">
                <v:textbox>
                  <w:txbxContent>
                    <w:p w14:paraId="7B981E09" w14:textId="77777777" w:rsidR="003B1823" w:rsidRPr="002B624C" w:rsidRDefault="003B1823" w:rsidP="00252A40">
                      <w:pPr>
                        <w:spacing w:before="0"/>
                        <w:rPr>
                          <w:color w:val="4F81BD" w:themeColor="accent1"/>
                          <w:sz w:val="22"/>
                        </w:rPr>
                      </w:pPr>
                      <w:r w:rsidRPr="005056AF">
                        <w:rPr>
                          <w:color w:val="4F81BD" w:themeColor="accent1"/>
                          <w:sz w:val="22"/>
                        </w:rPr>
                        <w:t>L</w:t>
                      </w:r>
                      <w:r>
                        <w:rPr>
                          <w:color w:val="4F81BD" w:themeColor="accent1"/>
                          <w:sz w:val="22"/>
                        </w:rPr>
                        <w:t>'</w:t>
                      </w:r>
                      <w:r w:rsidRPr="005056AF">
                        <w:rPr>
                          <w:color w:val="4F81BD" w:themeColor="accent1"/>
                          <w:sz w:val="22"/>
                        </w:rPr>
                        <w:t xml:space="preserve">état de la fracture numérique en un coup </w:t>
                      </w:r>
                      <w:proofErr w:type="gramStart"/>
                      <w:r w:rsidRPr="005056AF">
                        <w:rPr>
                          <w:color w:val="4F81BD" w:themeColor="accent1"/>
                          <w:sz w:val="22"/>
                        </w:rPr>
                        <w:t>d</w:t>
                      </w:r>
                      <w:r>
                        <w:rPr>
                          <w:color w:val="4F81BD" w:themeColor="accent1"/>
                          <w:sz w:val="22"/>
                        </w:rPr>
                        <w:t>'</w:t>
                      </w:r>
                      <w:r w:rsidRPr="005056AF">
                        <w:rPr>
                          <w:color w:val="4F81BD" w:themeColor="accent1"/>
                          <w:sz w:val="22"/>
                        </w:rPr>
                        <w:t>œil:</w:t>
                      </w:r>
                      <w:proofErr w:type="gramEnd"/>
                    </w:p>
                    <w:p w14:paraId="15C53F7A" w14:textId="77777777" w:rsidR="003B1823" w:rsidRPr="00EE6F24" w:rsidRDefault="003B1823" w:rsidP="00252A40">
                      <w:pPr>
                        <w:pStyle w:val="enumlev1"/>
                        <w:ind w:left="210" w:right="-78" w:hanging="210"/>
                        <w:rPr>
                          <w:sz w:val="22"/>
                          <w:szCs w:val="18"/>
                        </w:rPr>
                      </w:pPr>
                      <w:r w:rsidRPr="00EE6F24">
                        <w:rPr>
                          <w:sz w:val="22"/>
                          <w:szCs w:val="18"/>
                        </w:rPr>
                        <w:t>•</w:t>
                      </w:r>
                      <w:r w:rsidRPr="00EE6F24">
                        <w:rPr>
                          <w:sz w:val="22"/>
                          <w:szCs w:val="18"/>
                        </w:rPr>
                        <w:tab/>
                        <w:t>Environ 74% de la population mondiale (6 milliards de personnes) est désormais connectée, tandis que 2,2 milliards de personnes (26% de la population mondiale) ne le sont toujours pas.</w:t>
                      </w:r>
                    </w:p>
                    <w:p w14:paraId="4B20D6B4" w14:textId="77777777" w:rsidR="003B1823" w:rsidRPr="00EE6F24" w:rsidRDefault="003B1823" w:rsidP="00252A40">
                      <w:pPr>
                        <w:pStyle w:val="enumlev1"/>
                        <w:ind w:left="210" w:right="-78" w:hanging="210"/>
                        <w:rPr>
                          <w:sz w:val="22"/>
                          <w:szCs w:val="18"/>
                        </w:rPr>
                      </w:pPr>
                      <w:r w:rsidRPr="00EE6F24">
                        <w:rPr>
                          <w:sz w:val="22"/>
                          <w:szCs w:val="18"/>
                        </w:rPr>
                        <w:t>•</w:t>
                      </w:r>
                      <w:r w:rsidRPr="00EE6F24">
                        <w:rPr>
                          <w:sz w:val="22"/>
                          <w:szCs w:val="18"/>
                        </w:rPr>
                        <w:tab/>
                        <w:t>Dans les pays à revenu élevé, 94% de la population utilise l'Internet, tandis que dans les pays à faible revenu, seulement 23% de la population est connectée.</w:t>
                      </w:r>
                    </w:p>
                    <w:p w14:paraId="45D997C0" w14:textId="77777777" w:rsidR="003B1823" w:rsidRPr="002B624C" w:rsidRDefault="003B1823" w:rsidP="00252A40">
                      <w:pPr>
                        <w:pStyle w:val="enumlev1"/>
                        <w:ind w:left="210" w:right="-78" w:hanging="210"/>
                      </w:pPr>
                      <w:r w:rsidRPr="00EE6F24">
                        <w:rPr>
                          <w:sz w:val="22"/>
                          <w:szCs w:val="18"/>
                        </w:rPr>
                        <w:t>•</w:t>
                      </w:r>
                      <w:r w:rsidRPr="00EE6F24">
                        <w:rPr>
                          <w:sz w:val="22"/>
                          <w:szCs w:val="18"/>
                        </w:rPr>
                        <w:tab/>
                        <w:t xml:space="preserve">Dans les pays en développement, les femmes sont 15% moins susceptibles d'utiliser l'Internet que les hommes, ce qui met en évidence la persistance des disparités entre les sexes en matière d'accès au numérique et d'utilisation </w:t>
                      </w:r>
                      <w:r>
                        <w:t>du numérique.</w:t>
                      </w:r>
                    </w:p>
                    <w:p w14:paraId="479F6ADB" w14:textId="77777777" w:rsidR="003B1823" w:rsidRPr="002B624C" w:rsidRDefault="003B1823" w:rsidP="003B1823">
                      <w:pPr>
                        <w:jc w:val="both"/>
                        <w:rPr>
                          <w:sz w:val="22"/>
                        </w:rPr>
                      </w:pPr>
                      <w:r>
                        <w:rPr>
                          <w:i/>
                          <w:iCs/>
                          <w:sz w:val="18"/>
                          <w:szCs w:val="18"/>
                        </w:rPr>
                        <w:t>Union internationale des télécommunications, "Faits et chiffres 2025 – Index du rapport"</w:t>
                      </w:r>
                    </w:p>
                  </w:txbxContent>
                </v:textbox>
                <w10:wrap type="square" anchory="margin"/>
                <w10:anchorlock/>
              </v:shape>
            </w:pict>
          </mc:Fallback>
        </mc:AlternateContent>
      </w:r>
      <w:r w:rsidR="00C550C5" w:rsidRPr="00AA1DF1">
        <w:rPr>
          <w:szCs w:val="24"/>
        </w:rPr>
        <w:t>4.2</w:t>
      </w:r>
      <w:r w:rsidR="00C550C5" w:rsidRPr="00AA1DF1">
        <w:rPr>
          <w:szCs w:val="24"/>
        </w:rPr>
        <w:tab/>
        <w:t>Pour parvenir à l</w:t>
      </w:r>
      <w:r w:rsidR="00230D1A" w:rsidRPr="00AA1DF1">
        <w:rPr>
          <w:szCs w:val="24"/>
        </w:rPr>
        <w:t>'</w:t>
      </w:r>
      <w:r w:rsidR="00C550C5" w:rsidRPr="00AA1DF1">
        <w:rPr>
          <w:szCs w:val="24"/>
        </w:rPr>
        <w:t>inclusion numérique universelle, il faut mettre l</w:t>
      </w:r>
      <w:r w:rsidR="00230D1A" w:rsidRPr="00AA1DF1">
        <w:rPr>
          <w:szCs w:val="24"/>
        </w:rPr>
        <w:t>'</w:t>
      </w:r>
      <w:r w:rsidR="00C550C5" w:rsidRPr="00AA1DF1">
        <w:rPr>
          <w:szCs w:val="24"/>
        </w:rPr>
        <w:t>accent sur l</w:t>
      </w:r>
      <w:r w:rsidR="00230D1A" w:rsidRPr="00AA1DF1">
        <w:rPr>
          <w:szCs w:val="24"/>
        </w:rPr>
        <w:t>'</w:t>
      </w:r>
      <w:r w:rsidR="00C550C5" w:rsidRPr="00AA1DF1">
        <w:rPr>
          <w:szCs w:val="24"/>
        </w:rPr>
        <w:t>élargissement de la portée des infrastructures et le renforcement des capacités numériques. La priorité demeure de veiller à ce que les communautés rurales, isolées et marginalisées aient accès à une connectivité abordable, fiable et efficace (englobant la qualité de service et la pertinence du contenu), mais aussi de reconnaître que l</w:t>
      </w:r>
      <w:r w:rsidR="00230D1A" w:rsidRPr="00AA1DF1">
        <w:rPr>
          <w:szCs w:val="24"/>
        </w:rPr>
        <w:t>'</w:t>
      </w:r>
      <w:r w:rsidR="00C550C5" w:rsidRPr="00AA1DF1">
        <w:rPr>
          <w:szCs w:val="24"/>
        </w:rPr>
        <w:t xml:space="preserve">accès doit aller de </w:t>
      </w:r>
      <w:r w:rsidR="005056AF" w:rsidRPr="00AA1DF1">
        <w:rPr>
          <w:szCs w:val="24"/>
        </w:rPr>
        <w:t>pair</w:t>
      </w:r>
      <w:r w:rsidR="00C550C5" w:rsidRPr="00AA1DF1">
        <w:rPr>
          <w:szCs w:val="24"/>
        </w:rPr>
        <w:t xml:space="preserve"> avec le renforcement des compétences. La maîtrise des outils numériques, les aptitudes et les compétences numériques constituent un lien entre la connectivité et une utilisation efficace, en permettant à toutes les populations de profiter activement des possibilités numériques dans les domaines des services en ligne, de l</w:t>
      </w:r>
      <w:r w:rsidR="00230D1A" w:rsidRPr="00AA1DF1">
        <w:rPr>
          <w:szCs w:val="24"/>
        </w:rPr>
        <w:t>'</w:t>
      </w:r>
      <w:r w:rsidR="00C550C5" w:rsidRPr="00AA1DF1">
        <w:rPr>
          <w:szCs w:val="24"/>
        </w:rPr>
        <w:t>éducation, des soins de santé et de la gouvernance, et facilitent la participation à l</w:t>
      </w:r>
      <w:r w:rsidR="00230D1A" w:rsidRPr="00AA1DF1">
        <w:rPr>
          <w:szCs w:val="24"/>
        </w:rPr>
        <w:t>'</w:t>
      </w:r>
      <w:r w:rsidR="00C550C5" w:rsidRPr="00AA1DF1">
        <w:rPr>
          <w:szCs w:val="24"/>
        </w:rPr>
        <w:t>économie. Cette approche globale permet aux générations plus âgées de naviguer en toute confiance dans les espaces numériques, permet aux jeunes de façonner activement l</w:t>
      </w:r>
      <w:r w:rsidR="00230D1A" w:rsidRPr="00AA1DF1">
        <w:rPr>
          <w:szCs w:val="24"/>
        </w:rPr>
        <w:t>'</w:t>
      </w:r>
      <w:r w:rsidR="00C550C5" w:rsidRPr="00AA1DF1">
        <w:rPr>
          <w:szCs w:val="24"/>
        </w:rPr>
        <w:t>avenir numérique et garantit aux femmes et aux filles des chances égales de participer au monde numérique. Étant donné que l</w:t>
      </w:r>
      <w:r w:rsidR="00230D1A" w:rsidRPr="00AA1DF1">
        <w:rPr>
          <w:szCs w:val="24"/>
        </w:rPr>
        <w:t>'</w:t>
      </w:r>
      <w:r w:rsidR="00C550C5" w:rsidRPr="00AA1DF1">
        <w:rPr>
          <w:szCs w:val="24"/>
        </w:rPr>
        <w:t>évolution rapide de la technologie exige une amélioration continue des compétences, il est essentiel d</w:t>
      </w:r>
      <w:r w:rsidR="00230D1A" w:rsidRPr="00AA1DF1">
        <w:rPr>
          <w:szCs w:val="24"/>
        </w:rPr>
        <w:t>'</w:t>
      </w:r>
      <w:r w:rsidR="00C550C5" w:rsidRPr="00AA1DF1">
        <w:rPr>
          <w:szCs w:val="24"/>
        </w:rPr>
        <w:t>intégrer la culture numérique dans les systèmes éducatifs et d</w:t>
      </w:r>
      <w:r w:rsidR="00230D1A" w:rsidRPr="00AA1DF1">
        <w:rPr>
          <w:szCs w:val="24"/>
        </w:rPr>
        <w:t>'</w:t>
      </w:r>
      <w:r w:rsidR="00C550C5" w:rsidRPr="00AA1DF1">
        <w:rPr>
          <w:szCs w:val="24"/>
        </w:rPr>
        <w:t>encourager les partenariats entre les gouvernements, le secteur privé et la société civile pour bâtir des populations capables et résilientes sur le plan numérique.</w:t>
      </w:r>
    </w:p>
    <w:p w14:paraId="70B9F625" w14:textId="3EC699D8" w:rsidR="00C550C5" w:rsidRPr="00AA1DF1" w:rsidRDefault="00C550C5" w:rsidP="00A50DC7">
      <w:pPr>
        <w:tabs>
          <w:tab w:val="clear" w:pos="567"/>
          <w:tab w:val="left" w:pos="851"/>
        </w:tabs>
        <w:jc w:val="both"/>
        <w:rPr>
          <w:rFonts w:asciiTheme="minorHAnsi" w:eastAsiaTheme="minorEastAsia" w:hAnsiTheme="minorHAnsi" w:cstheme="minorBidi"/>
          <w:szCs w:val="24"/>
        </w:rPr>
      </w:pPr>
      <w:r w:rsidRPr="00AA1DF1">
        <w:rPr>
          <w:szCs w:val="24"/>
        </w:rPr>
        <w:t>4.3</w:t>
      </w:r>
      <w:r w:rsidRPr="00AA1DF1">
        <w:rPr>
          <w:szCs w:val="24"/>
        </w:rPr>
        <w:tab/>
        <w:t>Cette compréhension multidimensionnelle de la fracture numérique, ancrée dans le cadre d</w:t>
      </w:r>
      <w:r w:rsidR="00230D1A" w:rsidRPr="00AA1DF1">
        <w:rPr>
          <w:szCs w:val="24"/>
        </w:rPr>
        <w:t>'</w:t>
      </w:r>
      <w:r w:rsidRPr="00AA1DF1">
        <w:rPr>
          <w:szCs w:val="24"/>
        </w:rPr>
        <w:t>une connectivité universelle et efficace, souligne que la concrétisation de l</w:t>
      </w:r>
      <w:r w:rsidR="00230D1A" w:rsidRPr="00AA1DF1">
        <w:rPr>
          <w:szCs w:val="24"/>
        </w:rPr>
        <w:t>'</w:t>
      </w:r>
      <w:r w:rsidRPr="00AA1DF1">
        <w:rPr>
          <w:szCs w:val="24"/>
        </w:rPr>
        <w:t>inclusion numérique véritable nécessite une approche globale. Elle met en évidence l</w:t>
      </w:r>
      <w:r w:rsidR="00230D1A" w:rsidRPr="00AA1DF1">
        <w:rPr>
          <w:szCs w:val="24"/>
        </w:rPr>
        <w:t>'</w:t>
      </w:r>
      <w:r w:rsidRPr="00AA1DF1">
        <w:rPr>
          <w:szCs w:val="24"/>
        </w:rPr>
        <w:t>importance des stratégies tenant compte de l</w:t>
      </w:r>
      <w:r w:rsidR="00230D1A" w:rsidRPr="00AA1DF1">
        <w:rPr>
          <w:szCs w:val="24"/>
        </w:rPr>
        <w:t>'</w:t>
      </w:r>
      <w:r w:rsidRPr="00AA1DF1">
        <w:rPr>
          <w:szCs w:val="24"/>
        </w:rPr>
        <w:t>égalité hommes-femmes, des possibilités d</w:t>
      </w:r>
      <w:r w:rsidR="00230D1A" w:rsidRPr="00AA1DF1">
        <w:rPr>
          <w:szCs w:val="24"/>
        </w:rPr>
        <w:t>'</w:t>
      </w:r>
      <w:r w:rsidRPr="00AA1DF1">
        <w:rPr>
          <w:szCs w:val="24"/>
        </w:rPr>
        <w:t>apprentissage collaboratif et de la promotion d</w:t>
      </w:r>
      <w:r w:rsidR="00230D1A" w:rsidRPr="00AA1DF1">
        <w:rPr>
          <w:szCs w:val="24"/>
        </w:rPr>
        <w:t>'</w:t>
      </w:r>
      <w:r w:rsidRPr="00AA1DF1">
        <w:rPr>
          <w:szCs w:val="24"/>
        </w:rPr>
        <w:t>un engagement significatif pour autonomiser tous les individus dans l</w:t>
      </w:r>
      <w:r w:rsidR="00230D1A" w:rsidRPr="00AA1DF1">
        <w:rPr>
          <w:szCs w:val="24"/>
        </w:rPr>
        <w:t>'</w:t>
      </w:r>
      <w:r w:rsidRPr="00AA1DF1">
        <w:rPr>
          <w:szCs w:val="24"/>
        </w:rPr>
        <w:t>écosystème numérique.</w:t>
      </w:r>
    </w:p>
    <w:p w14:paraId="2924E2C1" w14:textId="00A3B7F8" w:rsidR="00C550C5" w:rsidRPr="00AA1DF1" w:rsidRDefault="00C550C5" w:rsidP="00A50DC7">
      <w:pPr>
        <w:widowControl w:val="0"/>
        <w:tabs>
          <w:tab w:val="clear" w:pos="567"/>
          <w:tab w:val="left" w:pos="851"/>
        </w:tabs>
        <w:jc w:val="both"/>
        <w:rPr>
          <w:rFonts w:asciiTheme="minorHAnsi" w:eastAsiaTheme="minorEastAsia" w:hAnsiTheme="minorHAnsi" w:cstheme="minorBidi"/>
          <w:szCs w:val="24"/>
        </w:rPr>
      </w:pPr>
      <w:r w:rsidRPr="00AA1DF1">
        <w:rPr>
          <w:szCs w:val="24"/>
        </w:rPr>
        <w:t>4.4</w:t>
      </w:r>
      <w:r w:rsidRPr="00AA1DF1">
        <w:rPr>
          <w:szCs w:val="24"/>
        </w:rPr>
        <w:tab/>
        <w:t xml:space="preserve">Le déficit de compétences numériques représente un défi particulièrement urgent, car les progrès technologiques demeurent plus rapides que le rythme de développement des compétences dans de nombreuses communautés. Cette situation est particulièrement marquée chez les personnes vivant dans des communautés rurales et isolées, les groupes marginalisés ainsi que les </w:t>
      </w:r>
      <w:r w:rsidRPr="00AA1DF1">
        <w:rPr>
          <w:szCs w:val="24"/>
        </w:rPr>
        <w:lastRenderedPageBreak/>
        <w:t>populations âgées, qui peuvent se heurter à de multiples obstacles à l</w:t>
      </w:r>
      <w:r w:rsidR="00230D1A" w:rsidRPr="00AA1DF1">
        <w:rPr>
          <w:szCs w:val="24"/>
        </w:rPr>
        <w:t>'</w:t>
      </w:r>
      <w:r w:rsidRPr="00AA1DF1">
        <w:rPr>
          <w:szCs w:val="24"/>
        </w:rPr>
        <w:t>adoption du numérique. En outre, la persistance de disparités entre les sexes en matière d</w:t>
      </w:r>
      <w:r w:rsidR="00230D1A" w:rsidRPr="00AA1DF1">
        <w:rPr>
          <w:szCs w:val="24"/>
        </w:rPr>
        <w:t>'</w:t>
      </w:r>
      <w:r w:rsidRPr="00AA1DF1">
        <w:rPr>
          <w:szCs w:val="24"/>
        </w:rPr>
        <w:t>accès et de développement des compétences continue de limiter la participation des femmes et des jeunes filles à l</w:t>
      </w:r>
      <w:r w:rsidR="00230D1A" w:rsidRPr="00AA1DF1">
        <w:rPr>
          <w:szCs w:val="24"/>
        </w:rPr>
        <w:t>'</w:t>
      </w:r>
      <w:r w:rsidRPr="00AA1DF1">
        <w:rPr>
          <w:szCs w:val="24"/>
        </w:rPr>
        <w:t>économie numérique et leur accès aux services publics, à l</w:t>
      </w:r>
      <w:r w:rsidR="00230D1A" w:rsidRPr="00AA1DF1">
        <w:rPr>
          <w:szCs w:val="24"/>
        </w:rPr>
        <w:t>'</w:t>
      </w:r>
      <w:r w:rsidRPr="00AA1DF1">
        <w:rPr>
          <w:szCs w:val="24"/>
        </w:rPr>
        <w:t>éducation et à d</w:t>
      </w:r>
      <w:r w:rsidR="00230D1A" w:rsidRPr="00AA1DF1">
        <w:rPr>
          <w:szCs w:val="24"/>
        </w:rPr>
        <w:t>'</w:t>
      </w:r>
      <w:r w:rsidRPr="00AA1DF1">
        <w:rPr>
          <w:szCs w:val="24"/>
        </w:rPr>
        <w:t>autres débouchés numériques, en particulier dans les pays en développement.</w:t>
      </w:r>
    </w:p>
    <w:p w14:paraId="7E019621" w14:textId="7206DB49" w:rsidR="005056AF" w:rsidRPr="00AA1DF1" w:rsidRDefault="00C550C5" w:rsidP="00A50DC7">
      <w:pPr>
        <w:tabs>
          <w:tab w:val="clear" w:pos="567"/>
          <w:tab w:val="left" w:pos="851"/>
        </w:tabs>
        <w:jc w:val="both"/>
        <w:rPr>
          <w:szCs w:val="24"/>
        </w:rPr>
      </w:pPr>
      <w:r w:rsidRPr="00AA1DF1">
        <w:rPr>
          <w:szCs w:val="24"/>
        </w:rPr>
        <w:t>4.5</w:t>
      </w:r>
      <w:r w:rsidRPr="00AA1DF1">
        <w:rPr>
          <w:szCs w:val="24"/>
        </w:rPr>
        <w:tab/>
        <w:t>L</w:t>
      </w:r>
      <w:r w:rsidR="00230D1A" w:rsidRPr="00AA1DF1">
        <w:rPr>
          <w:szCs w:val="24"/>
        </w:rPr>
        <w:t>'</w:t>
      </w:r>
      <w:r w:rsidRPr="00AA1DF1">
        <w:rPr>
          <w:szCs w:val="24"/>
        </w:rPr>
        <w:t>évolution rapide des services et des technologies de télécommunication/TIC nouveaux et émergents, en particulier l</w:t>
      </w:r>
      <w:r w:rsidR="00230D1A" w:rsidRPr="00AA1DF1">
        <w:rPr>
          <w:szCs w:val="24"/>
        </w:rPr>
        <w:t>'</w:t>
      </w:r>
      <w:r w:rsidRPr="00AA1DF1">
        <w:rPr>
          <w:szCs w:val="24"/>
        </w:rPr>
        <w:t>intelligence artificielle, pose de nouveaux défis pour la réduction de la fracture numérique. De nouvelles disparités en matière d</w:t>
      </w:r>
      <w:r w:rsidR="00230D1A" w:rsidRPr="00AA1DF1">
        <w:rPr>
          <w:szCs w:val="24"/>
        </w:rPr>
        <w:t>'</w:t>
      </w:r>
      <w:r w:rsidRPr="00AA1DF1">
        <w:rPr>
          <w:szCs w:val="24"/>
        </w:rPr>
        <w:t>accès à ces technologies et d</w:t>
      </w:r>
      <w:r w:rsidR="00230D1A" w:rsidRPr="00AA1DF1">
        <w:rPr>
          <w:szCs w:val="24"/>
        </w:rPr>
        <w:t>'</w:t>
      </w:r>
      <w:r w:rsidRPr="00AA1DF1">
        <w:rPr>
          <w:szCs w:val="24"/>
        </w:rPr>
        <w:t>utilisation de ces technologies se creusent, en particulier dans les pays en développement, d</w:t>
      </w:r>
      <w:r w:rsidR="00230D1A" w:rsidRPr="00AA1DF1">
        <w:rPr>
          <w:szCs w:val="24"/>
        </w:rPr>
        <w:t>'</w:t>
      </w:r>
      <w:r w:rsidRPr="00AA1DF1">
        <w:rPr>
          <w:szCs w:val="24"/>
        </w:rPr>
        <w:t>où la nécessité d</w:t>
      </w:r>
      <w:r w:rsidR="00230D1A" w:rsidRPr="00AA1DF1">
        <w:rPr>
          <w:szCs w:val="24"/>
        </w:rPr>
        <w:t>'</w:t>
      </w:r>
      <w:r w:rsidRPr="00AA1DF1">
        <w:rPr>
          <w:szCs w:val="24"/>
        </w:rPr>
        <w:t>intensifier la coopération internationale en matière de renforcement des capacités dans ce domaine.</w:t>
      </w:r>
    </w:p>
    <w:p w14:paraId="1CC3875C" w14:textId="3873228C" w:rsidR="00717FAC" w:rsidRPr="00AA1DF1" w:rsidRDefault="00252A40" w:rsidP="00A50DC7">
      <w:pPr>
        <w:tabs>
          <w:tab w:val="clear" w:pos="567"/>
          <w:tab w:val="left" w:pos="851"/>
        </w:tabs>
        <w:jc w:val="both"/>
        <w:rPr>
          <w:szCs w:val="24"/>
        </w:rPr>
      </w:pPr>
      <w:r w:rsidRPr="00AA1DF1">
        <w:rPr>
          <w:noProof/>
          <w:szCs w:val="24"/>
        </w:rPr>
        <mc:AlternateContent>
          <mc:Choice Requires="wps">
            <w:drawing>
              <wp:anchor distT="0" distB="0" distL="114300" distR="114300" simplePos="0" relativeHeight="251668480" behindDoc="1" locked="0" layoutInCell="1" allowOverlap="1" wp14:anchorId="1DC2B8BF" wp14:editId="07CE1A33">
                <wp:simplePos x="0" y="0"/>
                <wp:positionH relativeFrom="column">
                  <wp:posOffset>138430</wp:posOffset>
                </wp:positionH>
                <wp:positionV relativeFrom="paragraph">
                  <wp:posOffset>713740</wp:posOffset>
                </wp:positionV>
                <wp:extent cx="5767705" cy="1899920"/>
                <wp:effectExtent l="0" t="0" r="23495" b="241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705" cy="1899920"/>
                        </a:xfrm>
                        <a:prstGeom prst="rect">
                          <a:avLst/>
                        </a:prstGeom>
                        <a:solidFill>
                          <a:srgbClr val="FFFFFF"/>
                        </a:solidFill>
                        <a:ln w="19050">
                          <a:solidFill>
                            <a:srgbClr val="4F81BD">
                              <a:lumMod val="100000"/>
                              <a:lumOff val="0"/>
                            </a:srgbClr>
                          </a:solidFill>
                          <a:miter lim="800000"/>
                          <a:headEnd/>
                          <a:tailEnd/>
                        </a:ln>
                      </wps:spPr>
                      <wps:txbx>
                        <w:txbxContent>
                          <w:p w14:paraId="7B7A8F28" w14:textId="77777777" w:rsidR="00F63FB7" w:rsidRPr="002B624C" w:rsidRDefault="00F63FB7" w:rsidP="00252A40">
                            <w:pPr>
                              <w:widowControl w:val="0"/>
                              <w:spacing w:before="80"/>
                              <w:rPr>
                                <w:color w:val="4F81BD" w:themeColor="accent1"/>
                                <w:sz w:val="22"/>
                              </w:rPr>
                            </w:pPr>
                            <w:r w:rsidRPr="00717FAC">
                              <w:rPr>
                                <w:color w:val="4F81BD" w:themeColor="accent1"/>
                                <w:sz w:val="22"/>
                              </w:rPr>
                              <w:t>Compétences numériques</w:t>
                            </w:r>
                          </w:p>
                          <w:p w14:paraId="27D2F15C" w14:textId="42705259" w:rsidR="00F63FB7" w:rsidRPr="002B624C" w:rsidRDefault="00F63FB7" w:rsidP="00A50DC7">
                            <w:pPr>
                              <w:spacing w:before="80"/>
                              <w:jc w:val="both"/>
                              <w:rPr>
                                <w:sz w:val="22"/>
                              </w:rPr>
                            </w:pPr>
                            <w:r>
                              <w:rPr>
                                <w:sz w:val="22"/>
                              </w:rPr>
                              <w:t>D'ici à 2030, 90% de tous les emplois exigeront un certain niveau de compétences numériques. Il s'agit à la fois des compétences numériques de base et des compétences avancées liées à l'IA, à l'analyse des données, à l'informatique en nuage et à la cybersécurité. Dans le même temps, 75%</w:t>
                            </w:r>
                            <w:r w:rsidR="00252A40">
                              <w:rPr>
                                <w:sz w:val="22"/>
                              </w:rPr>
                              <w:t> </w:t>
                            </w:r>
                            <w:r>
                              <w:rPr>
                                <w:sz w:val="22"/>
                              </w:rPr>
                              <w:t>des organisations ont du mal à trouver les compétences nécessaires pour adopter les technologies d'IA, et on estime qu'il manque 7 millions de professionnels de la cybersécurité sur le marché du travail mondial. La demande de compétences va au-delà des compétences techniques et comprend les compétences interpersonnelles et non techniques.</w:t>
                            </w:r>
                          </w:p>
                          <w:p w14:paraId="62822BC3" w14:textId="352945A7" w:rsidR="00F63FB7" w:rsidRPr="00F63FB7" w:rsidRDefault="00F63FB7" w:rsidP="00252A40">
                            <w:pPr>
                              <w:spacing w:before="80"/>
                              <w:rPr>
                                <w:i/>
                                <w:iCs/>
                                <w:sz w:val="18"/>
                                <w:szCs w:val="18"/>
                              </w:rPr>
                            </w:pPr>
                            <w:proofErr w:type="gramStart"/>
                            <w:r w:rsidRPr="00F63FB7">
                              <w:rPr>
                                <w:i/>
                                <w:iCs/>
                                <w:sz w:val="18"/>
                                <w:szCs w:val="18"/>
                              </w:rPr>
                              <w:t>Source:</w:t>
                            </w:r>
                            <w:proofErr w:type="gramEnd"/>
                            <w:r w:rsidRPr="00F63FB7">
                              <w:rPr>
                                <w:i/>
                                <w:iCs/>
                                <w:sz w:val="18"/>
                                <w:szCs w:val="18"/>
                              </w:rPr>
                              <w:t xml:space="preserve"> Union internationale des télécommunications, "</w:t>
                            </w:r>
                            <w:hyperlink r:id="rId24" w:anchor="/fr" w:history="1">
                              <w:r w:rsidRPr="00F63FB7">
                                <w:rPr>
                                  <w:rStyle w:val="Hyperlink"/>
                                  <w:i/>
                                  <w:iCs/>
                                  <w:sz w:val="18"/>
                                  <w:szCs w:val="18"/>
                                </w:rPr>
                                <w:t>Développement des compétences pour l'économie numérique</w:t>
                              </w:r>
                            </w:hyperlink>
                            <w:r w:rsidRPr="00F63FB7">
                              <w:rPr>
                                <w:i/>
                                <w:iCs/>
                                <w:sz w:val="18"/>
                                <w:szCs w:val="18"/>
                              </w:rPr>
                              <w:t>", novembre 2024.</w:t>
                            </w:r>
                            <w:hyperlink r:id="rId25" w:history="1"/>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C2B8BF" id="_x0000_s1027" type="#_x0000_t202" style="position:absolute;left:0;text-align:left;margin-left:10.9pt;margin-top:56.2pt;width:454.15pt;height:149.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" strokecolor="#4f81bd" strokeweight="1.5pt">
                <v:textbox>
                  <w:txbxContent>
                    <w:p w14:paraId="7B7A8F28" w14:textId="77777777" w:rsidR="00F63FB7" w:rsidRPr="002B624C" w:rsidRDefault="00F63FB7" w:rsidP="00252A40">
                      <w:pPr>
                        <w:widowControl w:val="0"/>
                        <w:spacing w:before="80"/>
                        <w:rPr>
                          <w:color w:val="4F81BD" w:themeColor="accent1"/>
                          <w:sz w:val="22"/>
                        </w:rPr>
                      </w:pPr>
                      <w:r w:rsidRPr="00717FAC">
                        <w:rPr>
                          <w:color w:val="4F81BD" w:themeColor="accent1"/>
                          <w:sz w:val="22"/>
                        </w:rPr>
                        <w:t>Compétences numériques</w:t>
                      </w:r>
                    </w:p>
                    <w:p w14:paraId="27D2F15C" w14:textId="42705259" w:rsidR="00F63FB7" w:rsidRPr="002B624C" w:rsidRDefault="00F63FB7" w:rsidP="00A50DC7">
                      <w:pPr>
                        <w:spacing w:before="80"/>
                        <w:jc w:val="both"/>
                        <w:rPr>
                          <w:sz w:val="22"/>
                        </w:rPr>
                      </w:pPr>
                      <w:r>
                        <w:rPr>
                          <w:sz w:val="22"/>
                        </w:rPr>
                        <w:t>D'ici à 2030, 90% de tous les emplois exigeront un certain niveau de compétences numériques. Il s'agit à la fois des compétences numériques de base et des compétences avancées liées à l'IA, à l'analyse des données, à l'informatique en nuage et à la cybersécurité. Dans le même temps, 75%</w:t>
                      </w:r>
                      <w:r w:rsidR="00252A40">
                        <w:rPr>
                          <w:sz w:val="22"/>
                        </w:rPr>
                        <w:t> </w:t>
                      </w:r>
                      <w:r>
                        <w:rPr>
                          <w:sz w:val="22"/>
                        </w:rPr>
                        <w:t>des organisations ont du mal à trouver les compétences nécessaires pour adopter les technologies d'IA, et on estime qu'il manque 7 millions de professionnels de la cybersécurité sur le marché du travail mondial. La demande de compétences va au-delà des compétences techniques et comprend les compétences interpersonnelles et non techniques.</w:t>
                      </w:r>
                    </w:p>
                    <w:p w14:paraId="62822BC3" w14:textId="352945A7" w:rsidR="00F63FB7" w:rsidRPr="00F63FB7" w:rsidRDefault="00F63FB7" w:rsidP="00252A40">
                      <w:pPr>
                        <w:spacing w:before="80"/>
                        <w:rPr>
                          <w:i/>
                          <w:iCs/>
                          <w:sz w:val="18"/>
                          <w:szCs w:val="18"/>
                        </w:rPr>
                      </w:pPr>
                      <w:proofErr w:type="gramStart"/>
                      <w:r w:rsidRPr="00F63FB7">
                        <w:rPr>
                          <w:i/>
                          <w:iCs/>
                          <w:sz w:val="18"/>
                          <w:szCs w:val="18"/>
                        </w:rPr>
                        <w:t>Source:</w:t>
                      </w:r>
                      <w:proofErr w:type="gramEnd"/>
                      <w:r w:rsidRPr="00F63FB7">
                        <w:rPr>
                          <w:i/>
                          <w:iCs/>
                          <w:sz w:val="18"/>
                          <w:szCs w:val="18"/>
                        </w:rPr>
                        <w:t xml:space="preserve"> Union internationale des télécommunications, "</w:t>
                      </w:r>
                      <w:hyperlink r:id="rId26" w:anchor="/fr" w:history="1">
                        <w:r w:rsidRPr="00F63FB7">
                          <w:rPr>
                            <w:rStyle w:val="Hyperlink"/>
                            <w:i/>
                            <w:iCs/>
                            <w:sz w:val="18"/>
                            <w:szCs w:val="18"/>
                          </w:rPr>
                          <w:t>Développement des compétences pour l'économie numérique</w:t>
                        </w:r>
                      </w:hyperlink>
                      <w:r w:rsidRPr="00F63FB7">
                        <w:rPr>
                          <w:i/>
                          <w:iCs/>
                          <w:sz w:val="18"/>
                          <w:szCs w:val="18"/>
                        </w:rPr>
                        <w:t>", novembre 2024.</w:t>
                      </w:r>
                      <w:hyperlink r:id="rId27" w:history="1"/>
                    </w:p>
                  </w:txbxContent>
                </v:textbox>
                <w10:wrap type="square"/>
              </v:shape>
            </w:pict>
          </mc:Fallback>
        </mc:AlternateContent>
      </w:r>
      <w:r w:rsidRPr="00AA1DF1">
        <w:rPr>
          <w:rFonts w:asciiTheme="minorHAnsi" w:eastAsiaTheme="minorEastAsia" w:hAnsiTheme="minorHAnsi" w:cstheme="minorBidi"/>
          <w:noProof/>
          <w:sz w:val="22"/>
          <w:szCs w:val="22"/>
          <w:lang w:eastAsia="zh-CN"/>
        </w:rPr>
        <mc:AlternateContent>
          <mc:Choice Requires="wps">
            <w:drawing>
              <wp:anchor distT="0" distB="0" distL="114300" distR="114300" simplePos="0" relativeHeight="251677696" behindDoc="1" locked="1" layoutInCell="1" allowOverlap="1" wp14:anchorId="08B94208" wp14:editId="7C5EB074">
                <wp:simplePos x="0" y="0"/>
                <wp:positionH relativeFrom="margin">
                  <wp:posOffset>138430</wp:posOffset>
                </wp:positionH>
                <wp:positionV relativeFrom="paragraph">
                  <wp:posOffset>2743200</wp:posOffset>
                </wp:positionV>
                <wp:extent cx="5767705" cy="3999230"/>
                <wp:effectExtent l="0" t="0" r="23495" b="2159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705" cy="3999230"/>
                        </a:xfrm>
                        <a:prstGeom prst="rect">
                          <a:avLst/>
                        </a:prstGeom>
                        <a:solidFill>
                          <a:srgbClr val="FFFFFF"/>
                        </a:solidFill>
                        <a:ln w="19050">
                          <a:solidFill>
                            <a:srgbClr val="9BBB59"/>
                          </a:solidFill>
                          <a:miter lim="800000"/>
                          <a:headEnd/>
                          <a:tailEnd/>
                        </a:ln>
                      </wps:spPr>
                      <wps:txbx>
                        <w:txbxContent>
                          <w:p w14:paraId="1733AA0E" w14:textId="77777777" w:rsidR="00252A40" w:rsidRPr="002B624C" w:rsidRDefault="00252A40" w:rsidP="00252A40">
                            <w:pPr>
                              <w:widowControl w:val="0"/>
                              <w:spacing w:before="80"/>
                              <w:rPr>
                                <w:color w:val="9BBB59" w:themeColor="accent3"/>
                                <w:sz w:val="22"/>
                              </w:rPr>
                            </w:pPr>
                            <w:r w:rsidRPr="00717FAC">
                              <w:rPr>
                                <w:color w:val="9BBB59" w:themeColor="accent3"/>
                                <w:sz w:val="22"/>
                              </w:rPr>
                              <w:t xml:space="preserve">Étude de </w:t>
                            </w:r>
                            <w:proofErr w:type="gramStart"/>
                            <w:r w:rsidRPr="00717FAC">
                              <w:rPr>
                                <w:color w:val="9BBB59" w:themeColor="accent3"/>
                                <w:sz w:val="22"/>
                              </w:rPr>
                              <w:t>cas:</w:t>
                            </w:r>
                            <w:proofErr w:type="gramEnd"/>
                            <w:r w:rsidRPr="00717FAC">
                              <w:rPr>
                                <w:color w:val="9BBB59" w:themeColor="accent3"/>
                                <w:sz w:val="22"/>
                              </w:rPr>
                              <w:t xml:space="preserve"> Kit pratique sur les compétences numériques et Coalition pour les compétences en matière d</w:t>
                            </w:r>
                            <w:r>
                              <w:rPr>
                                <w:color w:val="9BBB59" w:themeColor="accent3"/>
                                <w:sz w:val="22"/>
                              </w:rPr>
                              <w:t>'</w:t>
                            </w:r>
                            <w:r w:rsidRPr="00717FAC">
                              <w:rPr>
                                <w:color w:val="9BBB59" w:themeColor="accent3"/>
                                <w:sz w:val="22"/>
                              </w:rPr>
                              <w:t>IA</w:t>
                            </w:r>
                          </w:p>
                          <w:p w14:paraId="340FA74A" w14:textId="526894C9" w:rsidR="00252A40" w:rsidRPr="002B624C" w:rsidRDefault="00252A40" w:rsidP="00A50DC7">
                            <w:pPr>
                              <w:widowControl w:val="0"/>
                              <w:spacing w:before="80"/>
                              <w:jc w:val="both"/>
                              <w:rPr>
                                <w:sz w:val="22"/>
                              </w:rPr>
                            </w:pPr>
                            <w:hyperlink r:id="rId28" w:anchor="/fr" w:history="1">
                              <w:r w:rsidRPr="00717FAC">
                                <w:rPr>
                                  <w:rStyle w:val="Hyperlink"/>
                                  <w:sz w:val="22"/>
                                </w:rPr>
                                <w:t>L</w:t>
                              </w:r>
                              <w:r>
                                <w:rPr>
                                  <w:rStyle w:val="Hyperlink"/>
                                  <w:sz w:val="22"/>
                                </w:rPr>
                                <w:t>'</w:t>
                              </w:r>
                              <w:r w:rsidRPr="00717FAC">
                                <w:rPr>
                                  <w:rStyle w:val="Hyperlink"/>
                                  <w:sz w:val="22"/>
                                </w:rPr>
                                <w:t>édition de 2024 du Kit pratique</w:t>
                              </w:r>
                            </w:hyperlink>
                            <w:r>
                              <w:rPr>
                                <w:sz w:val="22"/>
                              </w:rPr>
                              <w:t xml:space="preserve"> de l'UIT sur les compétences numériques contient un guide complet, étape par étape, qui aide les membres de l'UIT à définir des stratégies et des politiques nationales efficaces en matière d'acquisition de compétences numériques. Cette ressource pratique offre des informations exploitables et des exemples, ce qui en fait un outil précieux pour les pays à tous les stades du développement numérique. Essentiellement, le kit pratique fournit une feuille de route concrète pour la création d'une stratégie en matière de compétences numériques, y compris tous les éléments allant de la planification à la conception et à la mise en</w:t>
                            </w:r>
                            <w:r w:rsidR="004E74AB">
                              <w:rPr>
                                <w:sz w:val="22"/>
                              </w:rPr>
                              <w:t> </w:t>
                            </w:r>
                            <w:r>
                              <w:rPr>
                                <w:sz w:val="22"/>
                              </w:rPr>
                              <w:t>œuvre.</w:t>
                            </w:r>
                            <w:hyperlink r:id="rId29" w:history="1"/>
                          </w:p>
                          <w:p w14:paraId="5791914E" w14:textId="77777777" w:rsidR="00252A40" w:rsidRPr="002B624C" w:rsidRDefault="00252A40" w:rsidP="00A50DC7">
                            <w:pPr>
                              <w:widowControl w:val="0"/>
                              <w:spacing w:before="80"/>
                              <w:jc w:val="both"/>
                              <w:rPr>
                                <w:sz w:val="22"/>
                              </w:rPr>
                            </w:pPr>
                            <w:r>
                              <w:rPr>
                                <w:sz w:val="22"/>
                              </w:rPr>
                              <w:t xml:space="preserve">Lancée par l'UIT dans le cadre de l'initiative sur l'IA au service du bien social, la </w:t>
                            </w:r>
                            <w:hyperlink r:id="rId30" w:anchor="/fr" w:history="1">
                              <w:r w:rsidRPr="00717FAC">
                                <w:rPr>
                                  <w:rStyle w:val="Hyperlink"/>
                                  <w:sz w:val="22"/>
                                </w:rPr>
                                <w:t>Coalition pour les compétences en matière d</w:t>
                              </w:r>
                              <w:r>
                                <w:rPr>
                                  <w:rStyle w:val="Hyperlink"/>
                                  <w:sz w:val="22"/>
                                </w:rPr>
                                <w:t>'</w:t>
                              </w:r>
                              <w:r w:rsidRPr="00717FAC">
                                <w:rPr>
                                  <w:rStyle w:val="Hyperlink"/>
                                  <w:sz w:val="22"/>
                                </w:rPr>
                                <w:t>IA</w:t>
                              </w:r>
                            </w:hyperlink>
                            <w:r>
                              <w:rPr>
                                <w:sz w:val="22"/>
                              </w:rPr>
                              <w:t xml:space="preserve"> est une plate-forme mondiale ouverte et inclusive qui fait progresser l'enseignement de l'IA et le renforcement des capacités dans le monde entier. Cette coalition réunit les gouvernements, les institutions des Nations Unies, les établissements universitaires et le secteur privé pour démocratiser l'accès à des ressources d'apprentissage fiables sur l'IA et renforcer les capacités nationales pour un développement responsable de l'IA. La Coalition met l'accent sur l'exploitation des ressources stratégiques et l'établissement de collaborations étroites avec les principales parties prenantes pour concevoir et mettre en œuvre des projets à grande échelle et à fort impact ciblant les populations prioritaires, en particulier dans les pays en développement et les communautés mal desservies, afin de garantir que les avantages de la révolution de l'IA sont partagés de manière équitable, durable et adaptée au contexte.</w:t>
                            </w:r>
                            <w:hyperlink r:id="rId31" w:history="1"/>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B94208" id="_x0000_s1028" type="#_x0000_t202" style="position:absolute;left:0;text-align:left;margin-left:10.9pt;margin-top:3in;width:454.15pt;height:314.9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" strokecolor="#9bbb59" strokeweight="1.5pt">
                <v:textbox>
                  <w:txbxContent>
                    <w:p w14:paraId="1733AA0E" w14:textId="77777777" w:rsidR="00252A40" w:rsidRPr="002B624C" w:rsidRDefault="00252A40" w:rsidP="00252A40">
                      <w:pPr>
                        <w:widowControl w:val="0"/>
                        <w:spacing w:before="80"/>
                        <w:rPr>
                          <w:color w:val="9BBB59" w:themeColor="accent3"/>
                          <w:sz w:val="22"/>
                        </w:rPr>
                      </w:pPr>
                      <w:r w:rsidRPr="00717FAC">
                        <w:rPr>
                          <w:color w:val="9BBB59" w:themeColor="accent3"/>
                          <w:sz w:val="22"/>
                        </w:rPr>
                        <w:t xml:space="preserve">Étude de </w:t>
                      </w:r>
                      <w:proofErr w:type="gramStart"/>
                      <w:r w:rsidRPr="00717FAC">
                        <w:rPr>
                          <w:color w:val="9BBB59" w:themeColor="accent3"/>
                          <w:sz w:val="22"/>
                        </w:rPr>
                        <w:t>cas:</w:t>
                      </w:r>
                      <w:proofErr w:type="gramEnd"/>
                      <w:r w:rsidRPr="00717FAC">
                        <w:rPr>
                          <w:color w:val="9BBB59" w:themeColor="accent3"/>
                          <w:sz w:val="22"/>
                        </w:rPr>
                        <w:t xml:space="preserve"> Kit pratique sur les compétences numériques et Coalition pour les compétences en matière d</w:t>
                      </w:r>
                      <w:r>
                        <w:rPr>
                          <w:color w:val="9BBB59" w:themeColor="accent3"/>
                          <w:sz w:val="22"/>
                        </w:rPr>
                        <w:t>'</w:t>
                      </w:r>
                      <w:r w:rsidRPr="00717FAC">
                        <w:rPr>
                          <w:color w:val="9BBB59" w:themeColor="accent3"/>
                          <w:sz w:val="22"/>
                        </w:rPr>
                        <w:t>IA</w:t>
                      </w:r>
                    </w:p>
                    <w:p w14:paraId="340FA74A" w14:textId="526894C9" w:rsidR="00252A40" w:rsidRPr="002B624C" w:rsidRDefault="00252A40" w:rsidP="00A50DC7">
                      <w:pPr>
                        <w:widowControl w:val="0"/>
                        <w:spacing w:before="80"/>
                        <w:jc w:val="both"/>
                        <w:rPr>
                          <w:sz w:val="22"/>
                        </w:rPr>
                      </w:pPr>
                      <w:hyperlink r:id="rId32" w:anchor="/fr" w:history="1">
                        <w:r w:rsidRPr="00717FAC">
                          <w:rPr>
                            <w:rStyle w:val="Hyperlink"/>
                            <w:sz w:val="22"/>
                          </w:rPr>
                          <w:t>L</w:t>
                        </w:r>
                        <w:r>
                          <w:rPr>
                            <w:rStyle w:val="Hyperlink"/>
                            <w:sz w:val="22"/>
                          </w:rPr>
                          <w:t>'</w:t>
                        </w:r>
                        <w:r w:rsidRPr="00717FAC">
                          <w:rPr>
                            <w:rStyle w:val="Hyperlink"/>
                            <w:sz w:val="22"/>
                          </w:rPr>
                          <w:t>édition de 2024 du Kit pratique</w:t>
                        </w:r>
                      </w:hyperlink>
                      <w:r>
                        <w:rPr>
                          <w:sz w:val="22"/>
                        </w:rPr>
                        <w:t xml:space="preserve"> de l'UIT sur les compétences numériques contient un guide complet, étape par étape, qui aide les membres de l'UIT à définir des stratégies et des politiques nationales efficaces en matière d'acquisition de compétences numériques. Cette ressource pratique offre des informations exploitables et des exemples, ce qui en fait un outil précieux pour les pays à tous les stades du développement numérique. Essentiellement, le kit pratique fournit une feuille de route concrète pour la création d'une stratégie en matière de compétences numériques, y compris tous les éléments allant de la planification à la conception et à la mise en</w:t>
                      </w:r>
                      <w:r w:rsidR="004E74AB">
                        <w:rPr>
                          <w:sz w:val="22"/>
                        </w:rPr>
                        <w:t> </w:t>
                      </w:r>
                      <w:r>
                        <w:rPr>
                          <w:sz w:val="22"/>
                        </w:rPr>
                        <w:t>œuvre.</w:t>
                      </w:r>
                      <w:hyperlink r:id="rId33" w:history="1"/>
                    </w:p>
                    <w:p w14:paraId="5791914E" w14:textId="77777777" w:rsidR="00252A40" w:rsidRPr="002B624C" w:rsidRDefault="00252A40" w:rsidP="00A50DC7">
                      <w:pPr>
                        <w:widowControl w:val="0"/>
                        <w:spacing w:before="80"/>
                        <w:jc w:val="both"/>
                        <w:rPr>
                          <w:sz w:val="22"/>
                        </w:rPr>
                      </w:pPr>
                      <w:r>
                        <w:rPr>
                          <w:sz w:val="22"/>
                        </w:rPr>
                        <w:t xml:space="preserve">Lancée par l'UIT dans le cadre de l'initiative sur l'IA au service du bien social, la </w:t>
                      </w:r>
                      <w:hyperlink r:id="rId34" w:anchor="/fr" w:history="1">
                        <w:r w:rsidRPr="00717FAC">
                          <w:rPr>
                            <w:rStyle w:val="Hyperlink"/>
                            <w:sz w:val="22"/>
                          </w:rPr>
                          <w:t>Coalition pour les compétences en matière d</w:t>
                        </w:r>
                        <w:r>
                          <w:rPr>
                            <w:rStyle w:val="Hyperlink"/>
                            <w:sz w:val="22"/>
                          </w:rPr>
                          <w:t>'</w:t>
                        </w:r>
                        <w:r w:rsidRPr="00717FAC">
                          <w:rPr>
                            <w:rStyle w:val="Hyperlink"/>
                            <w:sz w:val="22"/>
                          </w:rPr>
                          <w:t>IA</w:t>
                        </w:r>
                      </w:hyperlink>
                      <w:r>
                        <w:rPr>
                          <w:sz w:val="22"/>
                        </w:rPr>
                        <w:t xml:space="preserve"> est une plate-forme mondiale ouverte et inclusive qui fait progresser l'enseignement de l'IA et le renforcement des capacités dans le monde entier. Cette coalition réunit les gouvernements, les institutions des Nations Unies, les établissements universitaires et le secteur privé pour démocratiser l'accès à des ressources d'apprentissage fiables sur l'IA et renforcer les capacités nationales pour un développement responsable de l'IA. La Coalition met l'accent sur l'exploitation des ressources stratégiques et l'établissement de collaborations étroites avec les principales parties prenantes pour concevoir et mettre en œuvre des projets à grande échelle et à fort impact ciblant les populations prioritaires, en particulier dans les pays en développement et les communautés mal desservies, afin de garantir que les avantages de la révolution de l'IA sont partagés de manière équitable, durable et adaptée au contexte.</w:t>
                      </w:r>
                      <w:hyperlink r:id="rId35" w:history="1"/>
                    </w:p>
                  </w:txbxContent>
                </v:textbox>
                <w10:wrap type="square" anchorx="margin"/>
                <w10:anchorlock/>
              </v:shape>
            </w:pict>
          </mc:Fallback>
        </mc:AlternateContent>
      </w:r>
      <w:r w:rsidR="00717FAC" w:rsidRPr="00AA1DF1">
        <w:rPr>
          <w:szCs w:val="24"/>
        </w:rPr>
        <w:t>4.6</w:t>
      </w:r>
      <w:r w:rsidR="00717FAC" w:rsidRPr="00AA1DF1">
        <w:rPr>
          <w:szCs w:val="24"/>
        </w:rPr>
        <w:tab/>
        <w:t>Toutes les parties prenantes concernées (gouvernements, secteur privé, établissements d</w:t>
      </w:r>
      <w:r w:rsidR="00230D1A" w:rsidRPr="00AA1DF1">
        <w:rPr>
          <w:szCs w:val="24"/>
        </w:rPr>
        <w:t>'</w:t>
      </w:r>
      <w:r w:rsidR="00717FAC" w:rsidRPr="00AA1DF1">
        <w:rPr>
          <w:szCs w:val="24"/>
        </w:rPr>
        <w:t>enseignement et de formation, organisations internationales et société civile) doivent</w:t>
      </w:r>
      <w:r w:rsidR="00230D1A" w:rsidRPr="00AA1DF1">
        <w:rPr>
          <w:szCs w:val="24"/>
        </w:rPr>
        <w:t xml:space="preserve"> </w:t>
      </w:r>
      <w:r w:rsidR="00717FAC" w:rsidRPr="00AA1DF1">
        <w:rPr>
          <w:szCs w:val="24"/>
        </w:rPr>
        <w:t>agir de toute urgence pour combler le déficit mondial de compétences numériques.</w:t>
      </w:r>
    </w:p>
    <w:p w14:paraId="08474B10" w14:textId="01CC51FF" w:rsidR="00C550C5" w:rsidRPr="00AA1DF1" w:rsidRDefault="00C550C5" w:rsidP="002841B8">
      <w:pPr>
        <w:tabs>
          <w:tab w:val="clear" w:pos="567"/>
          <w:tab w:val="left" w:pos="851"/>
        </w:tabs>
        <w:jc w:val="both"/>
        <w:rPr>
          <w:rFonts w:asciiTheme="minorHAnsi" w:eastAsiaTheme="minorEastAsia" w:hAnsiTheme="minorHAnsi" w:cstheme="minorBidi"/>
          <w:szCs w:val="24"/>
        </w:rPr>
      </w:pPr>
      <w:r w:rsidRPr="00AA1DF1">
        <w:rPr>
          <w:szCs w:val="24"/>
        </w:rPr>
        <w:lastRenderedPageBreak/>
        <w:t>4.7</w:t>
      </w:r>
      <w:r w:rsidRPr="00AA1DF1">
        <w:rPr>
          <w:szCs w:val="24"/>
        </w:rPr>
        <w:tab/>
        <w:t>Les petits États insulaires en développement (PEID) et de nombreux pays en développement sont confrontés à des difficultés accrues en matière de réduction des fractures numériques, notamment l</w:t>
      </w:r>
      <w:r w:rsidR="00230D1A" w:rsidRPr="00AA1DF1">
        <w:rPr>
          <w:szCs w:val="24"/>
        </w:rPr>
        <w:t>'</w:t>
      </w:r>
      <w:r w:rsidRPr="00AA1DF1">
        <w:rPr>
          <w:szCs w:val="24"/>
        </w:rPr>
        <w:t>isolement géographique, les limites des infrastructures, la vulnérabilité climatique et le manque de ressources financières et humaines, ce qui nécessite des approches adaptées et une coopération internationale renforcée.</w:t>
      </w:r>
    </w:p>
    <w:p w14:paraId="32175BA9" w14:textId="07E39430" w:rsidR="00C550C5" w:rsidRPr="00AA1DF1" w:rsidRDefault="00C550C5" w:rsidP="002841B8">
      <w:pPr>
        <w:tabs>
          <w:tab w:val="clear" w:pos="567"/>
          <w:tab w:val="left" w:pos="851"/>
        </w:tabs>
        <w:jc w:val="both"/>
        <w:rPr>
          <w:rFonts w:asciiTheme="minorHAnsi" w:eastAsiaTheme="minorEastAsia" w:hAnsiTheme="minorHAnsi" w:cstheme="minorBidi"/>
          <w:szCs w:val="24"/>
        </w:rPr>
      </w:pPr>
      <w:r w:rsidRPr="00AA1DF1">
        <w:rPr>
          <w:szCs w:val="24"/>
        </w:rPr>
        <w:t>4.8</w:t>
      </w:r>
      <w:r w:rsidRPr="00AA1DF1">
        <w:rPr>
          <w:szCs w:val="24"/>
        </w:rPr>
        <w:tab/>
        <w:t>L</w:t>
      </w:r>
      <w:r w:rsidR="00230D1A" w:rsidRPr="00AA1DF1">
        <w:rPr>
          <w:szCs w:val="24"/>
        </w:rPr>
        <w:t>'</w:t>
      </w:r>
      <w:r w:rsidRPr="00AA1DF1">
        <w:rPr>
          <w:szCs w:val="24"/>
        </w:rPr>
        <w:t>élaboration de politiques fondées sur des données probantes repose sur des cadres de suivi et des paramètres solides qui permettent d</w:t>
      </w:r>
      <w:r w:rsidR="00230D1A" w:rsidRPr="00AA1DF1">
        <w:rPr>
          <w:szCs w:val="24"/>
        </w:rPr>
        <w:t>'</w:t>
      </w:r>
      <w:r w:rsidRPr="00AA1DF1">
        <w:rPr>
          <w:szCs w:val="24"/>
        </w:rPr>
        <w:t>évaluer avec précision l</w:t>
      </w:r>
      <w:r w:rsidR="00230D1A" w:rsidRPr="00AA1DF1">
        <w:rPr>
          <w:szCs w:val="24"/>
        </w:rPr>
        <w:t>'</w:t>
      </w:r>
      <w:r w:rsidRPr="00AA1DF1">
        <w:rPr>
          <w:szCs w:val="24"/>
        </w:rPr>
        <w:t>impact des programmes d</w:t>
      </w:r>
      <w:r w:rsidR="00230D1A" w:rsidRPr="00AA1DF1">
        <w:rPr>
          <w:szCs w:val="24"/>
        </w:rPr>
        <w:t>'</w:t>
      </w:r>
      <w:r w:rsidRPr="00AA1DF1">
        <w:rPr>
          <w:szCs w:val="24"/>
        </w:rPr>
        <w:t>inclusion numérique, permettant ainsi l</w:t>
      </w:r>
      <w:r w:rsidR="00230D1A" w:rsidRPr="00AA1DF1">
        <w:rPr>
          <w:szCs w:val="24"/>
        </w:rPr>
        <w:t>'</w:t>
      </w:r>
      <w:r w:rsidRPr="00AA1DF1">
        <w:rPr>
          <w:szCs w:val="24"/>
        </w:rPr>
        <w:t>apprentissage adaptatif, la responsabilisation et la prise de décisions éclairées.</w:t>
      </w:r>
    </w:p>
    <w:p w14:paraId="45243ABC" w14:textId="07B364FE" w:rsidR="00C550C5" w:rsidRPr="00AA1DF1" w:rsidRDefault="00C550C5" w:rsidP="002841B8">
      <w:pPr>
        <w:tabs>
          <w:tab w:val="clear" w:pos="567"/>
          <w:tab w:val="left" w:pos="851"/>
        </w:tabs>
        <w:jc w:val="both"/>
        <w:rPr>
          <w:rFonts w:asciiTheme="minorHAnsi" w:eastAsiaTheme="minorEastAsia" w:hAnsiTheme="minorHAnsi" w:cstheme="minorBidi"/>
          <w:szCs w:val="24"/>
        </w:rPr>
      </w:pPr>
      <w:r w:rsidRPr="00AA1DF1">
        <w:rPr>
          <w:szCs w:val="24"/>
        </w:rPr>
        <w:t>4.9</w:t>
      </w:r>
      <w:r w:rsidRPr="00AA1DF1">
        <w:rPr>
          <w:szCs w:val="24"/>
        </w:rPr>
        <w:tab/>
        <w:t>Les membres du Groupe GEI avaient des points de vue différents quant aux méthodes de mise en œuvre et d</w:t>
      </w:r>
      <w:r w:rsidR="00230D1A" w:rsidRPr="00AA1DF1">
        <w:rPr>
          <w:szCs w:val="24"/>
        </w:rPr>
        <w:t>'</w:t>
      </w:r>
      <w:r w:rsidRPr="00AA1DF1">
        <w:rPr>
          <w:szCs w:val="24"/>
        </w:rPr>
        <w:t>applicabilité des infrastructures publiques numériques dans le contexte de la réduction des fractures numériques.</w:t>
      </w:r>
    </w:p>
    <w:p w14:paraId="19EE1E0F" w14:textId="2C367530" w:rsidR="00C550C5" w:rsidRPr="00AA1DF1" w:rsidRDefault="00C550C5" w:rsidP="002841B8">
      <w:pPr>
        <w:tabs>
          <w:tab w:val="clear" w:pos="567"/>
          <w:tab w:val="left" w:pos="851"/>
        </w:tabs>
        <w:jc w:val="both"/>
        <w:rPr>
          <w:rFonts w:asciiTheme="minorHAnsi" w:eastAsiaTheme="minorEastAsia" w:hAnsiTheme="minorHAnsi" w:cstheme="minorBidi"/>
          <w:szCs w:val="24"/>
        </w:rPr>
      </w:pPr>
      <w:r w:rsidRPr="00AA1DF1">
        <w:rPr>
          <w:szCs w:val="24"/>
        </w:rPr>
        <w:t>4.10</w:t>
      </w:r>
      <w:r w:rsidRPr="00AA1DF1">
        <w:rPr>
          <w:szCs w:val="24"/>
        </w:rPr>
        <w:tab/>
        <w:t xml:space="preserve">Dans ce contexte, certaines questions de politique générale sur les services et technologies de télécommunication/TIC pourraient être étudiées, </w:t>
      </w:r>
      <w:proofErr w:type="gramStart"/>
      <w:r w:rsidRPr="00AA1DF1">
        <w:rPr>
          <w:szCs w:val="24"/>
        </w:rPr>
        <w:t>notamment:</w:t>
      </w:r>
      <w:proofErr w:type="gramEnd"/>
    </w:p>
    <w:p w14:paraId="5F03DE2B" w14:textId="1FBB2118" w:rsidR="00C550C5" w:rsidRPr="00AA1DF1" w:rsidRDefault="00C550C5" w:rsidP="002841B8">
      <w:pPr>
        <w:pStyle w:val="enumlev1"/>
        <w:jc w:val="both"/>
        <w:rPr>
          <w:rFonts w:eastAsiaTheme="minorEastAsia"/>
        </w:rPr>
      </w:pPr>
      <w:r w:rsidRPr="00AA1DF1">
        <w:t>4.10.1</w:t>
      </w:r>
      <w:r w:rsidRPr="00AA1DF1">
        <w:tab/>
        <w:t>Comment les stratégies et politiques peuvent-elles encourager les investissements dans des infrastructures de télécommunication, des produits et services numériques abordables et accessibles, des plates-formes numériques en langues locales et des technologies adaptées à l</w:t>
      </w:r>
      <w:r w:rsidR="00230D1A" w:rsidRPr="00AA1DF1">
        <w:t>'</w:t>
      </w:r>
      <w:r w:rsidRPr="00AA1DF1">
        <w:t xml:space="preserve">âge pour réduire la fracture numérique entre les sexes et les âges, mais aussi les disparités socio-économiques et les disparités entre zones urbaines et </w:t>
      </w:r>
      <w:proofErr w:type="gramStart"/>
      <w:r w:rsidRPr="00AA1DF1">
        <w:t>rurales?</w:t>
      </w:r>
      <w:proofErr w:type="gramEnd"/>
    </w:p>
    <w:p w14:paraId="326F04B8" w14:textId="7AE7F737" w:rsidR="00C550C5" w:rsidRPr="00AA1DF1" w:rsidRDefault="00C550C5" w:rsidP="002841B8">
      <w:pPr>
        <w:pStyle w:val="enumlev1"/>
        <w:keepLines/>
        <w:jc w:val="both"/>
        <w:rPr>
          <w:rFonts w:eastAsiaTheme="minorEastAsia"/>
        </w:rPr>
      </w:pPr>
      <w:r w:rsidRPr="00AA1DF1">
        <w:t>4.10.2</w:t>
      </w:r>
      <w:r w:rsidRPr="00AA1DF1">
        <w:tab/>
        <w:t>Quelles stratégies les décideurs peuvent-ils adopter pour promouvoir la maîtrise des outils numériques, le développement des compétences et l</w:t>
      </w:r>
      <w:r w:rsidR="00230D1A" w:rsidRPr="00AA1DF1">
        <w:t>'</w:t>
      </w:r>
      <w:r w:rsidRPr="00AA1DF1">
        <w:t>accès à des compétences recherchées, en garantissant l</w:t>
      </w:r>
      <w:r w:rsidR="00230D1A" w:rsidRPr="00AA1DF1">
        <w:t>'</w:t>
      </w:r>
      <w:r w:rsidRPr="00AA1DF1">
        <w:t xml:space="preserve">égalité des chances pour les individus dans différents groupes démographiques, tout en associant le secteur privé et la société civile à ces </w:t>
      </w:r>
      <w:proofErr w:type="gramStart"/>
      <w:r w:rsidRPr="00AA1DF1">
        <w:t>efforts?</w:t>
      </w:r>
      <w:proofErr w:type="gramEnd"/>
    </w:p>
    <w:p w14:paraId="6814CC4D" w14:textId="17355F06" w:rsidR="00C550C5" w:rsidRPr="00AA1DF1" w:rsidRDefault="00C550C5" w:rsidP="002841B8">
      <w:pPr>
        <w:pStyle w:val="enumlev1"/>
        <w:jc w:val="both"/>
        <w:rPr>
          <w:rFonts w:eastAsiaTheme="minorEastAsia"/>
        </w:rPr>
      </w:pPr>
      <w:r w:rsidRPr="00AA1DF1">
        <w:t>4.10.3</w:t>
      </w:r>
      <w:r w:rsidRPr="00AA1DF1">
        <w:tab/>
        <w:t>Comment les organisations nationales et internationales peuvent-elles collaborer pour concevoir des technologies innovantes, développer des solutions et prendre des initiatives pour connecter ceux qui ne le sont pas, améliorer l</w:t>
      </w:r>
      <w:r w:rsidR="00230D1A" w:rsidRPr="00AA1DF1">
        <w:t>'</w:t>
      </w:r>
      <w:r w:rsidRPr="00AA1DF1">
        <w:t>accessibilité financière du numérique et renforcer la maîtrise des outils numériques à l</w:t>
      </w:r>
      <w:r w:rsidR="00230D1A" w:rsidRPr="00AA1DF1">
        <w:t>'</w:t>
      </w:r>
      <w:r w:rsidRPr="00AA1DF1">
        <w:t xml:space="preserve">échelle </w:t>
      </w:r>
      <w:proofErr w:type="gramStart"/>
      <w:r w:rsidRPr="00AA1DF1">
        <w:t>mondiale?</w:t>
      </w:r>
      <w:proofErr w:type="gramEnd"/>
    </w:p>
    <w:p w14:paraId="00EE8E6D" w14:textId="285FC907" w:rsidR="00C550C5" w:rsidRPr="00AA1DF1" w:rsidRDefault="00C550C5" w:rsidP="002841B8">
      <w:pPr>
        <w:pStyle w:val="enumlev1"/>
        <w:jc w:val="both"/>
        <w:rPr>
          <w:rFonts w:eastAsiaTheme="minorEastAsia"/>
        </w:rPr>
      </w:pPr>
      <w:r w:rsidRPr="00AA1DF1">
        <w:t>4.10.4</w:t>
      </w:r>
      <w:r w:rsidRPr="00AA1DF1">
        <w:tab/>
        <w:t>Comment les établissements d</w:t>
      </w:r>
      <w:r w:rsidR="00230D1A" w:rsidRPr="00AA1DF1">
        <w:t>'</w:t>
      </w:r>
      <w:r w:rsidRPr="00AA1DF1">
        <w:t>enseignement et les décideurs peuvent-ils promouvoir l</w:t>
      </w:r>
      <w:r w:rsidR="00230D1A" w:rsidRPr="00AA1DF1">
        <w:t>'</w:t>
      </w:r>
      <w:r w:rsidRPr="00AA1DF1">
        <w:t>innovation, l</w:t>
      </w:r>
      <w:r w:rsidR="00230D1A" w:rsidRPr="00AA1DF1">
        <w:t>'</w:t>
      </w:r>
      <w:r w:rsidRPr="00AA1DF1">
        <w:t>entrepreneuriat et l</w:t>
      </w:r>
      <w:r w:rsidR="00230D1A" w:rsidRPr="00AA1DF1">
        <w:t>'</w:t>
      </w:r>
      <w:r w:rsidRPr="00AA1DF1">
        <w:t xml:space="preserve">accès équitable aux ressources numériques pour les étudiants et les entrepreneurs, en éliminant les obstacles causés par la fracture </w:t>
      </w:r>
      <w:proofErr w:type="gramStart"/>
      <w:r w:rsidRPr="00AA1DF1">
        <w:t>numérique?</w:t>
      </w:r>
      <w:proofErr w:type="gramEnd"/>
    </w:p>
    <w:p w14:paraId="5ADAA704" w14:textId="1E38F318" w:rsidR="00C550C5" w:rsidRPr="00AA1DF1" w:rsidRDefault="00C550C5" w:rsidP="002841B8">
      <w:pPr>
        <w:pStyle w:val="enumlev1"/>
        <w:jc w:val="both"/>
        <w:rPr>
          <w:rFonts w:eastAsiaTheme="minorEastAsia"/>
        </w:rPr>
      </w:pPr>
      <w:r w:rsidRPr="00AA1DF1">
        <w:t>4.10.5</w:t>
      </w:r>
      <w:r w:rsidRPr="00AA1DF1">
        <w:tab/>
        <w:t>Quelles sont les principales difficultés que rencontrent les pays en développement, y</w:t>
      </w:r>
      <w:r w:rsidR="00C00850" w:rsidRPr="00AA1DF1">
        <w:t> </w:t>
      </w:r>
      <w:r w:rsidRPr="00AA1DF1">
        <w:t>compris les petits États insulaires en développement, pour ce qui est d</w:t>
      </w:r>
      <w:r w:rsidR="00230D1A" w:rsidRPr="00AA1DF1">
        <w:t>'</w:t>
      </w:r>
      <w:r w:rsidRPr="00AA1DF1">
        <w:t xml:space="preserve">adopter les technologies émergentes nécessaires pour réduire la fracture numérique, et comment les parties prenantes peuvent-elles les aider à renforcer les capacités </w:t>
      </w:r>
      <w:proofErr w:type="gramStart"/>
      <w:r w:rsidRPr="00AA1DF1">
        <w:t>nécessaires?</w:t>
      </w:r>
      <w:proofErr w:type="gramEnd"/>
    </w:p>
    <w:p w14:paraId="11461FDF" w14:textId="08AE1577" w:rsidR="00C550C5" w:rsidRPr="00AA1DF1" w:rsidRDefault="00C550C5" w:rsidP="002841B8">
      <w:pPr>
        <w:pStyle w:val="enumlev1"/>
        <w:jc w:val="both"/>
        <w:rPr>
          <w:rFonts w:eastAsiaTheme="minorEastAsia"/>
        </w:rPr>
      </w:pPr>
      <w:r w:rsidRPr="00AA1DF1">
        <w:t>4.10.6</w:t>
      </w:r>
      <w:r w:rsidRPr="00AA1DF1">
        <w:tab/>
        <w:t xml:space="preserve">Comment peut-on améliorer les cadres et les paramètres de contrôle existants ou en élaborer de nouveaux pour évaluer efficacement les incidences des programmes et des politiques conçus pour réduire la fracture </w:t>
      </w:r>
      <w:proofErr w:type="gramStart"/>
      <w:r w:rsidRPr="00AA1DF1">
        <w:t>numérique?</w:t>
      </w:r>
      <w:proofErr w:type="gramEnd"/>
    </w:p>
    <w:p w14:paraId="29BA2BD5" w14:textId="663055C1" w:rsidR="001D4F2C" w:rsidRPr="00AA1DF1" w:rsidRDefault="001D4F2C">
      <w:pPr>
        <w:tabs>
          <w:tab w:val="clear" w:pos="567"/>
          <w:tab w:val="clear" w:pos="1134"/>
          <w:tab w:val="clear" w:pos="1701"/>
          <w:tab w:val="clear" w:pos="2268"/>
          <w:tab w:val="clear" w:pos="2835"/>
        </w:tabs>
        <w:overflowPunct/>
        <w:autoSpaceDE/>
        <w:autoSpaceDN/>
        <w:adjustRightInd/>
        <w:spacing w:before="0"/>
        <w:textAlignment w:val="auto"/>
        <w:rPr>
          <w:b/>
          <w:bCs/>
          <w:sz w:val="28"/>
          <w:szCs w:val="24"/>
        </w:rPr>
      </w:pPr>
      <w:r w:rsidRPr="00AA1DF1">
        <w:rPr>
          <w:bCs/>
          <w:szCs w:val="24"/>
        </w:rPr>
        <w:br w:type="page"/>
      </w:r>
    </w:p>
    <w:p w14:paraId="48B330AD" w14:textId="0C22AFAD" w:rsidR="00C550C5" w:rsidRPr="00AA1DF1" w:rsidRDefault="00C550C5" w:rsidP="002F40AF">
      <w:pPr>
        <w:pStyle w:val="Heading1"/>
        <w:tabs>
          <w:tab w:val="clear" w:pos="567"/>
        </w:tabs>
        <w:spacing w:before="360"/>
        <w:ind w:left="851" w:hanging="851"/>
        <w:rPr>
          <w:rFonts w:asciiTheme="minorHAnsi" w:eastAsiaTheme="minorEastAsia" w:hAnsiTheme="minorHAnsi" w:cstheme="minorBidi"/>
          <w:b w:val="0"/>
          <w:szCs w:val="24"/>
        </w:rPr>
      </w:pPr>
      <w:r w:rsidRPr="00AA1DF1">
        <w:rPr>
          <w:bCs/>
          <w:szCs w:val="24"/>
        </w:rPr>
        <w:lastRenderedPageBreak/>
        <w:t>5</w:t>
      </w:r>
      <w:r w:rsidRPr="00AA1DF1">
        <w:rPr>
          <w:szCs w:val="24"/>
        </w:rPr>
        <w:tab/>
      </w:r>
      <w:r w:rsidRPr="00AA1DF1">
        <w:rPr>
          <w:bCs/>
        </w:rPr>
        <w:t>Transformation</w:t>
      </w:r>
      <w:r w:rsidRPr="00AA1DF1">
        <w:rPr>
          <w:bCs/>
          <w:szCs w:val="24"/>
        </w:rPr>
        <w:t xml:space="preserve"> numérique </w:t>
      </w:r>
      <w:proofErr w:type="gramStart"/>
      <w:r w:rsidRPr="00AA1DF1">
        <w:rPr>
          <w:bCs/>
          <w:szCs w:val="24"/>
        </w:rPr>
        <w:t>écologique:</w:t>
      </w:r>
      <w:proofErr w:type="gramEnd"/>
      <w:r w:rsidRPr="00AA1DF1">
        <w:rPr>
          <w:bCs/>
          <w:szCs w:val="24"/>
        </w:rPr>
        <w:t xml:space="preserve"> changements climatiques et durabilité environnementale</w:t>
      </w:r>
    </w:p>
    <w:p w14:paraId="1D5F4899" w14:textId="27130C71" w:rsidR="00C550C5" w:rsidRDefault="00C550C5" w:rsidP="002841B8">
      <w:pPr>
        <w:tabs>
          <w:tab w:val="clear" w:pos="567"/>
          <w:tab w:val="left" w:pos="851"/>
        </w:tabs>
        <w:jc w:val="both"/>
        <w:rPr>
          <w:szCs w:val="24"/>
        </w:rPr>
      </w:pPr>
      <w:r w:rsidRPr="00AA1DF1">
        <w:rPr>
          <w:szCs w:val="24"/>
        </w:rPr>
        <w:t>5.1</w:t>
      </w:r>
      <w:r w:rsidRPr="00AA1DF1">
        <w:rPr>
          <w:szCs w:val="24"/>
        </w:rPr>
        <w:tab/>
        <w:t>La technologie a un rôle essentiel à jouer dans la surveillance de la durabilité de l</w:t>
      </w:r>
      <w:r w:rsidR="00230D1A" w:rsidRPr="00AA1DF1">
        <w:rPr>
          <w:szCs w:val="24"/>
        </w:rPr>
        <w:t>'</w:t>
      </w:r>
      <w:r w:rsidRPr="00AA1DF1">
        <w:rPr>
          <w:szCs w:val="24"/>
        </w:rPr>
        <w:t>environnement et les changements climatiques, dans l</w:t>
      </w:r>
      <w:r w:rsidR="00230D1A" w:rsidRPr="00AA1DF1">
        <w:rPr>
          <w:szCs w:val="24"/>
        </w:rPr>
        <w:t>'</w:t>
      </w:r>
      <w:r w:rsidRPr="00AA1DF1">
        <w:rPr>
          <w:szCs w:val="24"/>
        </w:rPr>
        <w:t>atténuation de leurs effets et dans l</w:t>
      </w:r>
      <w:r w:rsidR="00230D1A" w:rsidRPr="00AA1DF1">
        <w:rPr>
          <w:szCs w:val="24"/>
        </w:rPr>
        <w:t>'</w:t>
      </w:r>
      <w:r w:rsidRPr="00AA1DF1">
        <w:rPr>
          <w:szCs w:val="24"/>
        </w:rPr>
        <w:t xml:space="preserve">adaptation à ces changements. Parallèlement, la transformation numérique </w:t>
      </w:r>
      <w:proofErr w:type="gramStart"/>
      <w:r w:rsidRPr="00AA1DF1">
        <w:rPr>
          <w:szCs w:val="24"/>
        </w:rPr>
        <w:t>a</w:t>
      </w:r>
      <w:proofErr w:type="gramEnd"/>
      <w:r w:rsidRPr="00AA1DF1">
        <w:rPr>
          <w:szCs w:val="24"/>
        </w:rPr>
        <w:t xml:space="preserve"> des conséquences importantes, notamment une augmentation des émissions de gaz à effet de serre et de la consommation d</w:t>
      </w:r>
      <w:r w:rsidR="00230D1A" w:rsidRPr="00AA1DF1">
        <w:rPr>
          <w:szCs w:val="24"/>
        </w:rPr>
        <w:t>'</w:t>
      </w:r>
      <w:r w:rsidRPr="00AA1DF1">
        <w:rPr>
          <w:szCs w:val="24"/>
        </w:rPr>
        <w:t>énergie du secteur des télécommunications/TIC, ainsi qu</w:t>
      </w:r>
      <w:r w:rsidR="00230D1A" w:rsidRPr="00AA1DF1">
        <w:rPr>
          <w:szCs w:val="24"/>
        </w:rPr>
        <w:t>'</w:t>
      </w:r>
      <w:r w:rsidRPr="00AA1DF1">
        <w:rPr>
          <w:szCs w:val="24"/>
        </w:rPr>
        <w:t>une augmentation du volume de déchets d</w:t>
      </w:r>
      <w:r w:rsidR="00230D1A" w:rsidRPr="00AA1DF1">
        <w:rPr>
          <w:szCs w:val="24"/>
        </w:rPr>
        <w:t>'</w:t>
      </w:r>
      <w:r w:rsidRPr="00AA1DF1">
        <w:rPr>
          <w:szCs w:val="24"/>
        </w:rPr>
        <w:t>équipements électriques et électroniques. Les services et technologies de télécommunication/TIC nouveaux et émergents, en particulier l</w:t>
      </w:r>
      <w:r w:rsidR="00230D1A" w:rsidRPr="00AA1DF1">
        <w:rPr>
          <w:szCs w:val="24"/>
        </w:rPr>
        <w:t>'</w:t>
      </w:r>
      <w:r w:rsidRPr="00AA1DF1">
        <w:rPr>
          <w:szCs w:val="24"/>
        </w:rPr>
        <w:t>intelligence artificielle, transforment la protection de l</w:t>
      </w:r>
      <w:r w:rsidR="00230D1A" w:rsidRPr="00AA1DF1">
        <w:rPr>
          <w:szCs w:val="24"/>
        </w:rPr>
        <w:t>'</w:t>
      </w:r>
      <w:r w:rsidRPr="00AA1DF1">
        <w:rPr>
          <w:szCs w:val="24"/>
        </w:rPr>
        <w:t>environnement et l</w:t>
      </w:r>
      <w:r w:rsidR="00230D1A" w:rsidRPr="00AA1DF1">
        <w:rPr>
          <w:szCs w:val="24"/>
        </w:rPr>
        <w:t>'</w:t>
      </w:r>
      <w:r w:rsidRPr="00AA1DF1">
        <w:rPr>
          <w:szCs w:val="24"/>
        </w:rPr>
        <w:t>action climatique. Les applications d</w:t>
      </w:r>
      <w:r w:rsidR="00230D1A" w:rsidRPr="00AA1DF1">
        <w:rPr>
          <w:szCs w:val="24"/>
        </w:rPr>
        <w:t>'</w:t>
      </w:r>
      <w:r w:rsidRPr="00AA1DF1">
        <w:rPr>
          <w:szCs w:val="24"/>
        </w:rPr>
        <w:t>IA sont déployées pour optimiser l</w:t>
      </w:r>
      <w:r w:rsidR="00230D1A" w:rsidRPr="00AA1DF1">
        <w:rPr>
          <w:szCs w:val="24"/>
        </w:rPr>
        <w:t>'</w:t>
      </w:r>
      <w:r w:rsidRPr="00AA1DF1">
        <w:rPr>
          <w:szCs w:val="24"/>
        </w:rPr>
        <w:t>efficacité énergétique, prévoir les phénomènes météorologiques extrêmes, surveiller la biodiversité et améliorer la modélisation du climat. Ces technologies permettent également à d</w:t>
      </w:r>
      <w:r w:rsidR="00230D1A" w:rsidRPr="00AA1DF1">
        <w:rPr>
          <w:szCs w:val="24"/>
        </w:rPr>
        <w:t>'</w:t>
      </w:r>
      <w:r w:rsidRPr="00AA1DF1">
        <w:rPr>
          <w:szCs w:val="24"/>
        </w:rPr>
        <w:t>autres secteurs comme l</w:t>
      </w:r>
      <w:r w:rsidR="00230D1A" w:rsidRPr="00AA1DF1">
        <w:rPr>
          <w:szCs w:val="24"/>
        </w:rPr>
        <w:t>'</w:t>
      </w:r>
      <w:r w:rsidRPr="00AA1DF1">
        <w:rPr>
          <w:szCs w:val="24"/>
        </w:rPr>
        <w:t>énergie, l</w:t>
      </w:r>
      <w:r w:rsidR="00230D1A" w:rsidRPr="00AA1DF1">
        <w:rPr>
          <w:szCs w:val="24"/>
        </w:rPr>
        <w:t>'</w:t>
      </w:r>
      <w:r w:rsidRPr="00AA1DF1">
        <w:rPr>
          <w:szCs w:val="24"/>
        </w:rPr>
        <w:t>industrie manufacturière, les transports et la construction de réduire l</w:t>
      </w:r>
      <w:r w:rsidR="00230D1A" w:rsidRPr="00AA1DF1">
        <w:rPr>
          <w:szCs w:val="24"/>
        </w:rPr>
        <w:t>'</w:t>
      </w:r>
      <w:r w:rsidRPr="00AA1DF1">
        <w:rPr>
          <w:szCs w:val="24"/>
        </w:rPr>
        <w:t>impact négatif sur le climat.</w:t>
      </w:r>
    </w:p>
    <w:p w14:paraId="6E96DBAB" w14:textId="152807DD" w:rsidR="002841B8" w:rsidRPr="00AA1DF1" w:rsidRDefault="002841B8" w:rsidP="002841B8">
      <w:pPr>
        <w:tabs>
          <w:tab w:val="clear" w:pos="567"/>
          <w:tab w:val="left" w:pos="851"/>
        </w:tabs>
        <w:jc w:val="center"/>
        <w:rPr>
          <w:rFonts w:asciiTheme="minorHAnsi" w:eastAsiaTheme="minorEastAsia" w:hAnsiTheme="minorHAnsi" w:cstheme="minorBidi"/>
          <w:szCs w:val="24"/>
        </w:rPr>
      </w:pPr>
      <w:r w:rsidRPr="00AA1DF1">
        <w:rPr>
          <w:rFonts w:asciiTheme="minorHAnsi" w:eastAsiaTheme="minorEastAsia" w:hAnsiTheme="minorHAnsi" w:cstheme="minorBidi"/>
          <w:noProof/>
          <w:szCs w:val="24"/>
          <w:lang w:eastAsia="zh-CN"/>
        </w:rPr>
        <mc:AlternateContent>
          <mc:Choice Requires="wps">
            <w:drawing>
              <wp:inline distT="0" distB="0" distL="0" distR="0" wp14:anchorId="3BC267ED" wp14:editId="2C19C33E">
                <wp:extent cx="5796280" cy="1931670"/>
                <wp:effectExtent l="0" t="0" r="13970" b="11430"/>
                <wp:docPr id="89505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1931670"/>
                        </a:xfrm>
                        <a:prstGeom prst="rect">
                          <a:avLst/>
                        </a:prstGeom>
                        <a:solidFill>
                          <a:srgbClr val="FFFFFF"/>
                        </a:solidFill>
                        <a:ln w="19050">
                          <a:solidFill>
                            <a:srgbClr val="9BBB59"/>
                          </a:solidFill>
                          <a:miter lim="800000"/>
                          <a:headEnd/>
                          <a:tailEnd/>
                        </a:ln>
                      </wps:spPr>
                      <wps:txbx>
                        <w:txbxContent>
                          <w:p w14:paraId="3BA56D84" w14:textId="77777777" w:rsidR="002841B8" w:rsidRPr="002B624C" w:rsidRDefault="002841B8" w:rsidP="002841B8">
                            <w:pPr>
                              <w:widowControl w:val="0"/>
                              <w:spacing w:before="80"/>
                              <w:rPr>
                                <w:color w:val="9BBB59" w:themeColor="accent3"/>
                                <w:sz w:val="22"/>
                              </w:rPr>
                            </w:pPr>
                            <w:r w:rsidRPr="002F40AF">
                              <w:rPr>
                                <w:color w:val="9BBB59" w:themeColor="accent3"/>
                                <w:sz w:val="22"/>
                              </w:rPr>
                              <w:t xml:space="preserve">Étude de </w:t>
                            </w:r>
                            <w:proofErr w:type="gramStart"/>
                            <w:r w:rsidRPr="002F40AF">
                              <w:rPr>
                                <w:color w:val="9BBB59" w:themeColor="accent3"/>
                                <w:sz w:val="22"/>
                              </w:rPr>
                              <w:t>cas:</w:t>
                            </w:r>
                            <w:proofErr w:type="gramEnd"/>
                            <w:r w:rsidRPr="002F40AF">
                              <w:rPr>
                                <w:color w:val="9BBB59" w:themeColor="accent3"/>
                                <w:sz w:val="22"/>
                              </w:rPr>
                              <w:t xml:space="preserve"> Initiative sur "l</w:t>
                            </w:r>
                            <w:r>
                              <w:rPr>
                                <w:color w:val="9BBB59" w:themeColor="accent3"/>
                                <w:sz w:val="22"/>
                              </w:rPr>
                              <w:t>'</w:t>
                            </w:r>
                            <w:r w:rsidRPr="002F40AF">
                              <w:rPr>
                                <w:color w:val="9BBB59" w:themeColor="accent3"/>
                                <w:sz w:val="22"/>
                              </w:rPr>
                              <w:t>Action du secteur du numérique pour l</w:t>
                            </w:r>
                            <w:r>
                              <w:rPr>
                                <w:color w:val="9BBB59" w:themeColor="accent3"/>
                                <w:sz w:val="22"/>
                              </w:rPr>
                              <w:t>'</w:t>
                            </w:r>
                            <w:r w:rsidRPr="002F40AF">
                              <w:rPr>
                                <w:color w:val="9BBB59" w:themeColor="accent3"/>
                                <w:sz w:val="22"/>
                              </w:rPr>
                              <w:t>environnement"</w:t>
                            </w:r>
                          </w:p>
                          <w:p w14:paraId="54672CA1" w14:textId="77777777" w:rsidR="002841B8" w:rsidRPr="002B624C" w:rsidRDefault="002841B8" w:rsidP="002841B8">
                            <w:pPr>
                              <w:widowControl w:val="0"/>
                              <w:spacing w:before="80"/>
                              <w:jc w:val="both"/>
                              <w:rPr>
                                <w:sz w:val="22"/>
                              </w:rPr>
                            </w:pPr>
                            <w:r>
                              <w:t>L'</w:t>
                            </w:r>
                            <w:hyperlink r:id="rId36" w:anchor="/fr" w:history="1">
                              <w:r>
                                <w:rPr>
                                  <w:rStyle w:val="Hyperlink"/>
                                  <w:sz w:val="22"/>
                                </w:rPr>
                                <w:t>Initiative Green Digital Action (GDA)</w:t>
                              </w:r>
                            </w:hyperlink>
                            <w:r>
                              <w:rPr>
                                <w:sz w:val="22"/>
                              </w:rPr>
                              <w:t xml:space="preserve"> rassemble des partenaires du monde entier pour faire progresser l'action climatique grâce à l'innovation numérique. Depuis le lancement de l'initiative à la COP28 en 2023, les acteurs s'efforcent d'unir la communauté numérique mondiale pour développer des solutions pratiques, stimuler le soutien climatique à l'échelle du secteur et renforcer les cadres mondiaux pour la surveillance et l'établissement de rapports. Cette initiative joue un rôle essentiel dans la promotion des engagements pris dans la Déclaration de la COP29 de la Conférence des Parties sur l'action numérique verte, qui vise à accélérer le développement numérique respectueux du climat et la réduction des émissions dans le secteur des technologies numériques et à améliorer l'accessibilité des technologies numériques vertes.</w:t>
                            </w:r>
                            <w:hyperlink r:id="rId37" w:history="1"/>
                          </w:p>
                        </w:txbxContent>
                      </wps:txbx>
                      <wps:bodyPr rot="0" vert="horz" wrap="square" lIns="91440" tIns="45720" rIns="91440" bIns="45720" anchor="t" anchorCtr="0" upright="1">
                        <a:noAutofit/>
                      </wps:bodyPr>
                    </wps:wsp>
                  </a:graphicData>
                </a:graphic>
              </wp:inline>
            </w:drawing>
          </mc:Choice>
          <mc:Fallback>
            <w:pict>
              <v:shape w14:anchorId="3BC267ED" id="Text Box 2" o:spid="_x0000_s1029" type="#_x0000_t202" style="width:456.4pt;height:15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" strokecolor="#9bbb59" strokeweight="1.5pt">
                <v:textbox>
                  <w:txbxContent>
                    <w:p w14:paraId="3BA56D84" w14:textId="77777777" w:rsidR="002841B8" w:rsidRPr="002B624C" w:rsidRDefault="002841B8" w:rsidP="002841B8">
                      <w:pPr>
                        <w:widowControl w:val="0"/>
                        <w:spacing w:before="80"/>
                        <w:rPr>
                          <w:color w:val="9BBB59" w:themeColor="accent3"/>
                          <w:sz w:val="22"/>
                        </w:rPr>
                      </w:pPr>
                      <w:r w:rsidRPr="002F40AF">
                        <w:rPr>
                          <w:color w:val="9BBB59" w:themeColor="accent3"/>
                          <w:sz w:val="22"/>
                        </w:rPr>
                        <w:t xml:space="preserve">Étude de </w:t>
                      </w:r>
                      <w:proofErr w:type="gramStart"/>
                      <w:r w:rsidRPr="002F40AF">
                        <w:rPr>
                          <w:color w:val="9BBB59" w:themeColor="accent3"/>
                          <w:sz w:val="22"/>
                        </w:rPr>
                        <w:t>cas:</w:t>
                      </w:r>
                      <w:proofErr w:type="gramEnd"/>
                      <w:r w:rsidRPr="002F40AF">
                        <w:rPr>
                          <w:color w:val="9BBB59" w:themeColor="accent3"/>
                          <w:sz w:val="22"/>
                        </w:rPr>
                        <w:t xml:space="preserve"> Initiative sur "l</w:t>
                      </w:r>
                      <w:r>
                        <w:rPr>
                          <w:color w:val="9BBB59" w:themeColor="accent3"/>
                          <w:sz w:val="22"/>
                        </w:rPr>
                        <w:t>'</w:t>
                      </w:r>
                      <w:r w:rsidRPr="002F40AF">
                        <w:rPr>
                          <w:color w:val="9BBB59" w:themeColor="accent3"/>
                          <w:sz w:val="22"/>
                        </w:rPr>
                        <w:t>Action du secteur du numérique pour l</w:t>
                      </w:r>
                      <w:r>
                        <w:rPr>
                          <w:color w:val="9BBB59" w:themeColor="accent3"/>
                          <w:sz w:val="22"/>
                        </w:rPr>
                        <w:t>'</w:t>
                      </w:r>
                      <w:r w:rsidRPr="002F40AF">
                        <w:rPr>
                          <w:color w:val="9BBB59" w:themeColor="accent3"/>
                          <w:sz w:val="22"/>
                        </w:rPr>
                        <w:t>environnement"</w:t>
                      </w:r>
                    </w:p>
                    <w:p w14:paraId="54672CA1" w14:textId="77777777" w:rsidR="002841B8" w:rsidRPr="002B624C" w:rsidRDefault="002841B8" w:rsidP="002841B8">
                      <w:pPr>
                        <w:widowControl w:val="0"/>
                        <w:spacing w:before="80"/>
                        <w:jc w:val="both"/>
                        <w:rPr>
                          <w:sz w:val="22"/>
                        </w:rPr>
                      </w:pPr>
                      <w:r>
                        <w:t>L'</w:t>
                      </w:r>
                      <w:hyperlink r:id="rId38" w:anchor="/fr" w:history="1">
                        <w:r>
                          <w:rPr>
                            <w:rStyle w:val="Hyperlink"/>
                            <w:sz w:val="22"/>
                          </w:rPr>
                          <w:t>Initiative Green Digital Action (GDA)</w:t>
                        </w:r>
                      </w:hyperlink>
                      <w:r>
                        <w:rPr>
                          <w:sz w:val="22"/>
                        </w:rPr>
                        <w:t xml:space="preserve"> rassemble des partenaires du monde entier pour faire progresser l'action climatique grâce à l'innovation numérique. Depuis le lancement de l'initiative à la COP28 en 2023, les acteurs s'efforcent d'unir la communauté numérique mondiale pour développer des solutions pratiques, stimuler le soutien climatique à l'échelle du secteur et renforcer les cadres mondiaux pour la surveillance et l'établissement de rapports. Cette initiative joue un rôle essentiel dans la promotion des engagements pris dans la Déclaration de la COP29 de la Conférence des Parties sur l'action numérique verte, qui vise à accélérer le développement numérique respectueux du climat et la réduction des émissions dans le secteur des technologies numériques et à améliorer l'accessibilité des technologies numériques vertes.</w:t>
                      </w:r>
                      <w:hyperlink r:id="rId39" w:history="1"/>
                    </w:p>
                  </w:txbxContent>
                </v:textbox>
                <w10:anchorlock/>
              </v:shape>
            </w:pict>
          </mc:Fallback>
        </mc:AlternateContent>
      </w:r>
    </w:p>
    <w:p w14:paraId="6B70D0B3" w14:textId="63A83BDE" w:rsidR="00C550C5" w:rsidRPr="00AA1DF1" w:rsidRDefault="00C550C5" w:rsidP="002841B8">
      <w:pPr>
        <w:jc w:val="both"/>
      </w:pPr>
      <w:r w:rsidRPr="00AA1DF1">
        <w:t>5.2</w:t>
      </w:r>
      <w:r w:rsidRPr="00AA1DF1">
        <w:tab/>
        <w:t>La croissance rapide des technologies numériques, y compris l</w:t>
      </w:r>
      <w:r w:rsidR="00230D1A" w:rsidRPr="00AA1DF1">
        <w:t>'</w:t>
      </w:r>
      <w:r w:rsidRPr="00AA1DF1">
        <w:t>IA, dont la puissance de calcul double tous les 100 jours, souligne également le besoin urgent de pratiques durables dans le secteur numérique</w:t>
      </w:r>
      <w:r w:rsidR="00C00850" w:rsidRPr="00AA1DF1">
        <w:rPr>
          <w:rStyle w:val="FootnoteReference"/>
          <w:lang w:eastAsia="zh-CN"/>
        </w:rPr>
        <w:footnoteReference w:id="1"/>
      </w:r>
      <w:r w:rsidRPr="00AA1DF1">
        <w:t>. Les entreprises numériques représentent déjà près de 2% de la consommation mondiale d</w:t>
      </w:r>
      <w:r w:rsidR="00230D1A" w:rsidRPr="00AA1DF1">
        <w:t>'</w:t>
      </w:r>
      <w:r w:rsidRPr="00AA1DF1">
        <w:t>électricité et jusqu</w:t>
      </w:r>
      <w:r w:rsidR="00230D1A" w:rsidRPr="00AA1DF1">
        <w:t>'</w:t>
      </w:r>
      <w:r w:rsidRPr="00AA1DF1">
        <w:t>à 4% des émissions de gaz à effet de serre, qui doivent être réduites de 45% d</w:t>
      </w:r>
      <w:r w:rsidR="00230D1A" w:rsidRPr="00AA1DF1">
        <w:t>'</w:t>
      </w:r>
      <w:r w:rsidRPr="00AA1DF1">
        <w:t xml:space="preserve">ici </w:t>
      </w:r>
      <w:r w:rsidR="00230D1A" w:rsidRPr="00AA1DF1">
        <w:t xml:space="preserve">à </w:t>
      </w:r>
      <w:r w:rsidRPr="00AA1DF1">
        <w:t>2030 pour s</w:t>
      </w:r>
      <w:r w:rsidR="00230D1A" w:rsidRPr="00AA1DF1">
        <w:t>'</w:t>
      </w:r>
      <w:r w:rsidRPr="00AA1DF1">
        <w:t>aligner sur l</w:t>
      </w:r>
      <w:r w:rsidR="00230D1A" w:rsidRPr="00AA1DF1">
        <w:t>'</w:t>
      </w:r>
      <w:r w:rsidRPr="00AA1DF1">
        <w:t>Accord de Paris</w:t>
      </w:r>
      <w:r w:rsidR="00C00850" w:rsidRPr="00AA1DF1">
        <w:rPr>
          <w:rStyle w:val="FootnoteReference"/>
          <w:lang w:eastAsia="zh-CN"/>
        </w:rPr>
        <w:footnoteReference w:id="2"/>
      </w:r>
      <w:r w:rsidRPr="00AA1DF1">
        <w:t>. Cette dépendance à l</w:t>
      </w:r>
      <w:r w:rsidR="00230D1A" w:rsidRPr="00AA1DF1">
        <w:t>'</w:t>
      </w:r>
      <w:r w:rsidRPr="00AA1DF1">
        <w:t>égard de ressources énergétiques limitées représente un défi fondamental en matière de durabilité pour le secteur, tout comme sa dépendance à l</w:t>
      </w:r>
      <w:r w:rsidR="00230D1A" w:rsidRPr="00AA1DF1">
        <w:t>'</w:t>
      </w:r>
      <w:r w:rsidRPr="00AA1DF1">
        <w:t>égard de matières premières essentielles, ce qui souligne la nécessité d</w:t>
      </w:r>
      <w:r w:rsidR="00230D1A" w:rsidRPr="00AA1DF1">
        <w:t>'</w:t>
      </w:r>
      <w:r w:rsidRPr="00AA1DF1">
        <w:t>une transition vers des sources d</w:t>
      </w:r>
      <w:r w:rsidR="00230D1A" w:rsidRPr="00AA1DF1">
        <w:t>'</w:t>
      </w:r>
      <w:r w:rsidRPr="00AA1DF1">
        <w:t>énergie renouvelables tout au long de la chaîne de valeur numérique.</w:t>
      </w:r>
    </w:p>
    <w:p w14:paraId="3311AD80" w14:textId="17C31BA6" w:rsidR="00C550C5" w:rsidRPr="00AA1DF1" w:rsidRDefault="00C550C5" w:rsidP="002841B8">
      <w:pPr>
        <w:jc w:val="both"/>
        <w:rPr>
          <w:rFonts w:asciiTheme="minorHAnsi" w:eastAsiaTheme="minorEastAsia" w:hAnsiTheme="minorHAnsi" w:cstheme="minorBidi"/>
          <w:szCs w:val="24"/>
        </w:rPr>
      </w:pPr>
      <w:r w:rsidRPr="00AA1DF1">
        <w:rPr>
          <w:szCs w:val="24"/>
        </w:rPr>
        <w:t>5.3</w:t>
      </w:r>
      <w:r w:rsidRPr="00AA1DF1">
        <w:rPr>
          <w:szCs w:val="24"/>
        </w:rPr>
        <w:tab/>
        <w:t>Dans le même temps, la transition vers une économie circulaire dans le monde reste lente, avec seulement 7% des activités économiques estimées comme faisant partie de l</w:t>
      </w:r>
      <w:r w:rsidR="00230D1A" w:rsidRPr="00AA1DF1">
        <w:rPr>
          <w:szCs w:val="24"/>
        </w:rPr>
        <w:t>'</w:t>
      </w:r>
      <w:r w:rsidRPr="00AA1DF1">
        <w:rPr>
          <w:szCs w:val="24"/>
        </w:rPr>
        <w:t>économie circulaire. De plus, 82 milliards de kilos de DEEE devraient être générés d</w:t>
      </w:r>
      <w:r w:rsidR="00230D1A" w:rsidRPr="00AA1DF1">
        <w:rPr>
          <w:szCs w:val="24"/>
        </w:rPr>
        <w:t>'</w:t>
      </w:r>
      <w:r w:rsidRPr="00AA1DF1">
        <w:rPr>
          <w:szCs w:val="24"/>
        </w:rPr>
        <w:t xml:space="preserve">ici </w:t>
      </w:r>
      <w:r w:rsidR="00230D1A" w:rsidRPr="00AA1DF1">
        <w:rPr>
          <w:szCs w:val="24"/>
        </w:rPr>
        <w:t xml:space="preserve">à </w:t>
      </w:r>
      <w:r w:rsidRPr="00AA1DF1">
        <w:rPr>
          <w:szCs w:val="24"/>
        </w:rPr>
        <w:t xml:space="preserve">2030. En outre, près </w:t>
      </w:r>
      <w:r w:rsidRPr="00AA1DF1">
        <w:rPr>
          <w:szCs w:val="24"/>
        </w:rPr>
        <w:lastRenderedPageBreak/>
        <w:t>de la moitié des pays ne disposent pas de systèmes d</w:t>
      </w:r>
      <w:r w:rsidR="00230D1A" w:rsidRPr="00AA1DF1">
        <w:rPr>
          <w:szCs w:val="24"/>
        </w:rPr>
        <w:t>'</w:t>
      </w:r>
      <w:r w:rsidRPr="00AA1DF1">
        <w:rPr>
          <w:szCs w:val="24"/>
        </w:rPr>
        <w:t>alerte avancée multirisques, et le manque de données dans les pays les moins avancés et les petits États insulaires en développement aggravent leur vulnérabilité aux risques climatiques. La transformation numérique verte offre la possibilité de relever ces défis et de construire un avenir plus durable et équitable.</w:t>
      </w:r>
    </w:p>
    <w:p w14:paraId="4839D593" w14:textId="01362331" w:rsidR="00C550C5" w:rsidRPr="00AA1DF1" w:rsidRDefault="00C550C5" w:rsidP="00C550C5">
      <w:pPr>
        <w:tabs>
          <w:tab w:val="clear" w:pos="1134"/>
          <w:tab w:val="clear" w:pos="1701"/>
          <w:tab w:val="clear" w:pos="2268"/>
          <w:tab w:val="clear" w:pos="2835"/>
        </w:tabs>
        <w:overflowPunct/>
        <w:autoSpaceDE/>
        <w:autoSpaceDN/>
        <w:adjustRightInd/>
        <w:spacing w:before="160"/>
        <w:jc w:val="center"/>
        <w:textAlignment w:val="auto"/>
        <w:rPr>
          <w:rFonts w:asciiTheme="minorHAnsi" w:eastAsiaTheme="minorEastAsia" w:hAnsiTheme="minorHAnsi" w:cstheme="minorBidi"/>
          <w:sz w:val="22"/>
          <w:szCs w:val="22"/>
          <w:lang w:eastAsia="zh-CN"/>
        </w:rPr>
      </w:pPr>
      <w:r w:rsidRPr="00AA1DF1">
        <w:rPr>
          <w:rFonts w:asciiTheme="minorHAnsi" w:eastAsiaTheme="minorEastAsia" w:hAnsiTheme="minorHAnsi" w:cstheme="minorBidi"/>
          <w:noProof/>
          <w:sz w:val="22"/>
          <w:szCs w:val="22"/>
          <w:lang w:eastAsia="zh-CN"/>
        </w:rPr>
        <mc:AlternateContent>
          <mc:Choice Requires="wps">
            <w:drawing>
              <wp:inline distT="0" distB="0" distL="0" distR="0" wp14:anchorId="71776A95" wp14:editId="4E21A8BB">
                <wp:extent cx="5780598" cy="2926080"/>
                <wp:effectExtent l="0" t="0" r="10795" b="26670"/>
                <wp:docPr id="56195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598" cy="2926080"/>
                        </a:xfrm>
                        <a:prstGeom prst="rect">
                          <a:avLst/>
                        </a:prstGeom>
                        <a:solidFill>
                          <a:srgbClr val="FFFFFF"/>
                        </a:solidFill>
                        <a:ln w="19050">
                          <a:solidFill>
                            <a:srgbClr val="4F81BD"/>
                          </a:solidFill>
                          <a:miter lim="800000"/>
                          <a:headEnd/>
                          <a:tailEnd/>
                        </a:ln>
                      </wps:spPr>
                      <wps:txbx>
                        <w:txbxContent>
                          <w:p w14:paraId="44DFC4FB" w14:textId="27EE596B" w:rsidR="00C550C5" w:rsidRPr="002B624C" w:rsidRDefault="00C550C5" w:rsidP="00252A40">
                            <w:pPr>
                              <w:spacing w:before="80"/>
                              <w:rPr>
                                <w:color w:val="4F81BD" w:themeColor="accent1"/>
                                <w:sz w:val="22"/>
                              </w:rPr>
                            </w:pPr>
                            <w:r w:rsidRPr="0051405B">
                              <w:rPr>
                                <w:color w:val="4F81BD" w:themeColor="accent1"/>
                                <w:sz w:val="22"/>
                              </w:rPr>
                              <w:t xml:space="preserve">Les normes internationales à </w:t>
                            </w:r>
                            <w:proofErr w:type="gramStart"/>
                            <w:r w:rsidRPr="0051405B">
                              <w:rPr>
                                <w:color w:val="4F81BD" w:themeColor="accent1"/>
                                <w:sz w:val="22"/>
                              </w:rPr>
                              <w:t>l</w:t>
                            </w:r>
                            <w:r w:rsidR="00230D1A">
                              <w:rPr>
                                <w:color w:val="4F81BD" w:themeColor="accent1"/>
                                <w:sz w:val="22"/>
                              </w:rPr>
                              <w:t>'</w:t>
                            </w:r>
                            <w:r w:rsidRPr="0051405B">
                              <w:rPr>
                                <w:color w:val="4F81BD" w:themeColor="accent1"/>
                                <w:sz w:val="22"/>
                              </w:rPr>
                              <w:t>UIT:</w:t>
                            </w:r>
                            <w:proofErr w:type="gramEnd"/>
                          </w:p>
                          <w:p w14:paraId="5794BB6F" w14:textId="76081E4F" w:rsidR="00C550C5" w:rsidRPr="002B624C" w:rsidRDefault="00C550C5" w:rsidP="002841B8">
                            <w:pPr>
                              <w:spacing w:before="80"/>
                              <w:jc w:val="both"/>
                              <w:rPr>
                                <w:sz w:val="22"/>
                              </w:rPr>
                            </w:pPr>
                            <w:r>
                              <w:rPr>
                                <w:sz w:val="22"/>
                              </w:rPr>
                              <w:t>L</w:t>
                            </w:r>
                            <w:r w:rsidR="00230D1A">
                              <w:rPr>
                                <w:sz w:val="22"/>
                              </w:rPr>
                              <w:t>'</w:t>
                            </w:r>
                            <w:r>
                              <w:rPr>
                                <w:sz w:val="22"/>
                              </w:rPr>
                              <w:t>UIT élabore des normes internationales pour promouvoir l</w:t>
                            </w:r>
                            <w:r w:rsidR="00230D1A">
                              <w:rPr>
                                <w:sz w:val="22"/>
                              </w:rPr>
                              <w:t>'</w:t>
                            </w:r>
                            <w:r>
                              <w:rPr>
                                <w:sz w:val="22"/>
                              </w:rPr>
                              <w:t>efficacité environnementale, la lutte contre les changements climatiques, l</w:t>
                            </w:r>
                            <w:r w:rsidR="00230D1A">
                              <w:rPr>
                                <w:sz w:val="22"/>
                              </w:rPr>
                              <w:t>'</w:t>
                            </w:r>
                            <w:r>
                              <w:rPr>
                                <w:sz w:val="22"/>
                              </w:rPr>
                              <w:t>efficacité énergétique et l</w:t>
                            </w:r>
                            <w:r w:rsidR="00230D1A">
                              <w:rPr>
                                <w:sz w:val="22"/>
                              </w:rPr>
                              <w:t>'</w:t>
                            </w:r>
                            <w:r>
                              <w:rPr>
                                <w:sz w:val="22"/>
                              </w:rPr>
                              <w:t>économie circulaire dans le secteur des TIC et au-delà. En établissant des méthodes pour évaluer les incidences environnementales des produits TIC, l</w:t>
                            </w:r>
                            <w:r w:rsidR="00230D1A">
                              <w:rPr>
                                <w:sz w:val="22"/>
                              </w:rPr>
                              <w:t>'</w:t>
                            </w:r>
                            <w:r>
                              <w:rPr>
                                <w:sz w:val="22"/>
                              </w:rPr>
                              <w:t>UIT fournit des cadres qui guident les organisations dans la mesure et la réduction de leur empreinte carbone. Les normes de l</w:t>
                            </w:r>
                            <w:r w:rsidR="00230D1A">
                              <w:rPr>
                                <w:sz w:val="22"/>
                              </w:rPr>
                              <w:t>'</w:t>
                            </w:r>
                            <w:r>
                              <w:rPr>
                                <w:sz w:val="22"/>
                              </w:rPr>
                              <w:t>UIT promeuvent des principes de conception durable qui favorisent l</w:t>
                            </w:r>
                            <w:r w:rsidR="00230D1A">
                              <w:rPr>
                                <w:sz w:val="22"/>
                              </w:rPr>
                              <w:t>'</w:t>
                            </w:r>
                            <w:r>
                              <w:rPr>
                                <w:sz w:val="22"/>
                              </w:rPr>
                              <w:t xml:space="preserve">utilisation efficace des ressources et facilitent le passage à une économie circulaire. </w:t>
                            </w:r>
                            <w:r w:rsidR="0051405B">
                              <w:rPr>
                                <w:sz w:val="22"/>
                              </w:rPr>
                              <w:t>À</w:t>
                            </w:r>
                            <w:r>
                              <w:rPr>
                                <w:sz w:val="22"/>
                              </w:rPr>
                              <w:t xml:space="preserve"> titre d</w:t>
                            </w:r>
                            <w:r w:rsidR="00230D1A">
                              <w:rPr>
                                <w:sz w:val="22"/>
                              </w:rPr>
                              <w:t>'</w:t>
                            </w:r>
                            <w:r>
                              <w:rPr>
                                <w:sz w:val="22"/>
                              </w:rPr>
                              <w:t>exemple, les normes relatives à l</w:t>
                            </w:r>
                            <w:r w:rsidR="00230D1A">
                              <w:rPr>
                                <w:sz w:val="22"/>
                              </w:rPr>
                              <w:t>'</w:t>
                            </w:r>
                            <w:r>
                              <w:rPr>
                                <w:sz w:val="22"/>
                              </w:rPr>
                              <w:t>efficacité énergétique des équipements de télécommunication et aux centres de données écologiques permettent de réduire considérablement la consommation d</w:t>
                            </w:r>
                            <w:r w:rsidR="00230D1A">
                              <w:rPr>
                                <w:sz w:val="22"/>
                              </w:rPr>
                              <w:t>'</w:t>
                            </w:r>
                            <w:r>
                              <w:rPr>
                                <w:sz w:val="22"/>
                              </w:rPr>
                              <w:t>énergie, ce qui aide les organisations à réduire leurs coûts d</w:t>
                            </w:r>
                            <w:r w:rsidR="00230D1A">
                              <w:rPr>
                                <w:sz w:val="22"/>
                              </w:rPr>
                              <w:t>'</w:t>
                            </w:r>
                            <w:r>
                              <w:rPr>
                                <w:sz w:val="22"/>
                              </w:rPr>
                              <w:t>exploitation tout en réduisant les émissions. En matière d</w:t>
                            </w:r>
                            <w:r w:rsidR="00230D1A">
                              <w:rPr>
                                <w:sz w:val="22"/>
                              </w:rPr>
                              <w:t>'</w:t>
                            </w:r>
                            <w:r>
                              <w:rPr>
                                <w:sz w:val="22"/>
                              </w:rPr>
                              <w:t>action climatique, ces normes aident les gouvernements et les entreprises à adopter des pratiques qui minimisent les émissions et favorisent la résilience aux incidences climatiques. Grâce à des mécanismes d</w:t>
                            </w:r>
                            <w:r w:rsidR="00230D1A">
                              <w:rPr>
                                <w:sz w:val="22"/>
                              </w:rPr>
                              <w:t>'</w:t>
                            </w:r>
                            <w:r>
                              <w:rPr>
                                <w:sz w:val="22"/>
                              </w:rPr>
                              <w:t>établissement de rapports normalisés, l</w:t>
                            </w:r>
                            <w:r w:rsidR="00230D1A">
                              <w:rPr>
                                <w:sz w:val="22"/>
                              </w:rPr>
                              <w:t>'</w:t>
                            </w:r>
                            <w:r>
                              <w:rPr>
                                <w:sz w:val="22"/>
                              </w:rPr>
                              <w:t>UIT permet un suivi cohérent et transparent des résultats environnementaux, renforçant ainsi la responsabilisation et stimulant les efforts mondiaux en faveur de la durabilité.</w:t>
                            </w:r>
                          </w:p>
                        </w:txbxContent>
                      </wps:txbx>
                      <wps:bodyPr rot="0" vert="horz" wrap="square" lIns="91440" tIns="45720" rIns="91440" bIns="45720" anchor="t" anchorCtr="0" upright="1">
                        <a:noAutofit/>
                      </wps:bodyPr>
                    </wps:wsp>
                  </a:graphicData>
                </a:graphic>
              </wp:inline>
            </w:drawing>
          </mc:Choice>
          <mc:Fallback>
            <w:pict>
              <v:shape w14:anchorId="71776A95" id="_x0000_s1030" type="#_x0000_t202" style="width:455.15pt;height:23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" strokecolor="#4f81bd" strokeweight="1.5pt">
                <v:textbox>
                  <w:txbxContent>
                    <w:p w14:paraId="44DFC4FB" w14:textId="27EE596B" w:rsidR="00C550C5" w:rsidRPr="002B624C" w:rsidRDefault="00C550C5" w:rsidP="00252A40">
                      <w:pPr>
                        <w:spacing w:before="80"/>
                        <w:rPr>
                          <w:color w:val="4F81BD" w:themeColor="accent1"/>
                          <w:sz w:val="22"/>
                        </w:rPr>
                      </w:pPr>
                      <w:r w:rsidRPr="0051405B">
                        <w:rPr>
                          <w:color w:val="4F81BD" w:themeColor="accent1"/>
                          <w:sz w:val="22"/>
                        </w:rPr>
                        <w:t xml:space="preserve">Les normes internationales à </w:t>
                      </w:r>
                      <w:proofErr w:type="gramStart"/>
                      <w:r w:rsidRPr="0051405B">
                        <w:rPr>
                          <w:color w:val="4F81BD" w:themeColor="accent1"/>
                          <w:sz w:val="22"/>
                        </w:rPr>
                        <w:t>l</w:t>
                      </w:r>
                      <w:r w:rsidR="00230D1A">
                        <w:rPr>
                          <w:color w:val="4F81BD" w:themeColor="accent1"/>
                          <w:sz w:val="22"/>
                        </w:rPr>
                        <w:t>'</w:t>
                      </w:r>
                      <w:r w:rsidRPr="0051405B">
                        <w:rPr>
                          <w:color w:val="4F81BD" w:themeColor="accent1"/>
                          <w:sz w:val="22"/>
                        </w:rPr>
                        <w:t>UIT:</w:t>
                      </w:r>
                      <w:proofErr w:type="gramEnd"/>
                    </w:p>
                    <w:p w14:paraId="5794BB6F" w14:textId="76081E4F" w:rsidR="00C550C5" w:rsidRPr="002B624C" w:rsidRDefault="00C550C5" w:rsidP="002841B8">
                      <w:pPr>
                        <w:spacing w:before="80"/>
                        <w:jc w:val="both"/>
                        <w:rPr>
                          <w:sz w:val="22"/>
                        </w:rPr>
                      </w:pPr>
                      <w:r>
                        <w:rPr>
                          <w:sz w:val="22"/>
                        </w:rPr>
                        <w:t>L</w:t>
                      </w:r>
                      <w:r w:rsidR="00230D1A">
                        <w:rPr>
                          <w:sz w:val="22"/>
                        </w:rPr>
                        <w:t>'</w:t>
                      </w:r>
                      <w:r>
                        <w:rPr>
                          <w:sz w:val="22"/>
                        </w:rPr>
                        <w:t>UIT élabore des normes internationales pour promouvoir l</w:t>
                      </w:r>
                      <w:r w:rsidR="00230D1A">
                        <w:rPr>
                          <w:sz w:val="22"/>
                        </w:rPr>
                        <w:t>'</w:t>
                      </w:r>
                      <w:r>
                        <w:rPr>
                          <w:sz w:val="22"/>
                        </w:rPr>
                        <w:t>efficacité environnementale, la lutte contre les changements climatiques, l</w:t>
                      </w:r>
                      <w:r w:rsidR="00230D1A">
                        <w:rPr>
                          <w:sz w:val="22"/>
                        </w:rPr>
                        <w:t>'</w:t>
                      </w:r>
                      <w:r>
                        <w:rPr>
                          <w:sz w:val="22"/>
                        </w:rPr>
                        <w:t>efficacité énergétique et l</w:t>
                      </w:r>
                      <w:r w:rsidR="00230D1A">
                        <w:rPr>
                          <w:sz w:val="22"/>
                        </w:rPr>
                        <w:t>'</w:t>
                      </w:r>
                      <w:r>
                        <w:rPr>
                          <w:sz w:val="22"/>
                        </w:rPr>
                        <w:t>économie circulaire dans le secteur des TIC et au-delà. En établissant des méthodes pour évaluer les incidences environnementales des produits TIC, l</w:t>
                      </w:r>
                      <w:r w:rsidR="00230D1A">
                        <w:rPr>
                          <w:sz w:val="22"/>
                        </w:rPr>
                        <w:t>'</w:t>
                      </w:r>
                      <w:r>
                        <w:rPr>
                          <w:sz w:val="22"/>
                        </w:rPr>
                        <w:t>UIT fournit des cadres qui guident les organisations dans la mesure et la réduction de leur empreinte carbone. Les normes de l</w:t>
                      </w:r>
                      <w:r w:rsidR="00230D1A">
                        <w:rPr>
                          <w:sz w:val="22"/>
                        </w:rPr>
                        <w:t>'</w:t>
                      </w:r>
                      <w:r>
                        <w:rPr>
                          <w:sz w:val="22"/>
                        </w:rPr>
                        <w:t>UIT promeuvent des principes de conception durable qui favorisent l</w:t>
                      </w:r>
                      <w:r w:rsidR="00230D1A">
                        <w:rPr>
                          <w:sz w:val="22"/>
                        </w:rPr>
                        <w:t>'</w:t>
                      </w:r>
                      <w:r>
                        <w:rPr>
                          <w:sz w:val="22"/>
                        </w:rPr>
                        <w:t xml:space="preserve">utilisation efficace des ressources et facilitent le passage à une économie circulaire. </w:t>
                      </w:r>
                      <w:r w:rsidR="0051405B">
                        <w:rPr>
                          <w:sz w:val="22"/>
                        </w:rPr>
                        <w:t>À</w:t>
                      </w:r>
                      <w:r>
                        <w:rPr>
                          <w:sz w:val="22"/>
                        </w:rPr>
                        <w:t xml:space="preserve"> titre d</w:t>
                      </w:r>
                      <w:r w:rsidR="00230D1A">
                        <w:rPr>
                          <w:sz w:val="22"/>
                        </w:rPr>
                        <w:t>'</w:t>
                      </w:r>
                      <w:r>
                        <w:rPr>
                          <w:sz w:val="22"/>
                        </w:rPr>
                        <w:t>exemple, les normes relatives à l</w:t>
                      </w:r>
                      <w:r w:rsidR="00230D1A">
                        <w:rPr>
                          <w:sz w:val="22"/>
                        </w:rPr>
                        <w:t>'</w:t>
                      </w:r>
                      <w:r>
                        <w:rPr>
                          <w:sz w:val="22"/>
                        </w:rPr>
                        <w:t>efficacité énergétique des équipements de télécommunication et aux centres de données écologiques permettent de réduire considérablement la consommation d</w:t>
                      </w:r>
                      <w:r w:rsidR="00230D1A">
                        <w:rPr>
                          <w:sz w:val="22"/>
                        </w:rPr>
                        <w:t>'</w:t>
                      </w:r>
                      <w:r>
                        <w:rPr>
                          <w:sz w:val="22"/>
                        </w:rPr>
                        <w:t>énergie, ce qui aide les organisations à réduire leurs coûts d</w:t>
                      </w:r>
                      <w:r w:rsidR="00230D1A">
                        <w:rPr>
                          <w:sz w:val="22"/>
                        </w:rPr>
                        <w:t>'</w:t>
                      </w:r>
                      <w:r>
                        <w:rPr>
                          <w:sz w:val="22"/>
                        </w:rPr>
                        <w:t>exploitation tout en réduisant les émissions. En matière d</w:t>
                      </w:r>
                      <w:r w:rsidR="00230D1A">
                        <w:rPr>
                          <w:sz w:val="22"/>
                        </w:rPr>
                        <w:t>'</w:t>
                      </w:r>
                      <w:r>
                        <w:rPr>
                          <w:sz w:val="22"/>
                        </w:rPr>
                        <w:t>action climatique, ces normes aident les gouvernements et les entreprises à adopter des pratiques qui minimisent les émissions et favorisent la résilience aux incidences climatiques. Grâce à des mécanismes d</w:t>
                      </w:r>
                      <w:r w:rsidR="00230D1A">
                        <w:rPr>
                          <w:sz w:val="22"/>
                        </w:rPr>
                        <w:t>'</w:t>
                      </w:r>
                      <w:r>
                        <w:rPr>
                          <w:sz w:val="22"/>
                        </w:rPr>
                        <w:t>établissement de rapports normalisés, l</w:t>
                      </w:r>
                      <w:r w:rsidR="00230D1A">
                        <w:rPr>
                          <w:sz w:val="22"/>
                        </w:rPr>
                        <w:t>'</w:t>
                      </w:r>
                      <w:r>
                        <w:rPr>
                          <w:sz w:val="22"/>
                        </w:rPr>
                        <w:t>UIT permet un suivi cohérent et transparent des résultats environnementaux, renforçant ainsi la responsabilisation et stimulant les efforts mondiaux en faveur de la durabilité.</w:t>
                      </w:r>
                    </w:p>
                  </w:txbxContent>
                </v:textbox>
                <w10:anchorlock/>
              </v:shape>
            </w:pict>
          </mc:Fallback>
        </mc:AlternateContent>
      </w:r>
    </w:p>
    <w:p w14:paraId="785DC458" w14:textId="330865C7" w:rsidR="00C550C5" w:rsidRPr="00AA1DF1" w:rsidRDefault="00252A40" w:rsidP="004523A7">
      <w:pPr>
        <w:widowControl w:val="0"/>
        <w:tabs>
          <w:tab w:val="clear" w:pos="567"/>
          <w:tab w:val="left" w:pos="851"/>
        </w:tabs>
        <w:jc w:val="both"/>
        <w:rPr>
          <w:rFonts w:asciiTheme="minorHAnsi" w:eastAsiaTheme="minorEastAsia" w:hAnsiTheme="minorHAnsi" w:cstheme="minorBidi"/>
          <w:sz w:val="22"/>
          <w:szCs w:val="22"/>
        </w:rPr>
      </w:pPr>
      <w:r w:rsidRPr="00AA1DF1">
        <w:rPr>
          <w:rFonts w:asciiTheme="minorHAnsi" w:eastAsiaTheme="minorEastAsia" w:hAnsiTheme="minorHAnsi" w:cstheme="minorBidi"/>
          <w:noProof/>
          <w:szCs w:val="24"/>
          <w:lang w:eastAsia="zh-CN"/>
        </w:rPr>
        <mc:AlternateContent>
          <mc:Choice Requires="wps">
            <w:drawing>
              <wp:anchor distT="0" distB="0" distL="114300" distR="114300" simplePos="0" relativeHeight="251679744" behindDoc="0" locked="0" layoutInCell="1" allowOverlap="0" wp14:anchorId="1390D9FF" wp14:editId="56EA2C97">
                <wp:simplePos x="0" y="0"/>
                <wp:positionH relativeFrom="column">
                  <wp:posOffset>3477895</wp:posOffset>
                </wp:positionH>
                <wp:positionV relativeFrom="paragraph">
                  <wp:posOffset>302260</wp:posOffset>
                </wp:positionV>
                <wp:extent cx="2702560" cy="4579620"/>
                <wp:effectExtent l="0" t="0" r="21590" b="11430"/>
                <wp:wrapSquare wrapText="bothSides"/>
                <wp:docPr id="18912788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2560" cy="4579620"/>
                        </a:xfrm>
                        <a:prstGeom prst="rect">
                          <a:avLst/>
                        </a:prstGeom>
                        <a:solidFill>
                          <a:srgbClr val="FFFFFF"/>
                        </a:solidFill>
                        <a:ln w="12700">
                          <a:solidFill>
                            <a:srgbClr val="4F81BD">
                              <a:lumMod val="100000"/>
                              <a:lumOff val="0"/>
                            </a:srgbClr>
                          </a:solidFill>
                          <a:miter lim="800000"/>
                          <a:headEnd/>
                          <a:tailEnd/>
                        </a:ln>
                      </wps:spPr>
                      <wps:txbx>
                        <w:txbxContent>
                          <w:p w14:paraId="3CDB9D61" w14:textId="77777777" w:rsidR="00252A40" w:rsidRPr="002B624C" w:rsidRDefault="00252A40" w:rsidP="00252A40">
                            <w:pPr>
                              <w:spacing w:before="80"/>
                              <w:rPr>
                                <w:color w:val="4F81BD" w:themeColor="accent1"/>
                                <w:sz w:val="22"/>
                              </w:rPr>
                            </w:pPr>
                            <w:r w:rsidRPr="0051405B">
                              <w:rPr>
                                <w:color w:val="4F81BD" w:themeColor="accent1"/>
                                <w:sz w:val="22"/>
                              </w:rPr>
                              <w:t xml:space="preserve">Engagements </w:t>
                            </w:r>
                            <w:proofErr w:type="gramStart"/>
                            <w:r w:rsidRPr="0051405B">
                              <w:rPr>
                                <w:color w:val="4F81BD" w:themeColor="accent1"/>
                                <w:sz w:val="22"/>
                              </w:rPr>
                              <w:t>mondiaux:</w:t>
                            </w:r>
                            <w:proofErr w:type="gramEnd"/>
                          </w:p>
                          <w:p w14:paraId="50316183" w14:textId="6726D8BA" w:rsidR="00252A40" w:rsidRPr="002B624C" w:rsidRDefault="00252A40" w:rsidP="004523A7">
                            <w:pPr>
                              <w:spacing w:before="80"/>
                              <w:jc w:val="both"/>
                              <w:rPr>
                                <w:sz w:val="22"/>
                              </w:rPr>
                            </w:pPr>
                            <w:r>
                              <w:rPr>
                                <w:sz w:val="22"/>
                              </w:rPr>
                              <w:t>À travers le monde, les approches réglementaires ont commencé à traiter les impacts environnementaux de manière collective, même si certains défis subsistent. À l'heure actuelle, environ 40% des pays ont élaboré des politiques, des mesures ou des réglementations en matière de DEEE et ont la possibilité d'en renforcer l'application et la mise en œuvre. Les responsables des législations et réglementations relatives aux TIC, y compris l'octroi de licences et la réglementation du secteur des télécommunications/TIC, sont toujours à la recherche de moyens efficaces de faire face à l'impact environnemental du secteur. Parmi les autres approches, citons l'obligation de déclarer les émissions, la surveillance de la consommation d'énergie, les programmes volontaires de divulgation des données climatiques et les réformes du marché pour encourager les investissements dans les énergies renouvelables dans le secteur des télécommunications.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90D9FF" id="_x0000_s1031" type="#_x0000_t202" style="position:absolute;left:0;text-align:left;margin-left:273.85pt;margin-top:23.8pt;width:212.8pt;height:360.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" o:allowoverlap="f" strokecolor="#4f81bd" strokeweight="1pt">
                <v:textbox>
                  <w:txbxContent>
                    <w:p w14:paraId="3CDB9D61" w14:textId="77777777" w:rsidR="00252A40" w:rsidRPr="002B624C" w:rsidRDefault="00252A40" w:rsidP="00252A40">
                      <w:pPr>
                        <w:spacing w:before="80"/>
                        <w:rPr>
                          <w:color w:val="4F81BD" w:themeColor="accent1"/>
                          <w:sz w:val="22"/>
                        </w:rPr>
                      </w:pPr>
                      <w:r w:rsidRPr="0051405B">
                        <w:rPr>
                          <w:color w:val="4F81BD" w:themeColor="accent1"/>
                          <w:sz w:val="22"/>
                        </w:rPr>
                        <w:t xml:space="preserve">Engagements </w:t>
                      </w:r>
                      <w:proofErr w:type="gramStart"/>
                      <w:r w:rsidRPr="0051405B">
                        <w:rPr>
                          <w:color w:val="4F81BD" w:themeColor="accent1"/>
                          <w:sz w:val="22"/>
                        </w:rPr>
                        <w:t>mondiaux:</w:t>
                      </w:r>
                      <w:proofErr w:type="gramEnd"/>
                    </w:p>
                    <w:p w14:paraId="50316183" w14:textId="6726D8BA" w:rsidR="00252A40" w:rsidRPr="002B624C" w:rsidRDefault="00252A40" w:rsidP="004523A7">
                      <w:pPr>
                        <w:spacing w:before="80"/>
                        <w:jc w:val="both"/>
                        <w:rPr>
                          <w:sz w:val="22"/>
                        </w:rPr>
                      </w:pPr>
                      <w:r>
                        <w:rPr>
                          <w:sz w:val="22"/>
                        </w:rPr>
                        <w:t>À travers le monde, les approches réglementaires ont commencé à traiter les impacts environnementaux de manière collective, même si certains défis subsistent. À l'heure actuelle, environ 40% des pays ont élaboré des politiques, des mesures ou des réglementations en matière de DEEE et ont la possibilité d'en renforcer l'application et la mise en œuvre. Les responsables des législations et réglementations relatives aux TIC, y compris l'octroi de licences et la réglementation du secteur des télécommunications/TIC, sont toujours à la recherche de moyens efficaces de faire face à l'impact environnemental du secteur. Parmi les autres approches, citons l'obligation de déclarer les émissions, la surveillance de la consommation d'énergie, les programmes volontaires de divulgation des données climatiques et les réformes du marché pour encourager les investissements dans les énergies renouvelables dans le secteur des télécommunications.</w:t>
                      </w:r>
                    </w:p>
                  </w:txbxContent>
                </v:textbox>
                <w10:wrap type="square"/>
              </v:shape>
            </w:pict>
          </mc:Fallback>
        </mc:AlternateContent>
      </w:r>
      <w:r w:rsidR="00C550C5" w:rsidRPr="00AA1DF1">
        <w:rPr>
          <w:szCs w:val="24"/>
        </w:rPr>
        <w:t>5.4</w:t>
      </w:r>
      <w:r w:rsidR="00C550C5" w:rsidRPr="00AA1DF1">
        <w:rPr>
          <w:szCs w:val="24"/>
        </w:rPr>
        <w:tab/>
        <w:t>Une véritable transformation numérique verte nécessite une approche globale qui intègre la durabilité environnementale dans l</w:t>
      </w:r>
      <w:r w:rsidR="00230D1A" w:rsidRPr="00AA1DF1">
        <w:rPr>
          <w:szCs w:val="24"/>
        </w:rPr>
        <w:t>'</w:t>
      </w:r>
      <w:r w:rsidR="00C550C5" w:rsidRPr="00AA1DF1">
        <w:rPr>
          <w:szCs w:val="24"/>
        </w:rPr>
        <w:t>ensemble de l</w:t>
      </w:r>
      <w:r w:rsidR="00230D1A" w:rsidRPr="00AA1DF1">
        <w:rPr>
          <w:szCs w:val="24"/>
        </w:rPr>
        <w:t>'</w:t>
      </w:r>
      <w:r w:rsidR="00C550C5" w:rsidRPr="00AA1DF1">
        <w:rPr>
          <w:szCs w:val="24"/>
        </w:rPr>
        <w:t>écosystème numérique, y compris la promotion de l</w:t>
      </w:r>
      <w:r w:rsidR="00230D1A" w:rsidRPr="00AA1DF1">
        <w:rPr>
          <w:szCs w:val="24"/>
        </w:rPr>
        <w:t>'</w:t>
      </w:r>
      <w:r w:rsidR="00C550C5" w:rsidRPr="00AA1DF1">
        <w:rPr>
          <w:szCs w:val="24"/>
        </w:rPr>
        <w:t>efficacité énergétique, la mise en œuvre de pratiques numériques de gestion du des émissions qui privilégient l</w:t>
      </w:r>
      <w:r w:rsidR="00230D1A" w:rsidRPr="00AA1DF1">
        <w:rPr>
          <w:szCs w:val="24"/>
        </w:rPr>
        <w:t>'</w:t>
      </w:r>
      <w:r w:rsidR="00C550C5" w:rsidRPr="00AA1DF1">
        <w:rPr>
          <w:szCs w:val="24"/>
        </w:rPr>
        <w:t>efficacité des matériaux, l</w:t>
      </w:r>
      <w:r w:rsidR="00230D1A" w:rsidRPr="00AA1DF1">
        <w:rPr>
          <w:szCs w:val="24"/>
        </w:rPr>
        <w:t>'</w:t>
      </w:r>
      <w:r w:rsidR="00C550C5" w:rsidRPr="00AA1DF1">
        <w:rPr>
          <w:szCs w:val="24"/>
        </w:rPr>
        <w:t>adoption de principes d</w:t>
      </w:r>
      <w:r w:rsidR="00230D1A" w:rsidRPr="00AA1DF1">
        <w:rPr>
          <w:szCs w:val="24"/>
        </w:rPr>
        <w:t>'</w:t>
      </w:r>
      <w:r w:rsidR="00C550C5" w:rsidRPr="00AA1DF1">
        <w:rPr>
          <w:szCs w:val="24"/>
        </w:rPr>
        <w:t>économie circulaire et la promotion de la réutilisation des équipements. Ces stratégies limitent l</w:t>
      </w:r>
      <w:r w:rsidR="00230D1A" w:rsidRPr="00AA1DF1">
        <w:rPr>
          <w:szCs w:val="24"/>
        </w:rPr>
        <w:t>'</w:t>
      </w:r>
      <w:r w:rsidR="00C550C5" w:rsidRPr="00AA1DF1">
        <w:rPr>
          <w:szCs w:val="24"/>
        </w:rPr>
        <w:t>impact environnemental de l</w:t>
      </w:r>
      <w:r w:rsidR="00230D1A" w:rsidRPr="00AA1DF1">
        <w:rPr>
          <w:szCs w:val="24"/>
        </w:rPr>
        <w:t>'</w:t>
      </w:r>
      <w:r w:rsidR="00C550C5" w:rsidRPr="00AA1DF1">
        <w:rPr>
          <w:szCs w:val="24"/>
        </w:rPr>
        <w:t>infrastructure numérique en réduisant la demande de nouvelles ressources. L</w:t>
      </w:r>
      <w:r w:rsidR="00230D1A" w:rsidRPr="00AA1DF1">
        <w:rPr>
          <w:szCs w:val="24"/>
        </w:rPr>
        <w:t>'</w:t>
      </w:r>
      <w:r w:rsidR="00C550C5" w:rsidRPr="00AA1DF1">
        <w:rPr>
          <w:szCs w:val="24"/>
        </w:rPr>
        <w:t>approche fondée sur l</w:t>
      </w:r>
      <w:r w:rsidR="00230D1A" w:rsidRPr="00AA1DF1">
        <w:rPr>
          <w:szCs w:val="24"/>
        </w:rPr>
        <w:t>'</w:t>
      </w:r>
      <w:r w:rsidR="00C550C5" w:rsidRPr="00AA1DF1">
        <w:rPr>
          <w:szCs w:val="24"/>
        </w:rPr>
        <w:t>économie circulaire privilégie la conception de produits TIC pour leur durabilité, leur réparabilité et leur recyclabilité, ce qui prolonge le cycle de vie des produits et réduit les déchets. En outre, la collaboration internationale est essentielle pour élaborer des systèmes durables de gestion des déchets électriques et électroniques qui garantissent la collecte, le reconditionnement, le recyclage et l</w:t>
      </w:r>
      <w:r w:rsidR="00230D1A" w:rsidRPr="00AA1DF1">
        <w:rPr>
          <w:szCs w:val="24"/>
        </w:rPr>
        <w:t>'</w:t>
      </w:r>
      <w:r w:rsidR="00C550C5" w:rsidRPr="00AA1DF1">
        <w:rPr>
          <w:szCs w:val="24"/>
        </w:rPr>
        <w:t>élimination écologiquement rationnelle des dispositifs électroniques. Lorsqu</w:t>
      </w:r>
      <w:r w:rsidR="00230D1A" w:rsidRPr="00AA1DF1">
        <w:rPr>
          <w:szCs w:val="24"/>
        </w:rPr>
        <w:t>'</w:t>
      </w:r>
      <w:r w:rsidR="00C550C5" w:rsidRPr="00AA1DF1">
        <w:rPr>
          <w:szCs w:val="24"/>
        </w:rPr>
        <w:t>elles sont associées, ces stratégies permettant un secteur mondial des TIC plus durable et résilient tout en réduisant à la fois la consommation de ressources et les émissions.</w:t>
      </w:r>
    </w:p>
    <w:p w14:paraId="40426A77" w14:textId="12E7B9B9" w:rsidR="00C550C5" w:rsidRPr="00AA1DF1" w:rsidRDefault="00C550C5" w:rsidP="004523A7">
      <w:pPr>
        <w:pStyle w:val="enumlev1"/>
        <w:jc w:val="both"/>
        <w:rPr>
          <w:rFonts w:eastAsiaTheme="minorEastAsia"/>
        </w:rPr>
      </w:pPr>
      <w:r w:rsidRPr="00AA1DF1">
        <w:lastRenderedPageBreak/>
        <w:t>5.4.1</w:t>
      </w:r>
      <w:r w:rsidRPr="00AA1DF1">
        <w:tab/>
        <w:t xml:space="preserve">Les économies en transition sont confrontées à des défis particuliers </w:t>
      </w:r>
      <w:r w:rsidRPr="00AA1DF1">
        <w:rPr>
          <w:szCs w:val="24"/>
        </w:rPr>
        <w:t>pour</w:t>
      </w:r>
      <w:r w:rsidRPr="00AA1DF1">
        <w:t xml:space="preserve"> atteindre les objectifs de l</w:t>
      </w:r>
      <w:r w:rsidR="00230D1A" w:rsidRPr="00AA1DF1">
        <w:t>'</w:t>
      </w:r>
      <w:r w:rsidRPr="00AA1DF1">
        <w:t xml:space="preserve">Accord de Paris et faciliter la transformation numérique </w:t>
      </w:r>
      <w:proofErr w:type="gramStart"/>
      <w:r w:rsidRPr="00AA1DF1">
        <w:t>verte:</w:t>
      </w:r>
      <w:proofErr w:type="gramEnd"/>
    </w:p>
    <w:p w14:paraId="4EFB32DE" w14:textId="6C469E07" w:rsidR="00C550C5" w:rsidRPr="00AA1DF1" w:rsidRDefault="00C550C5" w:rsidP="004523A7">
      <w:pPr>
        <w:pStyle w:val="enumlev2"/>
        <w:jc w:val="both"/>
        <w:rPr>
          <w:rFonts w:eastAsiaTheme="minorEastAsia"/>
        </w:rPr>
      </w:pPr>
      <w:r w:rsidRPr="00AA1DF1">
        <w:rPr>
          <w:rFonts w:eastAsiaTheme="minorEastAsia"/>
          <w:lang w:eastAsia="zh-CN"/>
        </w:rPr>
        <w:t>•</w:t>
      </w:r>
      <w:r w:rsidRPr="00AA1DF1">
        <w:tab/>
        <w:t xml:space="preserve">De </w:t>
      </w:r>
      <w:r w:rsidRPr="00AA1DF1">
        <w:rPr>
          <w:szCs w:val="24"/>
        </w:rPr>
        <w:t>nombreux</w:t>
      </w:r>
      <w:r w:rsidRPr="00AA1DF1">
        <w:t xml:space="preserve"> pays en développement sont limités dans leur capacité à attirer les </w:t>
      </w:r>
      <w:r w:rsidRPr="00AA1DF1">
        <w:rPr>
          <w:szCs w:val="24"/>
        </w:rPr>
        <w:t>investissements</w:t>
      </w:r>
      <w:r w:rsidRPr="00AA1DF1">
        <w:t xml:space="preserve"> nécessaires pour mettre en œuvre les objectifs de l</w:t>
      </w:r>
      <w:r w:rsidR="00230D1A" w:rsidRPr="00AA1DF1">
        <w:t>'</w:t>
      </w:r>
      <w:r w:rsidRPr="00AA1DF1">
        <w:t>Accord de Paris</w:t>
      </w:r>
      <w:r w:rsidR="00F10D82" w:rsidRPr="00AA1DF1">
        <w:t>.</w:t>
      </w:r>
    </w:p>
    <w:p w14:paraId="15DB4E1C" w14:textId="0A46DC0A" w:rsidR="00C550C5" w:rsidRPr="00AA1DF1" w:rsidRDefault="00C550C5" w:rsidP="004523A7">
      <w:pPr>
        <w:pStyle w:val="enumlev2"/>
        <w:jc w:val="both"/>
        <w:rPr>
          <w:rFonts w:eastAsiaTheme="minorEastAsia"/>
        </w:rPr>
      </w:pPr>
      <w:r w:rsidRPr="00AA1DF1">
        <w:rPr>
          <w:rFonts w:eastAsiaTheme="minorEastAsia"/>
          <w:lang w:eastAsia="zh-CN"/>
        </w:rPr>
        <w:t>•</w:t>
      </w:r>
      <w:r w:rsidRPr="00AA1DF1">
        <w:tab/>
        <w:t xml:space="preserve">Une </w:t>
      </w:r>
      <w:r w:rsidRPr="00AA1DF1">
        <w:rPr>
          <w:szCs w:val="24"/>
        </w:rPr>
        <w:t>étude</w:t>
      </w:r>
      <w:r w:rsidRPr="00AA1DF1">
        <w:t xml:space="preserve"> récente de la CNUCED a révélé que 3,3 milliards de personnes vivent dans des pays qui dépensent plus pour financer la dette publique que pour la santé publique ou les services d</w:t>
      </w:r>
      <w:r w:rsidR="00230D1A" w:rsidRPr="00AA1DF1">
        <w:t>'</w:t>
      </w:r>
      <w:r w:rsidRPr="00AA1DF1">
        <w:t>éducation.</w:t>
      </w:r>
    </w:p>
    <w:p w14:paraId="19504B63" w14:textId="396F4122" w:rsidR="00C550C5" w:rsidRPr="00AA1DF1" w:rsidRDefault="00C550C5" w:rsidP="004523A7">
      <w:pPr>
        <w:widowControl w:val="0"/>
        <w:tabs>
          <w:tab w:val="clear" w:pos="567"/>
          <w:tab w:val="left" w:pos="851"/>
        </w:tabs>
        <w:jc w:val="both"/>
        <w:rPr>
          <w:rFonts w:eastAsiaTheme="minorEastAsia"/>
          <w:szCs w:val="24"/>
        </w:rPr>
      </w:pPr>
      <w:r w:rsidRPr="00AA1DF1">
        <w:rPr>
          <w:szCs w:val="24"/>
        </w:rPr>
        <w:t>Pour les pays émergents et les pays en développement, les paiements d</w:t>
      </w:r>
      <w:r w:rsidR="00230D1A" w:rsidRPr="00AA1DF1">
        <w:rPr>
          <w:szCs w:val="24"/>
        </w:rPr>
        <w:t>'</w:t>
      </w:r>
      <w:r w:rsidRPr="00AA1DF1">
        <w:rPr>
          <w:szCs w:val="24"/>
        </w:rPr>
        <w:t>intérêts dépassent les investissements liés au climat, retardant ainsi les efforts d</w:t>
      </w:r>
      <w:r w:rsidR="00230D1A" w:rsidRPr="00AA1DF1">
        <w:rPr>
          <w:szCs w:val="24"/>
        </w:rPr>
        <w:t>'</w:t>
      </w:r>
      <w:r w:rsidRPr="00AA1DF1">
        <w:rPr>
          <w:szCs w:val="24"/>
        </w:rPr>
        <w:t>adaptation aux changements climatiques et d</w:t>
      </w:r>
      <w:r w:rsidR="00230D1A" w:rsidRPr="00AA1DF1">
        <w:rPr>
          <w:szCs w:val="24"/>
        </w:rPr>
        <w:t>'</w:t>
      </w:r>
      <w:r w:rsidRPr="00AA1DF1">
        <w:rPr>
          <w:szCs w:val="24"/>
        </w:rPr>
        <w:t>atténuation. La capacité de financement public des initiatives essentielles en matière de TIC est donc limitée.</w:t>
      </w:r>
    </w:p>
    <w:p w14:paraId="2679CD40" w14:textId="77777777" w:rsidR="00C550C5" w:rsidRPr="00AA1DF1" w:rsidRDefault="00C550C5" w:rsidP="00C550C5">
      <w:pPr>
        <w:jc w:val="center"/>
        <w:rPr>
          <w:rFonts w:eastAsiaTheme="minorEastAsia"/>
          <w:lang w:eastAsia="zh-CN"/>
        </w:rPr>
      </w:pPr>
      <w:r w:rsidRPr="00AA1DF1">
        <w:rPr>
          <w:rFonts w:eastAsiaTheme="minorEastAsia"/>
          <w:noProof/>
          <w:lang w:eastAsia="zh-CN"/>
        </w:rPr>
        <mc:AlternateContent>
          <mc:Choice Requires="wps">
            <w:drawing>
              <wp:inline distT="0" distB="0" distL="0" distR="0" wp14:anchorId="34156C15" wp14:editId="0A4838CD">
                <wp:extent cx="5580000" cy="1836115"/>
                <wp:effectExtent l="0" t="0" r="20955" b="12065"/>
                <wp:docPr id="1425423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1836115"/>
                        </a:xfrm>
                        <a:prstGeom prst="rect">
                          <a:avLst/>
                        </a:prstGeom>
                        <a:solidFill>
                          <a:srgbClr val="FFFFFF"/>
                        </a:solidFill>
                        <a:ln w="12700">
                          <a:solidFill>
                            <a:srgbClr val="4F81BD">
                              <a:lumMod val="100000"/>
                              <a:lumOff val="0"/>
                            </a:srgbClr>
                          </a:solidFill>
                          <a:miter lim="800000"/>
                          <a:headEnd/>
                          <a:tailEnd/>
                        </a:ln>
                      </wps:spPr>
                      <wps:txbx>
                        <w:txbxContent>
                          <w:p w14:paraId="4BCA54DD" w14:textId="6D0029D1" w:rsidR="00C550C5" w:rsidRPr="002B624C" w:rsidRDefault="00C550C5" w:rsidP="00C550C5">
                            <w:pPr>
                              <w:rPr>
                                <w:color w:val="4F81BD" w:themeColor="accent1"/>
                                <w:sz w:val="22"/>
                              </w:rPr>
                            </w:pPr>
                            <w:r w:rsidRPr="00AC20C8">
                              <w:rPr>
                                <w:color w:val="4F81BD" w:themeColor="accent1"/>
                                <w:sz w:val="22"/>
                              </w:rPr>
                              <w:t xml:space="preserve">Réduire </w:t>
                            </w:r>
                            <w:proofErr w:type="gramStart"/>
                            <w:r w:rsidRPr="00AC20C8">
                              <w:rPr>
                                <w:color w:val="4F81BD" w:themeColor="accent1"/>
                                <w:sz w:val="22"/>
                              </w:rPr>
                              <w:t>l</w:t>
                            </w:r>
                            <w:r w:rsidR="00230D1A">
                              <w:rPr>
                                <w:color w:val="4F81BD" w:themeColor="accent1"/>
                                <w:sz w:val="22"/>
                              </w:rPr>
                              <w:t>'</w:t>
                            </w:r>
                            <w:r w:rsidRPr="00AC20C8">
                              <w:rPr>
                                <w:color w:val="4F81BD" w:themeColor="accent1"/>
                                <w:sz w:val="22"/>
                              </w:rPr>
                              <w:t>écart:</w:t>
                            </w:r>
                            <w:proofErr w:type="gramEnd"/>
                          </w:p>
                          <w:p w14:paraId="2C267575" w14:textId="72F57F01" w:rsidR="00C550C5" w:rsidRPr="002B624C" w:rsidRDefault="00C550C5" w:rsidP="004E74AB">
                            <w:pPr>
                              <w:rPr>
                                <w:b/>
                              </w:rPr>
                            </w:pPr>
                            <w:r>
                              <w:rPr>
                                <w:sz w:val="22"/>
                              </w:rPr>
                              <w:t>L</w:t>
                            </w:r>
                            <w:r w:rsidR="00230D1A">
                              <w:rPr>
                                <w:sz w:val="22"/>
                              </w:rPr>
                              <w:t>'</w:t>
                            </w:r>
                            <w:r>
                              <w:rPr>
                                <w:sz w:val="22"/>
                              </w:rPr>
                              <w:t>absence de données complètes sur les émissions reste une lacune importante dans le secteur des TIC. Pour y remédier, il faut recourir à des approches telles que la sensibilisation, l</w:t>
                            </w:r>
                            <w:r w:rsidR="00230D1A">
                              <w:rPr>
                                <w:sz w:val="22"/>
                              </w:rPr>
                              <w:t>'</w:t>
                            </w:r>
                            <w:r>
                              <w:rPr>
                                <w:sz w:val="22"/>
                              </w:rPr>
                              <w:t>élaboration d</w:t>
                            </w:r>
                            <w:r w:rsidR="00230D1A">
                              <w:rPr>
                                <w:sz w:val="22"/>
                              </w:rPr>
                              <w:t>'</w:t>
                            </w:r>
                            <w:r>
                              <w:rPr>
                                <w:sz w:val="22"/>
                              </w:rPr>
                              <w:t>indicateurs et de connaissances harmonisés, la promotion des contributions et des investissements, le partage des bonnes pratiques et le renforcement des capacités. Ces éléments sont essentiels pour parvenir à une transformation numérique verte au service de l</w:t>
                            </w:r>
                            <w:r w:rsidR="00230D1A">
                              <w:rPr>
                                <w:sz w:val="22"/>
                              </w:rPr>
                              <w:t>'</w:t>
                            </w:r>
                            <w:r>
                              <w:rPr>
                                <w:sz w:val="22"/>
                              </w:rPr>
                              <w:t>atténuation des effets des changements climatiques et de la durabilité environnementale. En particulier, les recommandations et les documents d</w:t>
                            </w:r>
                            <w:r w:rsidR="00230D1A">
                              <w:rPr>
                                <w:sz w:val="22"/>
                              </w:rPr>
                              <w:t>'</w:t>
                            </w:r>
                            <w:r>
                              <w:rPr>
                                <w:sz w:val="22"/>
                              </w:rPr>
                              <w:t>information de l</w:t>
                            </w:r>
                            <w:r w:rsidR="00230D1A">
                              <w:rPr>
                                <w:sz w:val="22"/>
                              </w:rPr>
                              <w:t>'</w:t>
                            </w:r>
                            <w:r>
                              <w:rPr>
                                <w:sz w:val="22"/>
                              </w:rPr>
                              <w:t>UIT fournissent aux entreprises des outils essentiels pour progresser vers la réalisation des ODD.</w:t>
                            </w:r>
                          </w:p>
                        </w:txbxContent>
                      </wps:txbx>
                      <wps:bodyPr rot="0" vert="horz" wrap="square" lIns="91440" tIns="45720" rIns="91440" bIns="45720" anchor="t" anchorCtr="0" upright="1">
                        <a:noAutofit/>
                      </wps:bodyPr>
                    </wps:wsp>
                  </a:graphicData>
                </a:graphic>
              </wp:inline>
            </w:drawing>
          </mc:Choice>
          <mc:Fallback>
            <w:pict>
              <v:shape w14:anchorId="34156C15" id="_x0000_s1032" type="#_x0000_t202" style="width:439.35pt;height:14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" strokecolor="#4f81bd" strokeweight="1pt">
                <v:textbox>
                  <w:txbxContent>
                    <w:p w14:paraId="4BCA54DD" w14:textId="6D0029D1" w:rsidR="00C550C5" w:rsidRPr="002B624C" w:rsidRDefault="00C550C5" w:rsidP="00C550C5">
                      <w:pPr>
                        <w:rPr>
                          <w:color w:val="4F81BD" w:themeColor="accent1"/>
                          <w:sz w:val="22"/>
                        </w:rPr>
                      </w:pPr>
                      <w:r w:rsidRPr="00AC20C8">
                        <w:rPr>
                          <w:color w:val="4F81BD" w:themeColor="accent1"/>
                          <w:sz w:val="22"/>
                        </w:rPr>
                        <w:t xml:space="preserve">Réduire </w:t>
                      </w:r>
                      <w:proofErr w:type="gramStart"/>
                      <w:r w:rsidRPr="00AC20C8">
                        <w:rPr>
                          <w:color w:val="4F81BD" w:themeColor="accent1"/>
                          <w:sz w:val="22"/>
                        </w:rPr>
                        <w:t>l</w:t>
                      </w:r>
                      <w:r w:rsidR="00230D1A">
                        <w:rPr>
                          <w:color w:val="4F81BD" w:themeColor="accent1"/>
                          <w:sz w:val="22"/>
                        </w:rPr>
                        <w:t>'</w:t>
                      </w:r>
                      <w:r w:rsidRPr="00AC20C8">
                        <w:rPr>
                          <w:color w:val="4F81BD" w:themeColor="accent1"/>
                          <w:sz w:val="22"/>
                        </w:rPr>
                        <w:t>écart:</w:t>
                      </w:r>
                      <w:proofErr w:type="gramEnd"/>
                    </w:p>
                    <w:p w14:paraId="2C267575" w14:textId="72F57F01" w:rsidR="00C550C5" w:rsidRPr="002B624C" w:rsidRDefault="00C550C5" w:rsidP="004E74AB">
                      <w:pPr>
                        <w:rPr>
                          <w:b/>
                        </w:rPr>
                      </w:pPr>
                      <w:r>
                        <w:rPr>
                          <w:sz w:val="22"/>
                        </w:rPr>
                        <w:t>L</w:t>
                      </w:r>
                      <w:r w:rsidR="00230D1A">
                        <w:rPr>
                          <w:sz w:val="22"/>
                        </w:rPr>
                        <w:t>'</w:t>
                      </w:r>
                      <w:r>
                        <w:rPr>
                          <w:sz w:val="22"/>
                        </w:rPr>
                        <w:t>absence de données complètes sur les émissions reste une lacune importante dans le secteur des TIC. Pour y remédier, il faut recourir à des approches telles que la sensibilisation, l</w:t>
                      </w:r>
                      <w:r w:rsidR="00230D1A">
                        <w:rPr>
                          <w:sz w:val="22"/>
                        </w:rPr>
                        <w:t>'</w:t>
                      </w:r>
                      <w:r>
                        <w:rPr>
                          <w:sz w:val="22"/>
                        </w:rPr>
                        <w:t>élaboration d</w:t>
                      </w:r>
                      <w:r w:rsidR="00230D1A">
                        <w:rPr>
                          <w:sz w:val="22"/>
                        </w:rPr>
                        <w:t>'</w:t>
                      </w:r>
                      <w:r>
                        <w:rPr>
                          <w:sz w:val="22"/>
                        </w:rPr>
                        <w:t>indicateurs et de connaissances harmonisés, la promotion des contributions et des investissements, le partage des bonnes pratiques et le renforcement des capacités. Ces éléments sont essentiels pour parvenir à une transformation numérique verte au service de l</w:t>
                      </w:r>
                      <w:r w:rsidR="00230D1A">
                        <w:rPr>
                          <w:sz w:val="22"/>
                        </w:rPr>
                        <w:t>'</w:t>
                      </w:r>
                      <w:r>
                        <w:rPr>
                          <w:sz w:val="22"/>
                        </w:rPr>
                        <w:t>atténuation des effets des changements climatiques et de la durabilité environnementale. En particulier, les recommandations et les documents d</w:t>
                      </w:r>
                      <w:r w:rsidR="00230D1A">
                        <w:rPr>
                          <w:sz w:val="22"/>
                        </w:rPr>
                        <w:t>'</w:t>
                      </w:r>
                      <w:r>
                        <w:rPr>
                          <w:sz w:val="22"/>
                        </w:rPr>
                        <w:t>information de l</w:t>
                      </w:r>
                      <w:r w:rsidR="00230D1A">
                        <w:rPr>
                          <w:sz w:val="22"/>
                        </w:rPr>
                        <w:t>'</w:t>
                      </w:r>
                      <w:r>
                        <w:rPr>
                          <w:sz w:val="22"/>
                        </w:rPr>
                        <w:t>UIT fournissent aux entreprises des outils essentiels pour progresser vers la réalisation des ODD.</w:t>
                      </w:r>
                    </w:p>
                  </w:txbxContent>
                </v:textbox>
                <w10:anchorlock/>
              </v:shape>
            </w:pict>
          </mc:Fallback>
        </mc:AlternateContent>
      </w:r>
    </w:p>
    <w:p w14:paraId="29C3E06D" w14:textId="3210C3B5" w:rsidR="00C550C5" w:rsidRPr="00AA1DF1" w:rsidRDefault="00C550C5" w:rsidP="004523A7">
      <w:pPr>
        <w:pStyle w:val="enumlev1"/>
        <w:jc w:val="both"/>
        <w:rPr>
          <w:rFonts w:eastAsiaTheme="minorEastAsia"/>
          <w:szCs w:val="24"/>
        </w:rPr>
      </w:pPr>
      <w:r w:rsidRPr="00AA1DF1">
        <w:rPr>
          <w:szCs w:val="24"/>
        </w:rPr>
        <w:t>5.4.2</w:t>
      </w:r>
      <w:r w:rsidRPr="00AA1DF1">
        <w:rPr>
          <w:szCs w:val="24"/>
        </w:rPr>
        <w:tab/>
        <w:t>Outre les stratégies de transformation numérique vertes décrites dans le présent Rapport, il convient également d</w:t>
      </w:r>
      <w:r w:rsidR="00230D1A" w:rsidRPr="00AA1DF1">
        <w:rPr>
          <w:szCs w:val="24"/>
        </w:rPr>
        <w:t>'</w:t>
      </w:r>
      <w:r w:rsidRPr="00AA1DF1">
        <w:rPr>
          <w:szCs w:val="24"/>
        </w:rPr>
        <w:t xml:space="preserve">accorder une attention particulière </w:t>
      </w:r>
      <w:proofErr w:type="gramStart"/>
      <w:r w:rsidRPr="00AA1DF1">
        <w:rPr>
          <w:szCs w:val="24"/>
        </w:rPr>
        <w:t>à:</w:t>
      </w:r>
      <w:proofErr w:type="gramEnd"/>
    </w:p>
    <w:p w14:paraId="5A8576B6" w14:textId="120D1C6C" w:rsidR="00C550C5" w:rsidRPr="004523A7" w:rsidRDefault="00C550C5" w:rsidP="004523A7">
      <w:pPr>
        <w:pStyle w:val="enumlev2"/>
        <w:jc w:val="both"/>
      </w:pPr>
      <w:r w:rsidRPr="004523A7">
        <w:t>•</w:t>
      </w:r>
      <w:r w:rsidRPr="004523A7">
        <w:tab/>
        <w:t>La promotion du partage des infrastructures, lorsque cela est techniquement et économiquement faisable, afin de réduire les infrastructures redondantes, de limiter au maximum la consommation de ressources et de réduire la consommation d</w:t>
      </w:r>
      <w:r w:rsidR="00230D1A" w:rsidRPr="004523A7">
        <w:t>'</w:t>
      </w:r>
      <w:r w:rsidRPr="004523A7">
        <w:t>énergie.</w:t>
      </w:r>
    </w:p>
    <w:p w14:paraId="4D27F809" w14:textId="7D5CBFF3" w:rsidR="00C550C5" w:rsidRPr="004523A7" w:rsidRDefault="00C550C5" w:rsidP="004523A7">
      <w:pPr>
        <w:pStyle w:val="enumlev2"/>
        <w:jc w:val="both"/>
      </w:pPr>
      <w:r w:rsidRPr="004523A7">
        <w:t>•</w:t>
      </w:r>
      <w:r w:rsidRPr="004523A7">
        <w:tab/>
        <w:t>Le choix et le déploiement responsables de l</w:t>
      </w:r>
      <w:r w:rsidR="00230D1A" w:rsidRPr="004523A7">
        <w:t>'</w:t>
      </w:r>
      <w:r w:rsidRPr="004523A7">
        <w:t>emplacement des pylônes de communication pour contribuer à limiter la perturbation ou la destruction des écosystèmes sensibles et des habitats des espèces sauvages.</w:t>
      </w:r>
    </w:p>
    <w:p w14:paraId="11635BE5" w14:textId="77777777" w:rsidR="00C550C5" w:rsidRPr="004523A7" w:rsidRDefault="00C550C5" w:rsidP="004523A7">
      <w:pPr>
        <w:pStyle w:val="enumlev2"/>
        <w:jc w:val="both"/>
      </w:pPr>
      <w:r w:rsidRPr="004523A7">
        <w:t>•</w:t>
      </w:r>
      <w:r w:rsidRPr="004523A7">
        <w:tab/>
        <w:t>Les recherches en cours sur les incidences potentielles des champs électromagnétiques sur la faune.</w:t>
      </w:r>
    </w:p>
    <w:p w14:paraId="2BC925E0" w14:textId="0FB7C7A0" w:rsidR="00C550C5" w:rsidRPr="004523A7" w:rsidRDefault="00C550C5" w:rsidP="004523A7">
      <w:pPr>
        <w:pStyle w:val="enumlev2"/>
        <w:jc w:val="both"/>
      </w:pPr>
      <w:r w:rsidRPr="004523A7">
        <w:t>•</w:t>
      </w:r>
      <w:r w:rsidRPr="004523A7">
        <w:tab/>
        <w:t>La mise en place des politiques, des réglementations, des installations et des mécanismes nécessaires pour encourager le recyclage des équipements TIC et l</w:t>
      </w:r>
      <w:r w:rsidR="00230D1A" w:rsidRPr="004523A7">
        <w:t>'</w:t>
      </w:r>
      <w:r w:rsidRPr="004523A7">
        <w:t>élimination écologiquement rationnelle des déchets électroniques.</w:t>
      </w:r>
    </w:p>
    <w:p w14:paraId="5EBED95D" w14:textId="53FA0A69" w:rsidR="00C550C5" w:rsidRPr="004523A7" w:rsidRDefault="00C550C5" w:rsidP="004523A7">
      <w:pPr>
        <w:pStyle w:val="enumlev2"/>
        <w:jc w:val="both"/>
      </w:pPr>
      <w:r w:rsidRPr="004523A7">
        <w:t>•</w:t>
      </w:r>
      <w:r w:rsidRPr="004523A7">
        <w:tab/>
        <w:t>La création et l</w:t>
      </w:r>
      <w:r w:rsidR="00230D1A" w:rsidRPr="004523A7">
        <w:t>'</w:t>
      </w:r>
      <w:r w:rsidRPr="004523A7">
        <w:t>amélioration des places de marché numériques et des plates-formes de commerce électronique pour faciliter l</w:t>
      </w:r>
      <w:r w:rsidR="00230D1A" w:rsidRPr="004523A7">
        <w:t>'</w:t>
      </w:r>
      <w:r w:rsidRPr="004523A7">
        <w:t>échange de biens d</w:t>
      </w:r>
      <w:r w:rsidR="00230D1A" w:rsidRPr="004523A7">
        <w:t>'</w:t>
      </w:r>
      <w:r w:rsidRPr="004523A7">
        <w:t>occasion et de produits remis à neuf.</w:t>
      </w:r>
    </w:p>
    <w:p w14:paraId="5AA5C091" w14:textId="33F8D29B" w:rsidR="00C550C5" w:rsidRPr="00AA1DF1" w:rsidRDefault="00C550C5" w:rsidP="004523A7">
      <w:pPr>
        <w:tabs>
          <w:tab w:val="clear" w:pos="567"/>
          <w:tab w:val="left" w:pos="851"/>
        </w:tabs>
        <w:jc w:val="both"/>
        <w:rPr>
          <w:rFonts w:eastAsiaTheme="minorEastAsia"/>
          <w:szCs w:val="24"/>
        </w:rPr>
      </w:pPr>
      <w:r w:rsidRPr="00AA1DF1">
        <w:rPr>
          <w:szCs w:val="24"/>
        </w:rPr>
        <w:t>Cette approche permettrait d</w:t>
      </w:r>
      <w:r w:rsidR="00230D1A" w:rsidRPr="00AA1DF1">
        <w:rPr>
          <w:szCs w:val="24"/>
        </w:rPr>
        <w:t>'</w:t>
      </w:r>
      <w:r w:rsidRPr="00AA1DF1">
        <w:rPr>
          <w:szCs w:val="24"/>
        </w:rPr>
        <w:t>aligner la transformation numérique verte sur les objectifs de durabilité environnementale et économique, tout en répondant aux défis spécifiques auxquels sont confrontées les économies tributaires du tourisme.</w:t>
      </w:r>
    </w:p>
    <w:p w14:paraId="23D95737" w14:textId="02AF97F9" w:rsidR="00C550C5" w:rsidRPr="00AA1DF1" w:rsidRDefault="00C550C5" w:rsidP="004523A7">
      <w:pPr>
        <w:tabs>
          <w:tab w:val="clear" w:pos="567"/>
          <w:tab w:val="left" w:pos="851"/>
        </w:tabs>
        <w:jc w:val="both"/>
        <w:rPr>
          <w:rFonts w:eastAsiaTheme="minorEastAsia"/>
          <w:szCs w:val="24"/>
        </w:rPr>
      </w:pPr>
      <w:r w:rsidRPr="00AA1DF1">
        <w:rPr>
          <w:szCs w:val="24"/>
        </w:rPr>
        <w:t>5.5</w:t>
      </w:r>
      <w:r w:rsidRPr="00AA1DF1">
        <w:rPr>
          <w:szCs w:val="24"/>
        </w:rPr>
        <w:tab/>
        <w:t>À cet égard, il convient de prendre en considération les partenariats internationaux axés sur la promotion du développement durable et de l</w:t>
      </w:r>
      <w:r w:rsidR="00230D1A" w:rsidRPr="00AA1DF1">
        <w:rPr>
          <w:szCs w:val="24"/>
        </w:rPr>
        <w:t>'</w:t>
      </w:r>
      <w:r w:rsidRPr="00AA1DF1">
        <w:rPr>
          <w:szCs w:val="24"/>
        </w:rPr>
        <w:t>action climatique grâce à l</w:t>
      </w:r>
      <w:r w:rsidR="00230D1A" w:rsidRPr="00AA1DF1">
        <w:rPr>
          <w:szCs w:val="24"/>
        </w:rPr>
        <w:t>'</w:t>
      </w:r>
      <w:r w:rsidRPr="00AA1DF1">
        <w:rPr>
          <w:szCs w:val="24"/>
        </w:rPr>
        <w:t>innovation technologique, notamment les communications par satellite et l</w:t>
      </w:r>
      <w:r w:rsidR="00230D1A" w:rsidRPr="00AA1DF1">
        <w:rPr>
          <w:szCs w:val="24"/>
        </w:rPr>
        <w:t>'</w:t>
      </w:r>
      <w:r w:rsidRPr="00AA1DF1">
        <w:rPr>
          <w:szCs w:val="24"/>
        </w:rPr>
        <w:t>IA pour la surveillance du climat et la préparation aux catastrophes, les mécanismes d</w:t>
      </w:r>
      <w:r w:rsidR="00230D1A" w:rsidRPr="00AA1DF1">
        <w:rPr>
          <w:szCs w:val="24"/>
        </w:rPr>
        <w:t>'</w:t>
      </w:r>
      <w:r w:rsidRPr="00AA1DF1">
        <w:rPr>
          <w:szCs w:val="24"/>
        </w:rPr>
        <w:t xml:space="preserve">appui aux pays en développement par le biais </w:t>
      </w:r>
      <w:r w:rsidRPr="00AA1DF1">
        <w:rPr>
          <w:szCs w:val="24"/>
        </w:rPr>
        <w:lastRenderedPageBreak/>
        <w:t>d</w:t>
      </w:r>
      <w:r w:rsidR="00230D1A" w:rsidRPr="00AA1DF1">
        <w:rPr>
          <w:szCs w:val="24"/>
        </w:rPr>
        <w:t>'</w:t>
      </w:r>
      <w:r w:rsidRPr="00AA1DF1">
        <w:rPr>
          <w:szCs w:val="24"/>
        </w:rPr>
        <w:t>une assistance ciblée et de l</w:t>
      </w:r>
      <w:r w:rsidR="00230D1A" w:rsidRPr="00AA1DF1">
        <w:rPr>
          <w:szCs w:val="24"/>
        </w:rPr>
        <w:t>'</w:t>
      </w:r>
      <w:r w:rsidRPr="00AA1DF1">
        <w:rPr>
          <w:szCs w:val="24"/>
        </w:rPr>
        <w:t>échange de connaissances, l</w:t>
      </w:r>
      <w:r w:rsidR="00230D1A" w:rsidRPr="00AA1DF1">
        <w:rPr>
          <w:szCs w:val="24"/>
        </w:rPr>
        <w:t>'</w:t>
      </w:r>
      <w:r w:rsidRPr="00AA1DF1">
        <w:rPr>
          <w:szCs w:val="24"/>
        </w:rPr>
        <w:t>application d</w:t>
      </w:r>
      <w:r w:rsidR="00230D1A" w:rsidRPr="00AA1DF1">
        <w:rPr>
          <w:szCs w:val="24"/>
        </w:rPr>
        <w:t>'</w:t>
      </w:r>
      <w:r w:rsidRPr="00AA1DF1">
        <w:rPr>
          <w:szCs w:val="24"/>
        </w:rPr>
        <w:t>approches fondées sur l</w:t>
      </w:r>
      <w:r w:rsidR="00230D1A" w:rsidRPr="00AA1DF1">
        <w:rPr>
          <w:szCs w:val="24"/>
        </w:rPr>
        <w:t>'</w:t>
      </w:r>
      <w:r w:rsidRPr="00AA1DF1">
        <w:rPr>
          <w:szCs w:val="24"/>
        </w:rPr>
        <w:t>économie circulaire dans la fabrication, le déploiement et l</w:t>
      </w:r>
      <w:r w:rsidR="00230D1A" w:rsidRPr="00AA1DF1">
        <w:rPr>
          <w:szCs w:val="24"/>
        </w:rPr>
        <w:t>'</w:t>
      </w:r>
      <w:r w:rsidRPr="00AA1DF1">
        <w:rPr>
          <w:szCs w:val="24"/>
        </w:rPr>
        <w:t>élimination des TIC afin de réduire au maximum les déchets d</w:t>
      </w:r>
      <w:r w:rsidR="00230D1A" w:rsidRPr="00AA1DF1">
        <w:rPr>
          <w:szCs w:val="24"/>
        </w:rPr>
        <w:t>'</w:t>
      </w:r>
      <w:r w:rsidRPr="00AA1DF1">
        <w:rPr>
          <w:szCs w:val="24"/>
        </w:rPr>
        <w:t>équipements électriques et électroniques, en tirant parti de solutions numériques modulables pour faciliter l</w:t>
      </w:r>
      <w:r w:rsidR="00230D1A" w:rsidRPr="00AA1DF1">
        <w:rPr>
          <w:szCs w:val="24"/>
        </w:rPr>
        <w:t>'</w:t>
      </w:r>
      <w:r w:rsidRPr="00AA1DF1">
        <w:rPr>
          <w:szCs w:val="24"/>
        </w:rPr>
        <w:t>adoption de services résilients face aux changements climatiques, l</w:t>
      </w:r>
      <w:r w:rsidR="00230D1A" w:rsidRPr="00AA1DF1">
        <w:rPr>
          <w:szCs w:val="24"/>
        </w:rPr>
        <w:t>'</w:t>
      </w:r>
      <w:r w:rsidRPr="00AA1DF1">
        <w:rPr>
          <w:szCs w:val="24"/>
        </w:rPr>
        <w:t>évaluation des avantages sociaux et environnementaux des initiatives de transformation numérique et l</w:t>
      </w:r>
      <w:r w:rsidR="00230D1A" w:rsidRPr="00AA1DF1">
        <w:rPr>
          <w:szCs w:val="24"/>
        </w:rPr>
        <w:t>'</w:t>
      </w:r>
      <w:r w:rsidRPr="00AA1DF1">
        <w:rPr>
          <w:szCs w:val="24"/>
        </w:rPr>
        <w:t>élaboration de bonnes pratiques sectorielles, l</w:t>
      </w:r>
      <w:r w:rsidR="00230D1A" w:rsidRPr="00AA1DF1">
        <w:rPr>
          <w:szCs w:val="24"/>
        </w:rPr>
        <w:t>'</w:t>
      </w:r>
      <w:r w:rsidRPr="00AA1DF1">
        <w:rPr>
          <w:szCs w:val="24"/>
        </w:rPr>
        <w:t>objectif étant d</w:t>
      </w:r>
      <w:r w:rsidR="00230D1A" w:rsidRPr="00AA1DF1">
        <w:rPr>
          <w:szCs w:val="24"/>
        </w:rPr>
        <w:t>'</w:t>
      </w:r>
      <w:r w:rsidRPr="00AA1DF1">
        <w:rPr>
          <w:szCs w:val="24"/>
        </w:rPr>
        <w:t>examiner la façon dont les télécommunications/TIC peuvent réduire les incidences négatives sur l</w:t>
      </w:r>
      <w:r w:rsidR="00230D1A" w:rsidRPr="00AA1DF1">
        <w:rPr>
          <w:szCs w:val="24"/>
        </w:rPr>
        <w:t>'</w:t>
      </w:r>
      <w:r w:rsidRPr="00AA1DF1">
        <w:rPr>
          <w:szCs w:val="24"/>
        </w:rPr>
        <w:t>environnement dans tous les secteurs.</w:t>
      </w:r>
    </w:p>
    <w:p w14:paraId="63F398F8" w14:textId="7494226C" w:rsidR="00C550C5" w:rsidRPr="00AA1DF1" w:rsidRDefault="00C550C5" w:rsidP="004523A7">
      <w:pPr>
        <w:tabs>
          <w:tab w:val="clear" w:pos="567"/>
          <w:tab w:val="left" w:pos="851"/>
        </w:tabs>
        <w:jc w:val="both"/>
      </w:pPr>
      <w:r w:rsidRPr="00AA1DF1">
        <w:t>5.6</w:t>
      </w:r>
      <w:r w:rsidRPr="00AA1DF1">
        <w:tab/>
        <w:t>S</w:t>
      </w:r>
      <w:r w:rsidR="00230D1A" w:rsidRPr="00AA1DF1">
        <w:t>'</w:t>
      </w:r>
      <w:r w:rsidRPr="00AA1DF1">
        <w:t>agissant de la transformation numérique écologique, les membres du GEI ont exprimé des vues divergentes quant à la pertinence de certains termes relatifs aux changements climatiques et quant à leur formulation dans le contexte de ce thème</w:t>
      </w:r>
      <w:r w:rsidR="002A06C7" w:rsidRPr="00AA1DF1">
        <w:rPr>
          <w:rStyle w:val="FootnoteReference"/>
        </w:rPr>
        <w:footnoteReference w:id="3"/>
      </w:r>
      <w:r w:rsidRPr="00AA1DF1">
        <w:t>.</w:t>
      </w:r>
    </w:p>
    <w:p w14:paraId="13404095" w14:textId="32F8DB10" w:rsidR="00C550C5" w:rsidRPr="00AA1DF1" w:rsidRDefault="00C550C5" w:rsidP="004523A7">
      <w:pPr>
        <w:tabs>
          <w:tab w:val="clear" w:pos="567"/>
          <w:tab w:val="left" w:pos="851"/>
        </w:tabs>
        <w:jc w:val="both"/>
        <w:rPr>
          <w:rFonts w:asciiTheme="minorHAnsi" w:eastAsiaTheme="minorEastAsia" w:hAnsiTheme="minorHAnsi" w:cstheme="minorHAnsi"/>
          <w:szCs w:val="24"/>
        </w:rPr>
      </w:pPr>
      <w:r w:rsidRPr="00AA1DF1">
        <w:rPr>
          <w:szCs w:val="24"/>
        </w:rPr>
        <w:t>5.7</w:t>
      </w:r>
      <w:r w:rsidRPr="00AA1DF1">
        <w:rPr>
          <w:szCs w:val="24"/>
        </w:rPr>
        <w:tab/>
        <w:t xml:space="preserve">Au cours du débat sur les Objectifs </w:t>
      </w:r>
      <w:r w:rsidRPr="00AA1DF1">
        <w:t>de</w:t>
      </w:r>
      <w:r w:rsidRPr="00AA1DF1">
        <w:rPr>
          <w:szCs w:val="24"/>
        </w:rPr>
        <w:t xml:space="preserve"> développement durable (ODD), un État Membre a exprimé des points de vue divergents </w:t>
      </w:r>
      <w:r w:rsidRPr="00AA1DF1">
        <w:t>quant</w:t>
      </w:r>
      <w:r w:rsidRPr="00AA1DF1">
        <w:rPr>
          <w:szCs w:val="24"/>
        </w:rPr>
        <w:t xml:space="preserve"> à l</w:t>
      </w:r>
      <w:r w:rsidR="00230D1A" w:rsidRPr="00AA1DF1">
        <w:rPr>
          <w:szCs w:val="24"/>
        </w:rPr>
        <w:t>'</w:t>
      </w:r>
      <w:r w:rsidRPr="00AA1DF1">
        <w:rPr>
          <w:szCs w:val="24"/>
        </w:rPr>
        <w:t>inclusion de ces références. D</w:t>
      </w:r>
      <w:r w:rsidR="00230D1A" w:rsidRPr="00AA1DF1">
        <w:rPr>
          <w:szCs w:val="24"/>
        </w:rPr>
        <w:t>'</w:t>
      </w:r>
      <w:r w:rsidRPr="00AA1DF1">
        <w:rPr>
          <w:szCs w:val="24"/>
        </w:rPr>
        <w:t>autres membres du GEI se sont déclarés favorables à l</w:t>
      </w:r>
      <w:r w:rsidR="00230D1A" w:rsidRPr="00AA1DF1">
        <w:rPr>
          <w:szCs w:val="24"/>
        </w:rPr>
        <w:t>'</w:t>
      </w:r>
      <w:r w:rsidRPr="00AA1DF1">
        <w:rPr>
          <w:szCs w:val="24"/>
        </w:rPr>
        <w:t>alignement sur les ODD</w:t>
      </w:r>
      <w:r w:rsidR="002A06C7" w:rsidRPr="00AA1DF1">
        <w:rPr>
          <w:rStyle w:val="FootnoteReference"/>
        </w:rPr>
        <w:footnoteReference w:id="4"/>
      </w:r>
      <w:r w:rsidRPr="00AA1DF1">
        <w:rPr>
          <w:szCs w:val="24"/>
        </w:rPr>
        <w:t>.</w:t>
      </w:r>
    </w:p>
    <w:p w14:paraId="22FA497B" w14:textId="64A89908" w:rsidR="00C550C5" w:rsidRPr="00AA1DF1" w:rsidRDefault="00C550C5" w:rsidP="004523A7">
      <w:pPr>
        <w:tabs>
          <w:tab w:val="clear" w:pos="567"/>
          <w:tab w:val="left" w:pos="851"/>
        </w:tabs>
        <w:jc w:val="both"/>
        <w:rPr>
          <w:rFonts w:asciiTheme="minorHAnsi" w:eastAsiaTheme="minorEastAsia" w:hAnsiTheme="minorHAnsi" w:cstheme="minorHAnsi"/>
          <w:szCs w:val="24"/>
        </w:rPr>
      </w:pPr>
      <w:r w:rsidRPr="00AA1DF1">
        <w:rPr>
          <w:szCs w:val="24"/>
        </w:rPr>
        <w:t>5.8</w:t>
      </w:r>
      <w:r w:rsidRPr="00AA1DF1">
        <w:rPr>
          <w:szCs w:val="24"/>
        </w:rPr>
        <w:tab/>
        <w:t>Compte tenu de l</w:t>
      </w:r>
      <w:r w:rsidR="00230D1A" w:rsidRPr="00AA1DF1">
        <w:rPr>
          <w:szCs w:val="24"/>
        </w:rPr>
        <w:t>'</w:t>
      </w:r>
      <w:r w:rsidRPr="00AA1DF1">
        <w:rPr>
          <w:szCs w:val="24"/>
        </w:rPr>
        <w:t xml:space="preserve">évolution mondiale actuelle des approches réglementaires, des engagements du secteur privé et des </w:t>
      </w:r>
      <w:r w:rsidRPr="00AA1DF1">
        <w:t>initiatives</w:t>
      </w:r>
      <w:r w:rsidRPr="00AA1DF1">
        <w:rPr>
          <w:szCs w:val="24"/>
        </w:rPr>
        <w:t xml:space="preserve"> de collaboration, plusieurs questions cruciales se posent quant à la manière d</w:t>
      </w:r>
      <w:r w:rsidR="00230D1A" w:rsidRPr="00AA1DF1">
        <w:rPr>
          <w:szCs w:val="24"/>
        </w:rPr>
        <w:t>'</w:t>
      </w:r>
      <w:r w:rsidRPr="00AA1DF1">
        <w:rPr>
          <w:szCs w:val="24"/>
        </w:rPr>
        <w:t>accélérer et d</w:t>
      </w:r>
      <w:r w:rsidR="00230D1A" w:rsidRPr="00AA1DF1">
        <w:rPr>
          <w:szCs w:val="24"/>
        </w:rPr>
        <w:t>'</w:t>
      </w:r>
      <w:r w:rsidRPr="00AA1DF1">
        <w:rPr>
          <w:szCs w:val="24"/>
        </w:rPr>
        <w:t xml:space="preserve">étendre la contribution du secteur des services et technologies de télécommunication/TIC à la durabilité </w:t>
      </w:r>
      <w:proofErr w:type="gramStart"/>
      <w:r w:rsidRPr="00AA1DF1">
        <w:rPr>
          <w:szCs w:val="24"/>
        </w:rPr>
        <w:t>environnementale:</w:t>
      </w:r>
      <w:proofErr w:type="gramEnd"/>
    </w:p>
    <w:p w14:paraId="76E1B3BF" w14:textId="616CB30A" w:rsidR="00C550C5" w:rsidRPr="00AA1DF1" w:rsidRDefault="00C550C5" w:rsidP="004523A7">
      <w:pPr>
        <w:pStyle w:val="enumlev1"/>
        <w:jc w:val="both"/>
        <w:rPr>
          <w:rFonts w:asciiTheme="minorHAnsi" w:eastAsiaTheme="minorEastAsia" w:hAnsiTheme="minorHAnsi" w:cstheme="minorHAnsi"/>
          <w:szCs w:val="24"/>
          <w:rtl/>
        </w:rPr>
      </w:pPr>
      <w:r w:rsidRPr="00AA1DF1">
        <w:rPr>
          <w:szCs w:val="24"/>
        </w:rPr>
        <w:t>5.8.1</w:t>
      </w:r>
      <w:r w:rsidRPr="00AA1DF1">
        <w:rPr>
          <w:szCs w:val="24"/>
        </w:rPr>
        <w:tab/>
        <w:t>Quelles mesures l</w:t>
      </w:r>
      <w:r w:rsidR="00230D1A" w:rsidRPr="00AA1DF1">
        <w:rPr>
          <w:szCs w:val="24"/>
        </w:rPr>
        <w:t>'</w:t>
      </w:r>
      <w:r w:rsidRPr="00AA1DF1">
        <w:rPr>
          <w:szCs w:val="24"/>
        </w:rPr>
        <w:t>UIT peut-elle prendre pour établir des partenariats internationaux qui encouragent l</w:t>
      </w:r>
      <w:r w:rsidR="00230D1A" w:rsidRPr="00AA1DF1">
        <w:rPr>
          <w:szCs w:val="24"/>
        </w:rPr>
        <w:t>'</w:t>
      </w:r>
      <w:r w:rsidRPr="00AA1DF1">
        <w:rPr>
          <w:szCs w:val="24"/>
        </w:rPr>
        <w:t xml:space="preserve">application de la transformation numérique écologique au service du développement durable et de la lutte contre les changements </w:t>
      </w:r>
      <w:proofErr w:type="gramStart"/>
      <w:r w:rsidRPr="00AA1DF1">
        <w:rPr>
          <w:szCs w:val="24"/>
        </w:rPr>
        <w:t>climatiques?</w:t>
      </w:r>
      <w:proofErr w:type="gramEnd"/>
    </w:p>
    <w:p w14:paraId="4BB98BD7" w14:textId="68EDC89F" w:rsidR="00C550C5" w:rsidRPr="00AA1DF1" w:rsidRDefault="00C550C5" w:rsidP="004523A7">
      <w:pPr>
        <w:pStyle w:val="enumlev1"/>
        <w:jc w:val="both"/>
        <w:rPr>
          <w:rFonts w:asciiTheme="minorHAnsi" w:eastAsiaTheme="minorEastAsia" w:hAnsiTheme="minorHAnsi" w:cstheme="minorHAnsi"/>
          <w:szCs w:val="24"/>
        </w:rPr>
      </w:pPr>
      <w:r w:rsidRPr="00AA1DF1">
        <w:rPr>
          <w:szCs w:val="24"/>
        </w:rPr>
        <w:t>5.8.2</w:t>
      </w:r>
      <w:r w:rsidRPr="00AA1DF1">
        <w:rPr>
          <w:szCs w:val="24"/>
        </w:rPr>
        <w:tab/>
        <w:t>Comment les télécommunications/TIC, y compris les télécommunications par satellite et l</w:t>
      </w:r>
      <w:r w:rsidR="00230D1A" w:rsidRPr="00AA1DF1">
        <w:rPr>
          <w:szCs w:val="24"/>
        </w:rPr>
        <w:t>'</w:t>
      </w:r>
      <w:r w:rsidRPr="00AA1DF1">
        <w:rPr>
          <w:szCs w:val="24"/>
        </w:rPr>
        <w:t>Internet des objets, peuvent-elles aider les pays en développement à opérer une transformation numérique écologique, notamment en améliorant la surveillance du climat, la préparation aux catastrophes et l</w:t>
      </w:r>
      <w:r w:rsidR="00230D1A" w:rsidRPr="00AA1DF1">
        <w:rPr>
          <w:szCs w:val="24"/>
        </w:rPr>
        <w:t>'</w:t>
      </w:r>
      <w:r w:rsidRPr="00AA1DF1">
        <w:rPr>
          <w:szCs w:val="24"/>
        </w:rPr>
        <w:t xml:space="preserve">agriculture de précision dans les zones isolées et mal </w:t>
      </w:r>
      <w:proofErr w:type="gramStart"/>
      <w:r w:rsidRPr="00AA1DF1">
        <w:rPr>
          <w:szCs w:val="24"/>
        </w:rPr>
        <w:t>desservies?</w:t>
      </w:r>
      <w:proofErr w:type="gramEnd"/>
    </w:p>
    <w:p w14:paraId="28368ED9" w14:textId="0536674A" w:rsidR="00C550C5" w:rsidRPr="00AA1DF1" w:rsidRDefault="00C550C5" w:rsidP="004523A7">
      <w:pPr>
        <w:pStyle w:val="enumlev1"/>
        <w:jc w:val="both"/>
        <w:rPr>
          <w:rFonts w:asciiTheme="minorHAnsi" w:eastAsiaTheme="minorEastAsia" w:hAnsiTheme="minorHAnsi" w:cstheme="minorHAnsi"/>
          <w:szCs w:val="24"/>
        </w:rPr>
      </w:pPr>
      <w:r w:rsidRPr="00AA1DF1">
        <w:rPr>
          <w:szCs w:val="24"/>
        </w:rPr>
        <w:t>5.8.3</w:t>
      </w:r>
      <w:r w:rsidRPr="00AA1DF1">
        <w:rPr>
          <w:szCs w:val="24"/>
        </w:rPr>
        <w:tab/>
        <w:t>Quelles sont les bonnes pratiques des télécommunications/TIC pour réduire les incidences négatives des industries sur l</w:t>
      </w:r>
      <w:r w:rsidR="00230D1A" w:rsidRPr="00AA1DF1">
        <w:rPr>
          <w:szCs w:val="24"/>
        </w:rPr>
        <w:t>'</w:t>
      </w:r>
      <w:r w:rsidRPr="00AA1DF1">
        <w:rPr>
          <w:szCs w:val="24"/>
        </w:rPr>
        <w:t>environnement, y compris, mais non exclusivement, des mécanismes tels que l</w:t>
      </w:r>
      <w:r w:rsidR="00230D1A" w:rsidRPr="00AA1DF1">
        <w:rPr>
          <w:szCs w:val="24"/>
        </w:rPr>
        <w:t>'</w:t>
      </w:r>
      <w:r w:rsidRPr="00AA1DF1">
        <w:rPr>
          <w:szCs w:val="24"/>
        </w:rPr>
        <w:t>intégration des principes de l</w:t>
      </w:r>
      <w:r w:rsidR="00230D1A" w:rsidRPr="00AA1DF1">
        <w:rPr>
          <w:szCs w:val="24"/>
        </w:rPr>
        <w:t>'</w:t>
      </w:r>
      <w:r w:rsidRPr="00AA1DF1">
        <w:rPr>
          <w:szCs w:val="24"/>
        </w:rPr>
        <w:t>économie circulaire dans la fabrication, le déploiement et l</w:t>
      </w:r>
      <w:r w:rsidR="00230D1A" w:rsidRPr="00AA1DF1">
        <w:rPr>
          <w:szCs w:val="24"/>
        </w:rPr>
        <w:t>'</w:t>
      </w:r>
      <w:r w:rsidRPr="00AA1DF1">
        <w:rPr>
          <w:szCs w:val="24"/>
        </w:rPr>
        <w:t>élimination des TIC afin de réduire au maximum les déchets d</w:t>
      </w:r>
      <w:r w:rsidR="00230D1A" w:rsidRPr="00AA1DF1">
        <w:rPr>
          <w:szCs w:val="24"/>
        </w:rPr>
        <w:t>'</w:t>
      </w:r>
      <w:r w:rsidRPr="00AA1DF1">
        <w:rPr>
          <w:szCs w:val="24"/>
        </w:rPr>
        <w:t xml:space="preserve">équipements électriques et </w:t>
      </w:r>
      <w:proofErr w:type="gramStart"/>
      <w:r w:rsidRPr="00AA1DF1">
        <w:rPr>
          <w:szCs w:val="24"/>
        </w:rPr>
        <w:t>électroniques?</w:t>
      </w:r>
      <w:proofErr w:type="gramEnd"/>
    </w:p>
    <w:p w14:paraId="5012E935" w14:textId="35305467" w:rsidR="00C550C5" w:rsidRPr="00AA1DF1" w:rsidRDefault="00C550C5" w:rsidP="004523A7">
      <w:pPr>
        <w:pStyle w:val="enumlev1"/>
        <w:jc w:val="both"/>
        <w:rPr>
          <w:rFonts w:asciiTheme="minorHAnsi" w:eastAsiaTheme="minorEastAsia" w:hAnsiTheme="minorHAnsi" w:cstheme="minorHAnsi"/>
          <w:szCs w:val="24"/>
        </w:rPr>
      </w:pPr>
      <w:r w:rsidRPr="00AA1DF1">
        <w:rPr>
          <w:szCs w:val="24"/>
        </w:rPr>
        <w:t>5.8.4</w:t>
      </w:r>
      <w:r w:rsidRPr="00AA1DF1">
        <w:rPr>
          <w:szCs w:val="24"/>
        </w:rPr>
        <w:tab/>
        <w:t>Comment les normes internationales peuvent-elles aider les gouvernements et le secteur des TIC à réduire l</w:t>
      </w:r>
      <w:r w:rsidR="00230D1A" w:rsidRPr="00AA1DF1">
        <w:rPr>
          <w:szCs w:val="24"/>
        </w:rPr>
        <w:t>'</w:t>
      </w:r>
      <w:r w:rsidRPr="00AA1DF1">
        <w:rPr>
          <w:szCs w:val="24"/>
        </w:rPr>
        <w:t>impact environnemental des télécommunications/TIC, tout en leur permettant de tirer parti des solutions TIC pour générer des effets environnementaux positifs dans le secteur des TIC et au-</w:t>
      </w:r>
      <w:proofErr w:type="gramStart"/>
      <w:r w:rsidRPr="00AA1DF1">
        <w:rPr>
          <w:szCs w:val="24"/>
        </w:rPr>
        <w:t>delà?</w:t>
      </w:r>
      <w:proofErr w:type="gramEnd"/>
    </w:p>
    <w:p w14:paraId="00896FF3" w14:textId="462385C3" w:rsidR="00C550C5" w:rsidRPr="00AA1DF1" w:rsidRDefault="00C550C5" w:rsidP="004523A7">
      <w:pPr>
        <w:pStyle w:val="enumlev1"/>
        <w:jc w:val="both"/>
        <w:rPr>
          <w:rFonts w:asciiTheme="minorHAnsi" w:eastAsiaTheme="minorEastAsia" w:hAnsiTheme="minorHAnsi" w:cstheme="minorHAnsi"/>
          <w:szCs w:val="24"/>
        </w:rPr>
      </w:pPr>
      <w:r w:rsidRPr="00AA1DF1">
        <w:rPr>
          <w:szCs w:val="24"/>
        </w:rPr>
        <w:lastRenderedPageBreak/>
        <w:t>5.8.5</w:t>
      </w:r>
      <w:r w:rsidRPr="00AA1DF1">
        <w:rPr>
          <w:szCs w:val="24"/>
        </w:rPr>
        <w:tab/>
        <w:t>Comment les décideurs peuvent-ils contribuer à réduire l</w:t>
      </w:r>
      <w:r w:rsidR="00230D1A" w:rsidRPr="00AA1DF1">
        <w:rPr>
          <w:szCs w:val="24"/>
        </w:rPr>
        <w:t>'</w:t>
      </w:r>
      <w:r w:rsidRPr="00AA1DF1">
        <w:rPr>
          <w:szCs w:val="24"/>
        </w:rPr>
        <w:t>impact environnemental des télécommunications/TIC et à faciliter la contribution des TIC à la durabilité et à l</w:t>
      </w:r>
      <w:r w:rsidR="00230D1A" w:rsidRPr="00AA1DF1">
        <w:rPr>
          <w:szCs w:val="24"/>
        </w:rPr>
        <w:t>'</w:t>
      </w:r>
      <w:r w:rsidRPr="00AA1DF1">
        <w:rPr>
          <w:szCs w:val="24"/>
        </w:rPr>
        <w:t xml:space="preserve">action </w:t>
      </w:r>
      <w:proofErr w:type="gramStart"/>
      <w:r w:rsidRPr="00AA1DF1">
        <w:rPr>
          <w:szCs w:val="24"/>
        </w:rPr>
        <w:t>climatique?</w:t>
      </w:r>
      <w:proofErr w:type="gramEnd"/>
    </w:p>
    <w:p w14:paraId="33985AA6" w14:textId="6525B154" w:rsidR="00C550C5" w:rsidRPr="00AA1DF1" w:rsidRDefault="00C550C5" w:rsidP="004523A7">
      <w:pPr>
        <w:pStyle w:val="enumlev1"/>
        <w:jc w:val="both"/>
        <w:rPr>
          <w:rFonts w:asciiTheme="minorHAnsi" w:eastAsiaTheme="minorEastAsia" w:hAnsiTheme="minorHAnsi" w:cstheme="minorHAnsi"/>
          <w:szCs w:val="24"/>
        </w:rPr>
      </w:pPr>
      <w:r w:rsidRPr="00AA1DF1">
        <w:rPr>
          <w:szCs w:val="24"/>
        </w:rPr>
        <w:t>5.8.6</w:t>
      </w:r>
      <w:r w:rsidRPr="00AA1DF1">
        <w:rPr>
          <w:szCs w:val="24"/>
        </w:rPr>
        <w:tab/>
        <w:t>Comment les gouvernements, les entreprises, les institutions des Nations Unies, les établissements universitaires et la société civile peuvent-ils accélérer la mise en œuvre des engagements à l</w:t>
      </w:r>
      <w:r w:rsidR="00230D1A" w:rsidRPr="00AA1DF1">
        <w:rPr>
          <w:szCs w:val="24"/>
        </w:rPr>
        <w:t>'</w:t>
      </w:r>
      <w:r w:rsidRPr="00AA1DF1">
        <w:rPr>
          <w:szCs w:val="24"/>
        </w:rPr>
        <w:t>échelle du secteur pour relever les défis climatiques, placer les solutions numériques à l</w:t>
      </w:r>
      <w:r w:rsidR="00230D1A" w:rsidRPr="00AA1DF1">
        <w:rPr>
          <w:szCs w:val="24"/>
        </w:rPr>
        <w:t>'</w:t>
      </w:r>
      <w:r w:rsidRPr="00AA1DF1">
        <w:rPr>
          <w:szCs w:val="24"/>
        </w:rPr>
        <w:t>avant-garde de l</w:t>
      </w:r>
      <w:r w:rsidR="00230D1A" w:rsidRPr="00AA1DF1">
        <w:rPr>
          <w:szCs w:val="24"/>
        </w:rPr>
        <w:t>'</w:t>
      </w:r>
      <w:r w:rsidRPr="00AA1DF1">
        <w:rPr>
          <w:szCs w:val="24"/>
        </w:rPr>
        <w:t>action climatique et faire en sorte que les initiatives de formation aux outils numériques et de renforcement des capacités donnent aux communautés les moyens de participer à des écosystèmes numériques écologiques?</w:t>
      </w:r>
    </w:p>
    <w:p w14:paraId="76DA73EF" w14:textId="22A7E097" w:rsidR="00C550C5" w:rsidRPr="00AA1DF1" w:rsidRDefault="00C550C5" w:rsidP="004523A7">
      <w:pPr>
        <w:pStyle w:val="enumlev1"/>
        <w:jc w:val="both"/>
        <w:rPr>
          <w:rFonts w:asciiTheme="minorHAnsi" w:eastAsiaTheme="minorEastAsia" w:hAnsiTheme="minorHAnsi" w:cstheme="minorHAnsi"/>
          <w:szCs w:val="24"/>
        </w:rPr>
      </w:pPr>
      <w:r w:rsidRPr="00AA1DF1">
        <w:rPr>
          <w:szCs w:val="24"/>
        </w:rPr>
        <w:t>5.8.7</w:t>
      </w:r>
      <w:r w:rsidRPr="00AA1DF1">
        <w:rPr>
          <w:szCs w:val="24"/>
        </w:rPr>
        <w:tab/>
        <w:t>Comment les décideurs peuvent-ils identifier les lacunes les plus importantes en matière de données et les besoins de recherche en matière de transformation numérique verte, notamment en élaborant des mesures et des indicateurs pour évaluer l</w:t>
      </w:r>
      <w:r w:rsidR="00230D1A" w:rsidRPr="00AA1DF1">
        <w:rPr>
          <w:szCs w:val="24"/>
        </w:rPr>
        <w:t>'</w:t>
      </w:r>
      <w:r w:rsidRPr="00AA1DF1">
        <w:rPr>
          <w:szCs w:val="24"/>
        </w:rPr>
        <w:t>empreinte environnementale et l</w:t>
      </w:r>
      <w:r w:rsidR="00230D1A" w:rsidRPr="00AA1DF1">
        <w:rPr>
          <w:szCs w:val="24"/>
        </w:rPr>
        <w:t>'</w:t>
      </w:r>
      <w:r w:rsidRPr="00AA1DF1">
        <w:rPr>
          <w:szCs w:val="24"/>
        </w:rPr>
        <w:t xml:space="preserve">impact climatique, et comment y remédier par la coopération internationale et le partage des </w:t>
      </w:r>
      <w:proofErr w:type="gramStart"/>
      <w:r w:rsidRPr="00AA1DF1">
        <w:rPr>
          <w:szCs w:val="24"/>
        </w:rPr>
        <w:t>connaissances?</w:t>
      </w:r>
      <w:proofErr w:type="gramEnd"/>
    </w:p>
    <w:p w14:paraId="359E972A" w14:textId="77777777" w:rsidR="00C550C5" w:rsidRPr="00AA1DF1" w:rsidRDefault="00C550C5" w:rsidP="00C550C5">
      <w:pPr>
        <w:tabs>
          <w:tab w:val="clear" w:pos="1134"/>
          <w:tab w:val="clear" w:pos="1701"/>
          <w:tab w:val="clear" w:pos="2268"/>
          <w:tab w:val="clear" w:pos="2835"/>
        </w:tabs>
        <w:overflowPunct/>
        <w:autoSpaceDE/>
        <w:autoSpaceDN/>
        <w:adjustRightInd/>
        <w:spacing w:before="0"/>
        <w:textAlignment w:val="auto"/>
        <w:rPr>
          <w:rFonts w:asciiTheme="minorHAnsi" w:eastAsiaTheme="minorEastAsia" w:hAnsiTheme="minorHAnsi" w:cstheme="minorBidi"/>
          <w:b/>
          <w:szCs w:val="24"/>
          <w:lang w:eastAsia="zh-CN"/>
        </w:rPr>
      </w:pPr>
      <w:r w:rsidRPr="00AA1DF1">
        <w:rPr>
          <w:rFonts w:asciiTheme="minorHAnsi" w:eastAsiaTheme="minorEastAsia" w:hAnsiTheme="minorHAnsi" w:cstheme="minorBidi"/>
          <w:b/>
          <w:szCs w:val="24"/>
          <w:lang w:eastAsia="zh-CN"/>
        </w:rPr>
        <w:br w:type="page"/>
      </w:r>
    </w:p>
    <w:p w14:paraId="201A07BE" w14:textId="77777777" w:rsidR="00C550C5" w:rsidRPr="00AA1DF1" w:rsidRDefault="00C550C5" w:rsidP="002A06C7">
      <w:pPr>
        <w:pStyle w:val="Heading1"/>
        <w:tabs>
          <w:tab w:val="clear" w:pos="567"/>
        </w:tabs>
        <w:ind w:left="851" w:hanging="851"/>
      </w:pPr>
      <w:r w:rsidRPr="00AA1DF1">
        <w:lastRenderedPageBreak/>
        <w:t>6</w:t>
      </w:r>
      <w:r w:rsidRPr="00AA1DF1">
        <w:tab/>
        <w:t xml:space="preserve">Créer des infrastructures et des services de </w:t>
      </w:r>
      <w:r w:rsidRPr="00AA1DF1">
        <w:rPr>
          <w:szCs w:val="24"/>
        </w:rPr>
        <w:t>télécommunication</w:t>
      </w:r>
      <w:r w:rsidRPr="00AA1DF1">
        <w:t>/TIC résilients</w:t>
      </w:r>
    </w:p>
    <w:p w14:paraId="21A7C391" w14:textId="6B9E6290" w:rsidR="00C550C5" w:rsidRPr="00AA1DF1" w:rsidRDefault="00C550C5" w:rsidP="004523A7">
      <w:pPr>
        <w:tabs>
          <w:tab w:val="clear" w:pos="567"/>
          <w:tab w:val="left" w:pos="851"/>
        </w:tabs>
        <w:jc w:val="both"/>
        <w:rPr>
          <w:rFonts w:asciiTheme="minorHAnsi" w:eastAsiaTheme="minorEastAsia" w:hAnsiTheme="minorHAnsi" w:cstheme="minorBidi"/>
          <w:szCs w:val="24"/>
        </w:rPr>
      </w:pPr>
      <w:r w:rsidRPr="00AA1DF1">
        <w:rPr>
          <w:szCs w:val="24"/>
        </w:rPr>
        <w:t>6.1</w:t>
      </w:r>
      <w:r w:rsidRPr="00AA1DF1">
        <w:rPr>
          <w:szCs w:val="24"/>
        </w:rPr>
        <w:tab/>
        <w:t>Des services et des technologies de télécommunication/TIC résilients sont capables de prévoir les perturbations sous de multiples formes, d</w:t>
      </w:r>
      <w:r w:rsidR="00230D1A" w:rsidRPr="00AA1DF1">
        <w:rPr>
          <w:szCs w:val="24"/>
        </w:rPr>
        <w:t>'</w:t>
      </w:r>
      <w:r w:rsidRPr="00AA1DF1">
        <w:rPr>
          <w:szCs w:val="24"/>
        </w:rPr>
        <w:t>y faire face et d</w:t>
      </w:r>
      <w:r w:rsidR="00230D1A" w:rsidRPr="00AA1DF1">
        <w:rPr>
          <w:szCs w:val="24"/>
        </w:rPr>
        <w:t>'</w:t>
      </w:r>
      <w:r w:rsidRPr="00AA1DF1">
        <w:rPr>
          <w:szCs w:val="24"/>
        </w:rPr>
        <w:t>y résister. La résilience des réseaux de télécommunication mondiaux dépend de multiples facteurs tels que les infrastructures (par exemple les réseaux de Terre et les câbles sous-marins par lesquels passe plus de 99% du trafic Internet mondial), les systèmes à satellites assurant une redondance et une portée critiques, la disponibilité de compétences pertinentes dans l</w:t>
      </w:r>
      <w:r w:rsidR="00230D1A" w:rsidRPr="00AA1DF1">
        <w:rPr>
          <w:szCs w:val="24"/>
        </w:rPr>
        <w:t>'</w:t>
      </w:r>
      <w:r w:rsidRPr="00AA1DF1">
        <w:rPr>
          <w:szCs w:val="24"/>
        </w:rPr>
        <w:t>économie, la sensibilisation du public, les systèmes d</w:t>
      </w:r>
      <w:r w:rsidR="00230D1A" w:rsidRPr="00AA1DF1">
        <w:rPr>
          <w:szCs w:val="24"/>
        </w:rPr>
        <w:t>'</w:t>
      </w:r>
      <w:r w:rsidRPr="00AA1DF1">
        <w:rPr>
          <w:szCs w:val="24"/>
        </w:rPr>
        <w:t>alerte avancée, les mesures de cybersécurité et l</w:t>
      </w:r>
      <w:r w:rsidR="00230D1A" w:rsidRPr="00AA1DF1">
        <w:rPr>
          <w:szCs w:val="24"/>
        </w:rPr>
        <w:t>'</w:t>
      </w:r>
      <w:r w:rsidRPr="00AA1DF1">
        <w:rPr>
          <w:szCs w:val="24"/>
        </w:rPr>
        <w:t>atténuation des effets des changements climatiques.</w:t>
      </w:r>
    </w:p>
    <w:p w14:paraId="3C06465A" w14:textId="77777777" w:rsidR="00C550C5" w:rsidRPr="00AA1DF1" w:rsidRDefault="00C550C5" w:rsidP="00C550C5">
      <w:pPr>
        <w:keepNext/>
        <w:keepLines/>
        <w:tabs>
          <w:tab w:val="clear" w:pos="1134"/>
          <w:tab w:val="clear" w:pos="1701"/>
          <w:tab w:val="clear" w:pos="2268"/>
          <w:tab w:val="clear" w:pos="2835"/>
        </w:tabs>
        <w:overflowPunct/>
        <w:autoSpaceDE/>
        <w:autoSpaceDN/>
        <w:adjustRightInd/>
        <w:spacing w:before="240"/>
        <w:ind w:left="144"/>
        <w:jc w:val="center"/>
        <w:textAlignment w:val="auto"/>
        <w:outlineLvl w:val="1"/>
        <w:rPr>
          <w:rFonts w:asciiTheme="minorHAnsi" w:eastAsiaTheme="minorEastAsia" w:hAnsiTheme="minorHAnsi" w:cstheme="minorBidi"/>
          <w:sz w:val="22"/>
          <w:szCs w:val="22"/>
          <w:lang w:eastAsia="zh-CN"/>
        </w:rPr>
      </w:pPr>
      <w:r w:rsidRPr="00AA1DF1">
        <w:rPr>
          <w:rFonts w:asciiTheme="minorHAnsi" w:eastAsiaTheme="minorEastAsia" w:hAnsiTheme="minorHAnsi" w:cstheme="minorBidi"/>
          <w:noProof/>
          <w:sz w:val="22"/>
          <w:szCs w:val="22"/>
          <w:lang w:eastAsia="zh-CN"/>
        </w:rPr>
        <mc:AlternateContent>
          <mc:Choice Requires="wps">
            <w:drawing>
              <wp:inline distT="0" distB="0" distL="0" distR="0" wp14:anchorId="18874594" wp14:editId="0F37CC50">
                <wp:extent cx="5580000" cy="2019631"/>
                <wp:effectExtent l="0" t="0" r="20955" b="19050"/>
                <wp:docPr id="572667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2019631"/>
                        </a:xfrm>
                        <a:prstGeom prst="rect">
                          <a:avLst/>
                        </a:prstGeom>
                        <a:solidFill>
                          <a:srgbClr val="FFFFFF"/>
                        </a:solidFill>
                        <a:ln w="19050">
                          <a:solidFill>
                            <a:srgbClr val="9BBB59">
                              <a:lumMod val="100000"/>
                              <a:lumOff val="0"/>
                            </a:srgbClr>
                          </a:solidFill>
                          <a:miter lim="800000"/>
                          <a:headEnd/>
                          <a:tailEnd/>
                        </a:ln>
                      </wps:spPr>
                      <wps:txbx>
                        <w:txbxContent>
                          <w:p w14:paraId="4F14D1BB" w14:textId="36381112" w:rsidR="00C550C5" w:rsidRPr="002B624C" w:rsidRDefault="00C550C5" w:rsidP="00C550C5">
                            <w:pPr>
                              <w:rPr>
                                <w:color w:val="9BBB59" w:themeColor="accent3"/>
                                <w:sz w:val="22"/>
                              </w:rPr>
                            </w:pPr>
                            <w:r w:rsidRPr="0051199F">
                              <w:rPr>
                                <w:color w:val="9BBB59" w:themeColor="accent3"/>
                                <w:sz w:val="22"/>
                              </w:rPr>
                              <w:t xml:space="preserve">Étude de </w:t>
                            </w:r>
                            <w:proofErr w:type="gramStart"/>
                            <w:r w:rsidRPr="0051199F">
                              <w:rPr>
                                <w:color w:val="9BBB59" w:themeColor="accent3"/>
                                <w:sz w:val="22"/>
                              </w:rPr>
                              <w:t>cas:</w:t>
                            </w:r>
                            <w:proofErr w:type="gramEnd"/>
                            <w:r w:rsidRPr="0051199F">
                              <w:rPr>
                                <w:color w:val="9BBB59" w:themeColor="accent3"/>
                                <w:sz w:val="22"/>
                              </w:rPr>
                              <w:t xml:space="preserve"> Résilience des câbles sous-marins</w:t>
                            </w:r>
                          </w:p>
                          <w:p w14:paraId="6CBEC62D" w14:textId="73E70193" w:rsidR="00C550C5" w:rsidRPr="002B624C" w:rsidRDefault="00C550C5" w:rsidP="000A2BC9">
                            <w:pPr>
                              <w:jc w:val="both"/>
                              <w:rPr>
                                <w:sz w:val="22"/>
                              </w:rPr>
                            </w:pPr>
                            <w:r>
                              <w:rPr>
                                <w:sz w:val="22"/>
                              </w:rPr>
                              <w:t>Consciente de l</w:t>
                            </w:r>
                            <w:r w:rsidR="00230D1A">
                              <w:rPr>
                                <w:sz w:val="22"/>
                              </w:rPr>
                              <w:t>'</w:t>
                            </w:r>
                            <w:r>
                              <w:rPr>
                                <w:sz w:val="22"/>
                              </w:rPr>
                              <w:t>importance cruciale des câbles sous-marins pour la connectivité mondiale et l</w:t>
                            </w:r>
                            <w:r w:rsidR="00230D1A">
                              <w:rPr>
                                <w:sz w:val="22"/>
                              </w:rPr>
                              <w:t>'</w:t>
                            </w:r>
                            <w:r>
                              <w:rPr>
                                <w:sz w:val="22"/>
                              </w:rPr>
                              <w:t>économie numérique, l</w:t>
                            </w:r>
                            <w:r w:rsidR="00230D1A">
                              <w:rPr>
                                <w:sz w:val="22"/>
                              </w:rPr>
                              <w:t>'</w:t>
                            </w:r>
                            <w:r>
                              <w:rPr>
                                <w:sz w:val="22"/>
                              </w:rPr>
                              <w:t xml:space="preserve">UIT a créé un </w:t>
                            </w:r>
                            <w:hyperlink r:id="rId40" w:anchor="/fr" w:history="1">
                              <w:r w:rsidRPr="0051199F">
                                <w:rPr>
                                  <w:rStyle w:val="Hyperlink"/>
                                  <w:sz w:val="22"/>
                                </w:rPr>
                                <w:t>Organe consultatif international pour la résilience des câbles sous-marins</w:t>
                              </w:r>
                            </w:hyperlink>
                            <w:r>
                              <w:rPr>
                                <w:sz w:val="22"/>
                              </w:rPr>
                              <w:t>. Cette initiative répond à la vulnérabilité croissante des infrastructures sous</w:t>
                            </w:r>
                            <w:r w:rsidR="0051199F">
                              <w:rPr>
                                <w:sz w:val="22"/>
                              </w:rPr>
                              <w:noBreakHyphen/>
                            </w:r>
                            <w:r>
                              <w:rPr>
                                <w:sz w:val="22"/>
                              </w:rPr>
                              <w:t>marines aux interruptions de service et vise à améliorer la sécurité, la redondance et la protection des câbles sous-marins grâce à une collaboration internationale multi-parties prenantes. Cet organe consultatif rassemble des gouvernements, des autorités de régulation et des dirigeants du secteur afin d</w:t>
                            </w:r>
                            <w:r w:rsidR="00230D1A">
                              <w:rPr>
                                <w:sz w:val="22"/>
                              </w:rPr>
                              <w:t>'</w:t>
                            </w:r>
                            <w:r>
                              <w:rPr>
                                <w:sz w:val="22"/>
                              </w:rPr>
                              <w:t>élaborer des bonnes pratiques, d</w:t>
                            </w:r>
                            <w:r w:rsidR="00230D1A">
                              <w:rPr>
                                <w:sz w:val="22"/>
                              </w:rPr>
                              <w:t>'</w:t>
                            </w:r>
                            <w:r>
                              <w:rPr>
                                <w:sz w:val="22"/>
                              </w:rPr>
                              <w:t>améliorer les cadres techniques et de renforcer les approches politiques en matière de protection des câbles sous</w:t>
                            </w:r>
                            <w:r w:rsidR="0051199F">
                              <w:rPr>
                                <w:sz w:val="22"/>
                              </w:rPr>
                              <w:noBreakHyphen/>
                            </w:r>
                            <w:r>
                              <w:rPr>
                                <w:sz w:val="22"/>
                              </w:rPr>
                              <w:t>marins.</w:t>
                            </w:r>
                            <w:hyperlink r:id="rId41" w:history="1"/>
                          </w:p>
                        </w:txbxContent>
                      </wps:txbx>
                      <wps:bodyPr rot="0" vert="horz" wrap="square" lIns="91440" tIns="45720" rIns="91440" bIns="45720" anchor="t" anchorCtr="0" upright="1">
                        <a:noAutofit/>
                      </wps:bodyPr>
                    </wps:wsp>
                  </a:graphicData>
                </a:graphic>
              </wp:inline>
            </w:drawing>
          </mc:Choice>
          <mc:Fallback>
            <w:pict>
              <v:shape w14:anchorId="18874594" id="_x0000_s1033" type="#_x0000_t202" style="width:439.35pt;height:15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" strokecolor="#9bbb59" strokeweight="1.5pt">
                <v:textbox>
                  <w:txbxContent>
                    <w:p w14:paraId="4F14D1BB" w14:textId="36381112" w:rsidR="00C550C5" w:rsidRPr="002B624C" w:rsidRDefault="00C550C5" w:rsidP="00C550C5">
                      <w:pPr>
                        <w:rPr>
                          <w:color w:val="9BBB59" w:themeColor="accent3"/>
                          <w:sz w:val="22"/>
                        </w:rPr>
                      </w:pPr>
                      <w:r w:rsidRPr="0051199F">
                        <w:rPr>
                          <w:color w:val="9BBB59" w:themeColor="accent3"/>
                          <w:sz w:val="22"/>
                        </w:rPr>
                        <w:t xml:space="preserve">Étude de </w:t>
                      </w:r>
                      <w:proofErr w:type="gramStart"/>
                      <w:r w:rsidRPr="0051199F">
                        <w:rPr>
                          <w:color w:val="9BBB59" w:themeColor="accent3"/>
                          <w:sz w:val="22"/>
                        </w:rPr>
                        <w:t>cas:</w:t>
                      </w:r>
                      <w:proofErr w:type="gramEnd"/>
                      <w:r w:rsidRPr="0051199F">
                        <w:rPr>
                          <w:color w:val="9BBB59" w:themeColor="accent3"/>
                          <w:sz w:val="22"/>
                        </w:rPr>
                        <w:t xml:space="preserve"> Résilience des câbles sous-marins</w:t>
                      </w:r>
                    </w:p>
                    <w:p w14:paraId="6CBEC62D" w14:textId="73E70193" w:rsidR="00C550C5" w:rsidRPr="002B624C" w:rsidRDefault="00C550C5" w:rsidP="000A2BC9">
                      <w:pPr>
                        <w:jc w:val="both"/>
                        <w:rPr>
                          <w:sz w:val="22"/>
                        </w:rPr>
                      </w:pPr>
                      <w:r>
                        <w:rPr>
                          <w:sz w:val="22"/>
                        </w:rPr>
                        <w:t>Consciente de l</w:t>
                      </w:r>
                      <w:r w:rsidR="00230D1A">
                        <w:rPr>
                          <w:sz w:val="22"/>
                        </w:rPr>
                        <w:t>'</w:t>
                      </w:r>
                      <w:r>
                        <w:rPr>
                          <w:sz w:val="22"/>
                        </w:rPr>
                        <w:t>importance cruciale des câbles sous-marins pour la connectivité mondiale et l</w:t>
                      </w:r>
                      <w:r w:rsidR="00230D1A">
                        <w:rPr>
                          <w:sz w:val="22"/>
                        </w:rPr>
                        <w:t>'</w:t>
                      </w:r>
                      <w:r>
                        <w:rPr>
                          <w:sz w:val="22"/>
                        </w:rPr>
                        <w:t>économie numérique, l</w:t>
                      </w:r>
                      <w:r w:rsidR="00230D1A">
                        <w:rPr>
                          <w:sz w:val="22"/>
                        </w:rPr>
                        <w:t>'</w:t>
                      </w:r>
                      <w:r>
                        <w:rPr>
                          <w:sz w:val="22"/>
                        </w:rPr>
                        <w:t xml:space="preserve">UIT a créé un </w:t>
                      </w:r>
                      <w:hyperlink r:id="rId42" w:anchor="/fr" w:history="1">
                        <w:r w:rsidRPr="0051199F">
                          <w:rPr>
                            <w:rStyle w:val="Hyperlink"/>
                            <w:sz w:val="22"/>
                          </w:rPr>
                          <w:t>Organe consultatif international pour la résilience des câbles sous-marins</w:t>
                        </w:r>
                      </w:hyperlink>
                      <w:r>
                        <w:rPr>
                          <w:sz w:val="22"/>
                        </w:rPr>
                        <w:t>. Cette initiative répond à la vulnérabilité croissante des infrastructures sous</w:t>
                      </w:r>
                      <w:r w:rsidR="0051199F">
                        <w:rPr>
                          <w:sz w:val="22"/>
                        </w:rPr>
                        <w:noBreakHyphen/>
                      </w:r>
                      <w:r>
                        <w:rPr>
                          <w:sz w:val="22"/>
                        </w:rPr>
                        <w:t>marines aux interruptions de service et vise à améliorer la sécurité, la redondance et la protection des câbles sous-marins grâce à une collaboration internationale multi-parties prenantes. Cet organe consultatif rassemble des gouvernements, des autorités de régulation et des dirigeants du secteur afin d</w:t>
                      </w:r>
                      <w:r w:rsidR="00230D1A">
                        <w:rPr>
                          <w:sz w:val="22"/>
                        </w:rPr>
                        <w:t>'</w:t>
                      </w:r>
                      <w:r>
                        <w:rPr>
                          <w:sz w:val="22"/>
                        </w:rPr>
                        <w:t>élaborer des bonnes pratiques, d</w:t>
                      </w:r>
                      <w:r w:rsidR="00230D1A">
                        <w:rPr>
                          <w:sz w:val="22"/>
                        </w:rPr>
                        <w:t>'</w:t>
                      </w:r>
                      <w:r>
                        <w:rPr>
                          <w:sz w:val="22"/>
                        </w:rPr>
                        <w:t>améliorer les cadres techniques et de renforcer les approches politiques en matière de protection des câbles sous</w:t>
                      </w:r>
                      <w:r w:rsidR="0051199F">
                        <w:rPr>
                          <w:sz w:val="22"/>
                        </w:rPr>
                        <w:noBreakHyphen/>
                      </w:r>
                      <w:r>
                        <w:rPr>
                          <w:sz w:val="22"/>
                        </w:rPr>
                        <w:t>marins.</w:t>
                      </w:r>
                      <w:hyperlink r:id="rId43" w:history="1"/>
                    </w:p>
                  </w:txbxContent>
                </v:textbox>
                <w10:anchorlock/>
              </v:shape>
            </w:pict>
          </mc:Fallback>
        </mc:AlternateContent>
      </w:r>
    </w:p>
    <w:p w14:paraId="57C5B8C5" w14:textId="24082CE7" w:rsidR="00C550C5" w:rsidRPr="00AA1DF1" w:rsidRDefault="00C550C5" w:rsidP="000A2BC9">
      <w:pPr>
        <w:tabs>
          <w:tab w:val="clear" w:pos="567"/>
          <w:tab w:val="left" w:pos="851"/>
        </w:tabs>
        <w:jc w:val="both"/>
        <w:rPr>
          <w:rFonts w:asciiTheme="minorHAnsi" w:eastAsiaTheme="minorEastAsia" w:hAnsiTheme="minorHAnsi" w:cstheme="minorBidi"/>
          <w:szCs w:val="24"/>
        </w:rPr>
      </w:pPr>
      <w:r w:rsidRPr="00AA1DF1">
        <w:rPr>
          <w:szCs w:val="24"/>
        </w:rPr>
        <w:t>6.2</w:t>
      </w:r>
      <w:r w:rsidRPr="00AA1DF1">
        <w:rPr>
          <w:szCs w:val="24"/>
        </w:rPr>
        <w:tab/>
        <w:t>Les technologies nouvelles et émergentes transforment l</w:t>
      </w:r>
      <w:r w:rsidR="00230D1A" w:rsidRPr="00AA1DF1">
        <w:rPr>
          <w:szCs w:val="24"/>
        </w:rPr>
        <w:t>'</w:t>
      </w:r>
      <w:r w:rsidRPr="00AA1DF1">
        <w:rPr>
          <w:szCs w:val="24"/>
        </w:rPr>
        <w:t>approche de la résilience des services et des technologies de télécommunication/TIC. Des capacités avancées telles que l</w:t>
      </w:r>
      <w:r w:rsidR="00230D1A" w:rsidRPr="00AA1DF1">
        <w:rPr>
          <w:szCs w:val="24"/>
        </w:rPr>
        <w:t>'</w:t>
      </w:r>
      <w:r w:rsidRPr="00AA1DF1">
        <w:rPr>
          <w:szCs w:val="24"/>
        </w:rPr>
        <w:t>IA et l</w:t>
      </w:r>
      <w:r w:rsidR="00230D1A" w:rsidRPr="00AA1DF1">
        <w:rPr>
          <w:szCs w:val="24"/>
        </w:rPr>
        <w:t>'</w:t>
      </w:r>
      <w:r w:rsidRPr="00AA1DF1">
        <w:rPr>
          <w:szCs w:val="24"/>
        </w:rPr>
        <w:t>apprentissage automatique sont utilisées pour détecter les risques en temps réel et assurer la maintenance prédictive des infrastructures essentielles. Les réseaux à satellite élargissent les possibilités de connectivité pour les régions isolées. L</w:t>
      </w:r>
      <w:r w:rsidR="00230D1A" w:rsidRPr="00AA1DF1">
        <w:rPr>
          <w:szCs w:val="24"/>
        </w:rPr>
        <w:t>'</w:t>
      </w:r>
      <w:r w:rsidRPr="00AA1DF1">
        <w:rPr>
          <w:szCs w:val="24"/>
        </w:rPr>
        <w:t>informatique en périphérie et les jumeaux numériques permettent une prise de décision plus rapide et une modélisation améliorée des systèmes pour prédire et atténuer les vulnérabilités. Cette technologie, qui offre de nouvelles capacités, est également source de nouvelles considérations relatives à la gestion de la sécurité, aux compétences techniques requises et à la durabilité des nouveaux services et technologies de télécommunication/TIC.</w:t>
      </w:r>
    </w:p>
    <w:p w14:paraId="574E41BF" w14:textId="7A7377A4" w:rsidR="00C550C5" w:rsidRPr="00AA1DF1" w:rsidRDefault="00C550C5" w:rsidP="000A2BC9">
      <w:pPr>
        <w:tabs>
          <w:tab w:val="clear" w:pos="567"/>
          <w:tab w:val="left" w:pos="851"/>
        </w:tabs>
        <w:jc w:val="both"/>
        <w:rPr>
          <w:rFonts w:asciiTheme="minorHAnsi" w:eastAsiaTheme="minorEastAsia" w:hAnsiTheme="minorHAnsi" w:cstheme="minorBidi"/>
          <w:szCs w:val="24"/>
        </w:rPr>
      </w:pPr>
      <w:r w:rsidRPr="00AA1DF1">
        <w:rPr>
          <w:szCs w:val="24"/>
        </w:rPr>
        <w:t>6.3</w:t>
      </w:r>
      <w:r w:rsidRPr="00AA1DF1">
        <w:rPr>
          <w:szCs w:val="24"/>
        </w:rPr>
        <w:tab/>
        <w:t>Compte tenu de ce qui précède, il convient d</w:t>
      </w:r>
      <w:r w:rsidR="00230D1A" w:rsidRPr="00AA1DF1">
        <w:rPr>
          <w:szCs w:val="24"/>
        </w:rPr>
        <w:t>'</w:t>
      </w:r>
      <w:r w:rsidRPr="00AA1DF1">
        <w:rPr>
          <w:szCs w:val="24"/>
        </w:rPr>
        <w:t>adopter une approche globale de cette question, tenant compte du fait que la résilience des services et technologies de télécommunication/TIC recoupe de nombreux types de défis, tels que les perturbations liées au climat, les cyberincidents, les pannes techniques non malveillantes, les infrastructures énergétiques et la résilience des réseaux. Il convient également de reconnaître que le renforcement de la résilience des services et technologies de télécommunication/TIC passe par des initiatives plus vastes, telles que la sensibilisation de la population, les systèmes d</w:t>
      </w:r>
      <w:r w:rsidR="00230D1A" w:rsidRPr="00AA1DF1">
        <w:rPr>
          <w:szCs w:val="24"/>
        </w:rPr>
        <w:t>'</w:t>
      </w:r>
      <w:r w:rsidRPr="00AA1DF1">
        <w:rPr>
          <w:szCs w:val="24"/>
        </w:rPr>
        <w:t>alerte avancée et la planification de la gestion des risques. Une approche holistique comprend les principaux éléments suivants</w:t>
      </w:r>
      <w:r w:rsidR="0051199F" w:rsidRPr="00AA1DF1">
        <w:rPr>
          <w:szCs w:val="24"/>
        </w:rPr>
        <w:t>.</w:t>
      </w:r>
    </w:p>
    <w:p w14:paraId="703D109A" w14:textId="005E5A5B" w:rsidR="00C550C5" w:rsidRPr="00AA1DF1" w:rsidRDefault="00C550C5" w:rsidP="000A2BC9">
      <w:pPr>
        <w:tabs>
          <w:tab w:val="clear" w:pos="567"/>
          <w:tab w:val="left" w:pos="851"/>
        </w:tabs>
        <w:jc w:val="both"/>
        <w:rPr>
          <w:rFonts w:asciiTheme="minorHAnsi" w:eastAsiaTheme="minorEastAsia" w:hAnsiTheme="minorHAnsi" w:cstheme="minorBidi"/>
          <w:szCs w:val="24"/>
        </w:rPr>
      </w:pPr>
      <w:r w:rsidRPr="00AA1DF1">
        <w:rPr>
          <w:rFonts w:asciiTheme="minorHAnsi" w:eastAsiaTheme="minorEastAsia" w:hAnsiTheme="minorHAnsi" w:cstheme="minorBidi"/>
          <w:noProof/>
          <w:szCs w:val="24"/>
          <w:lang w:eastAsia="zh-CN"/>
        </w:rPr>
        <w:lastRenderedPageBreak/>
        <mc:AlternateContent>
          <mc:Choice Requires="wps">
            <w:drawing>
              <wp:anchor distT="0" distB="0" distL="114300" distR="114300" simplePos="0" relativeHeight="251663360" behindDoc="0" locked="0" layoutInCell="1" allowOverlap="1" wp14:anchorId="43759658" wp14:editId="7F8CD10D">
                <wp:simplePos x="0" y="0"/>
                <wp:positionH relativeFrom="margin">
                  <wp:posOffset>3609975</wp:posOffset>
                </wp:positionH>
                <wp:positionV relativeFrom="paragraph">
                  <wp:posOffset>281305</wp:posOffset>
                </wp:positionV>
                <wp:extent cx="2502535" cy="3735070"/>
                <wp:effectExtent l="0" t="0" r="12065" b="17780"/>
                <wp:wrapSquare wrapText="bothSides"/>
                <wp:docPr id="189374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3735070"/>
                        </a:xfrm>
                        <a:prstGeom prst="rect">
                          <a:avLst/>
                        </a:prstGeom>
                        <a:solidFill>
                          <a:srgbClr val="FFFFFF"/>
                        </a:solidFill>
                        <a:ln w="19050">
                          <a:solidFill>
                            <a:srgbClr val="9BBB59">
                              <a:lumMod val="100000"/>
                              <a:lumOff val="0"/>
                            </a:srgbClr>
                          </a:solidFill>
                          <a:miter lim="800000"/>
                          <a:headEnd/>
                          <a:tailEnd/>
                        </a:ln>
                      </wps:spPr>
                      <wps:txbx>
                        <w:txbxContent>
                          <w:p w14:paraId="52571C1B" w14:textId="2F8AC1ED" w:rsidR="00C550C5" w:rsidRPr="002B624C" w:rsidRDefault="00C550C5" w:rsidP="00C550C5">
                            <w:pPr>
                              <w:rPr>
                                <w:color w:val="9BBB59" w:themeColor="accent3"/>
                                <w:sz w:val="22"/>
                              </w:rPr>
                            </w:pPr>
                            <w:r w:rsidRPr="0051199F">
                              <w:rPr>
                                <w:color w:val="9BBB59" w:themeColor="accent3"/>
                                <w:sz w:val="22"/>
                              </w:rPr>
                              <w:t xml:space="preserve">Étude de </w:t>
                            </w:r>
                            <w:proofErr w:type="gramStart"/>
                            <w:r w:rsidRPr="0051199F">
                              <w:rPr>
                                <w:color w:val="9BBB59" w:themeColor="accent3"/>
                                <w:sz w:val="22"/>
                              </w:rPr>
                              <w:t>cas:</w:t>
                            </w:r>
                            <w:proofErr w:type="gramEnd"/>
                            <w:r w:rsidRPr="0051199F">
                              <w:rPr>
                                <w:color w:val="9BBB59" w:themeColor="accent3"/>
                                <w:sz w:val="22"/>
                              </w:rPr>
                              <w:t xml:space="preserve"> La résilience des réseaux grâce aux normes</w:t>
                            </w:r>
                          </w:p>
                          <w:p w14:paraId="72DE1970" w14:textId="0665C614" w:rsidR="00C550C5" w:rsidRPr="002B624C" w:rsidRDefault="00C550C5" w:rsidP="000A2BC9">
                            <w:pPr>
                              <w:jc w:val="both"/>
                              <w:rPr>
                                <w:sz w:val="22"/>
                              </w:rPr>
                            </w:pPr>
                            <w:r>
                              <w:rPr>
                                <w:sz w:val="22"/>
                              </w:rPr>
                              <w:t>Pour renforcer ces mécanismes de coopération mondiale, l</w:t>
                            </w:r>
                            <w:r w:rsidR="00230D1A">
                              <w:rPr>
                                <w:sz w:val="22"/>
                              </w:rPr>
                              <w:t>'</w:t>
                            </w:r>
                            <w:r>
                              <w:rPr>
                                <w:sz w:val="22"/>
                              </w:rPr>
                              <w:t>UIT a élaboré des normes internationales (recommandations) visant à améliorer la résilience des réseaux. Il s</w:t>
                            </w:r>
                            <w:r w:rsidR="00230D1A">
                              <w:rPr>
                                <w:sz w:val="22"/>
                              </w:rPr>
                              <w:t>'</w:t>
                            </w:r>
                            <w:r>
                              <w:rPr>
                                <w:sz w:val="22"/>
                              </w:rPr>
                              <w:t>agit notamment de la commutation de protection, de la surveillance de la qualité de fonctionnement, de la gestion des pannes et des fonctions de gestion des éléments de réseau pour diverses technologies de transport telles que le réseau de transport optique (OTN), Ethernet et MPLS-TP. La fonction de commutation de protection préassigne une certaine capacité entre les nœuds afin que le trafic initial puisse être acheminé en utilisant cette capacité en cas de défaillance sur la route initiale.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3759658" id="_x0000_s1034" type="#_x0000_t202" style="position:absolute;left:0;text-align:left;margin-left:284.25pt;margin-top:22.15pt;width:197.05pt;height:294.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" strokecolor="#9bbb59" strokeweight="1.5pt">
                <v:textbox>
                  <w:txbxContent>
                    <w:p w14:paraId="52571C1B" w14:textId="2F8AC1ED" w:rsidR="00C550C5" w:rsidRPr="002B624C" w:rsidRDefault="00C550C5" w:rsidP="00C550C5">
                      <w:pPr>
                        <w:rPr>
                          <w:color w:val="9BBB59" w:themeColor="accent3"/>
                          <w:sz w:val="22"/>
                        </w:rPr>
                      </w:pPr>
                      <w:r w:rsidRPr="0051199F">
                        <w:rPr>
                          <w:color w:val="9BBB59" w:themeColor="accent3"/>
                          <w:sz w:val="22"/>
                        </w:rPr>
                        <w:t xml:space="preserve">Étude de </w:t>
                      </w:r>
                      <w:proofErr w:type="gramStart"/>
                      <w:r w:rsidRPr="0051199F">
                        <w:rPr>
                          <w:color w:val="9BBB59" w:themeColor="accent3"/>
                          <w:sz w:val="22"/>
                        </w:rPr>
                        <w:t>cas:</w:t>
                      </w:r>
                      <w:proofErr w:type="gramEnd"/>
                      <w:r w:rsidRPr="0051199F">
                        <w:rPr>
                          <w:color w:val="9BBB59" w:themeColor="accent3"/>
                          <w:sz w:val="22"/>
                        </w:rPr>
                        <w:t xml:space="preserve"> La résilience des réseaux grâce aux normes</w:t>
                      </w:r>
                    </w:p>
                    <w:p w14:paraId="72DE1970" w14:textId="0665C614" w:rsidR="00C550C5" w:rsidRPr="002B624C" w:rsidRDefault="00C550C5" w:rsidP="000A2BC9">
                      <w:pPr>
                        <w:jc w:val="both"/>
                        <w:rPr>
                          <w:sz w:val="22"/>
                        </w:rPr>
                      </w:pPr>
                      <w:r>
                        <w:rPr>
                          <w:sz w:val="22"/>
                        </w:rPr>
                        <w:t>Pour renforcer ces mécanismes de coopération mondiale, l</w:t>
                      </w:r>
                      <w:r w:rsidR="00230D1A">
                        <w:rPr>
                          <w:sz w:val="22"/>
                        </w:rPr>
                        <w:t>'</w:t>
                      </w:r>
                      <w:r>
                        <w:rPr>
                          <w:sz w:val="22"/>
                        </w:rPr>
                        <w:t>UIT a élaboré des normes internationales (recommandations) visant à améliorer la résilience des réseaux. Il s</w:t>
                      </w:r>
                      <w:r w:rsidR="00230D1A">
                        <w:rPr>
                          <w:sz w:val="22"/>
                        </w:rPr>
                        <w:t>'</w:t>
                      </w:r>
                      <w:r>
                        <w:rPr>
                          <w:sz w:val="22"/>
                        </w:rPr>
                        <w:t>agit notamment de la commutation de protection, de la surveillance de la qualité de fonctionnement, de la gestion des pannes et des fonctions de gestion des éléments de réseau pour diverses technologies de transport telles que le réseau de transport optique (OTN), Ethernet et MPLS-TP. La fonction de commutation de protection préassigne une certaine capacité entre les nœuds afin que le trafic initial puisse être acheminé en utilisant cette capacité en cas de défaillance sur la route initiale.</w:t>
                      </w:r>
                    </w:p>
                  </w:txbxContent>
                </v:textbox>
                <w10:wrap type="square" anchorx="margin"/>
              </v:shape>
            </w:pict>
          </mc:Fallback>
        </mc:AlternateContent>
      </w:r>
      <w:r w:rsidRPr="00AA1DF1">
        <w:rPr>
          <w:szCs w:val="24"/>
        </w:rPr>
        <w:t>6.4</w:t>
      </w:r>
      <w:r w:rsidRPr="00AA1DF1">
        <w:rPr>
          <w:szCs w:val="24"/>
        </w:rPr>
        <w:tab/>
        <w:t>La résilience des infrastructures nécessite des cadres techniques coordonnés entre les réseaux terrestres, sous-marins et spatiaux. La collaboration doit se poursuivre afin d</w:t>
      </w:r>
      <w:r w:rsidR="00230D1A" w:rsidRPr="00AA1DF1">
        <w:rPr>
          <w:szCs w:val="24"/>
        </w:rPr>
        <w:t>'</w:t>
      </w:r>
      <w:r w:rsidRPr="00AA1DF1">
        <w:rPr>
          <w:szCs w:val="24"/>
        </w:rPr>
        <w:t>analyser ces avancées et de déterminer comment les technologies émergentes pourraient améliorer les capacités de protection globale et de rétablissement rapide.</w:t>
      </w:r>
    </w:p>
    <w:p w14:paraId="71B2EA70" w14:textId="4BCB92F9" w:rsidR="00C550C5" w:rsidRPr="00AA1DF1" w:rsidRDefault="00C550C5" w:rsidP="000A2BC9">
      <w:pPr>
        <w:pStyle w:val="enumlev1"/>
        <w:jc w:val="both"/>
        <w:rPr>
          <w:rFonts w:eastAsiaTheme="minorEastAsia"/>
        </w:rPr>
      </w:pPr>
      <w:r w:rsidRPr="00AA1DF1">
        <w:t>6.4.1</w:t>
      </w:r>
      <w:r w:rsidRPr="00AA1DF1">
        <w:tab/>
        <w:t xml:space="preserve">Les approches politiques et réglementaires doivent tenir compte de </w:t>
      </w:r>
      <w:r w:rsidRPr="00AA1DF1">
        <w:rPr>
          <w:szCs w:val="24"/>
        </w:rPr>
        <w:t>la</w:t>
      </w:r>
      <w:r w:rsidRPr="00AA1DF1">
        <w:t xml:space="preserve"> résilience de toutes les couches de l</w:t>
      </w:r>
      <w:r w:rsidR="00230D1A" w:rsidRPr="00AA1DF1">
        <w:t>'</w:t>
      </w:r>
      <w:r w:rsidRPr="00AA1DF1">
        <w:t>infrastructure, y compris, mais non exclusivement, les alertes avancées et la cybersécurité.</w:t>
      </w:r>
    </w:p>
    <w:p w14:paraId="77D8CCAF" w14:textId="77777777" w:rsidR="00C550C5" w:rsidRPr="00AA1DF1" w:rsidRDefault="00C550C5" w:rsidP="000A2BC9">
      <w:pPr>
        <w:pStyle w:val="enumlev1"/>
        <w:jc w:val="both"/>
        <w:rPr>
          <w:rFonts w:eastAsiaTheme="minorEastAsia"/>
        </w:rPr>
      </w:pPr>
      <w:r w:rsidRPr="00AA1DF1">
        <w:t>6.4.2</w:t>
      </w:r>
      <w:r w:rsidRPr="00AA1DF1">
        <w:tab/>
        <w:t>Le renforcement des capacités et le développement des compétences sont essentiels pour exploiter, entretenir et protéger des systèmes de communication complexes à plusieurs niveaux.</w:t>
      </w:r>
    </w:p>
    <w:p w14:paraId="53315B78" w14:textId="48FFCAAC" w:rsidR="00C550C5" w:rsidRPr="00AA1DF1" w:rsidRDefault="00C550C5" w:rsidP="000A2BC9">
      <w:pPr>
        <w:pStyle w:val="enumlev1"/>
        <w:jc w:val="both"/>
        <w:rPr>
          <w:rFonts w:eastAsiaTheme="minorEastAsia"/>
        </w:rPr>
      </w:pPr>
      <w:r w:rsidRPr="00AA1DF1">
        <w:t>6.4.3</w:t>
      </w:r>
      <w:r w:rsidRPr="00AA1DF1">
        <w:tab/>
        <w:t>Les mécanismes de coopération internationale renforcent la résilience des infrastructures de télécommunication mondiales grâce à l</w:t>
      </w:r>
      <w:r w:rsidR="00230D1A" w:rsidRPr="00AA1DF1">
        <w:t>'</w:t>
      </w:r>
      <w:r w:rsidRPr="00AA1DF1">
        <w:t>échange de bonnes pratiques, à l</w:t>
      </w:r>
      <w:r w:rsidR="00230D1A" w:rsidRPr="00AA1DF1">
        <w:t>'</w:t>
      </w:r>
      <w:r w:rsidRPr="00AA1DF1">
        <w:t>échange d</w:t>
      </w:r>
      <w:r w:rsidR="00230D1A" w:rsidRPr="00AA1DF1">
        <w:t>'</w:t>
      </w:r>
      <w:r w:rsidRPr="00AA1DF1">
        <w:t>informations et à des capacités d</w:t>
      </w:r>
      <w:r w:rsidR="00230D1A" w:rsidRPr="00AA1DF1">
        <w:t>'</w:t>
      </w:r>
      <w:r w:rsidRPr="00AA1DF1">
        <w:t>intervention coordonnées.</w:t>
      </w:r>
    </w:p>
    <w:p w14:paraId="278EFB36" w14:textId="0D7F904B" w:rsidR="00C550C5" w:rsidRPr="00AA1DF1" w:rsidRDefault="00C550C5" w:rsidP="000A2BC9">
      <w:pPr>
        <w:tabs>
          <w:tab w:val="clear" w:pos="567"/>
          <w:tab w:val="left" w:pos="851"/>
        </w:tabs>
        <w:jc w:val="both"/>
        <w:rPr>
          <w:rFonts w:asciiTheme="minorHAnsi" w:eastAsiaTheme="minorEastAsia" w:hAnsiTheme="minorHAnsi" w:cstheme="minorBidi"/>
          <w:szCs w:val="24"/>
        </w:rPr>
      </w:pPr>
      <w:r w:rsidRPr="00AA1DF1">
        <w:rPr>
          <w:szCs w:val="24"/>
        </w:rPr>
        <w:t>6.5</w:t>
      </w:r>
      <w:r w:rsidRPr="00AA1DF1">
        <w:rPr>
          <w:szCs w:val="24"/>
        </w:rPr>
        <w:tab/>
        <w:t>Pour édifier des infrastructures de télécommunication/TIC résilientes dans les régions mal desservies ou exposées aux catastrophes, il faut envisager des mécanismes de financement et des modèles d</w:t>
      </w:r>
      <w:r w:rsidR="00230D1A" w:rsidRPr="00AA1DF1">
        <w:rPr>
          <w:szCs w:val="24"/>
        </w:rPr>
        <w:t>'</w:t>
      </w:r>
      <w:r w:rsidRPr="00AA1DF1">
        <w:rPr>
          <w:szCs w:val="24"/>
        </w:rPr>
        <w:t>investissement qui favorisent la durabilité à long terme. La résilience doit s</w:t>
      </w:r>
      <w:r w:rsidR="00230D1A" w:rsidRPr="00AA1DF1">
        <w:rPr>
          <w:szCs w:val="24"/>
        </w:rPr>
        <w:t>'</w:t>
      </w:r>
      <w:r w:rsidRPr="00AA1DF1">
        <w:rPr>
          <w:szCs w:val="24"/>
        </w:rPr>
        <w:t>étendre au</w:t>
      </w:r>
      <w:r w:rsidR="0051199F" w:rsidRPr="00AA1DF1">
        <w:rPr>
          <w:szCs w:val="24"/>
        </w:rPr>
        <w:noBreakHyphen/>
      </w:r>
      <w:r w:rsidRPr="00AA1DF1">
        <w:rPr>
          <w:szCs w:val="24"/>
        </w:rPr>
        <w:t>delà de l</w:t>
      </w:r>
      <w:r w:rsidR="00230D1A" w:rsidRPr="00AA1DF1">
        <w:rPr>
          <w:szCs w:val="24"/>
        </w:rPr>
        <w:t>'</w:t>
      </w:r>
      <w:r w:rsidRPr="00AA1DF1">
        <w:rPr>
          <w:szCs w:val="24"/>
        </w:rPr>
        <w:t>infrastructure physique pour englober les mesures de cybersécurité, en veillant à ce que les réseaux restent opérationnels en cas de crise, lorsqu</w:t>
      </w:r>
      <w:r w:rsidR="00230D1A" w:rsidRPr="00AA1DF1">
        <w:rPr>
          <w:szCs w:val="24"/>
        </w:rPr>
        <w:t>'</w:t>
      </w:r>
      <w:r w:rsidRPr="00AA1DF1">
        <w:rPr>
          <w:szCs w:val="24"/>
        </w:rPr>
        <w:t>ils sont le plus nécessaires. La conception de systèmes TIC résilients devrait donner la priorité à l</w:t>
      </w:r>
      <w:r w:rsidR="00230D1A" w:rsidRPr="00AA1DF1">
        <w:rPr>
          <w:szCs w:val="24"/>
        </w:rPr>
        <w:t>'</w:t>
      </w:r>
      <w:r w:rsidRPr="00AA1DF1">
        <w:rPr>
          <w:szCs w:val="24"/>
        </w:rPr>
        <w:t>accessibilité pour toutes les populations, y compris les personnes handicapées, les personnes âgées et les personnes vivant dans des zones isolées, afin de garantir que les communications d</w:t>
      </w:r>
      <w:r w:rsidR="00230D1A" w:rsidRPr="00AA1DF1">
        <w:rPr>
          <w:szCs w:val="24"/>
        </w:rPr>
        <w:t>'</w:t>
      </w:r>
      <w:r w:rsidRPr="00AA1DF1">
        <w:rPr>
          <w:szCs w:val="24"/>
        </w:rPr>
        <w:t>urgence et les services numériques essentiels profitent à tous pendant les catastrophes et les opérations de rétablissement.</w:t>
      </w:r>
    </w:p>
    <w:p w14:paraId="334820AF" w14:textId="3EBCF281" w:rsidR="00C550C5" w:rsidRPr="00AA1DF1" w:rsidRDefault="00C550C5" w:rsidP="000A2BC9">
      <w:pPr>
        <w:tabs>
          <w:tab w:val="clear" w:pos="567"/>
          <w:tab w:val="left" w:pos="851"/>
        </w:tabs>
        <w:jc w:val="both"/>
        <w:rPr>
          <w:rFonts w:asciiTheme="minorHAnsi" w:eastAsiaTheme="minorEastAsia" w:hAnsiTheme="minorHAnsi" w:cstheme="minorBidi"/>
          <w:szCs w:val="24"/>
        </w:rPr>
      </w:pPr>
      <w:r w:rsidRPr="00AA1DF1">
        <w:rPr>
          <w:szCs w:val="24"/>
        </w:rPr>
        <w:t>6.6</w:t>
      </w:r>
      <w:r w:rsidRPr="00AA1DF1">
        <w:rPr>
          <w:szCs w:val="24"/>
        </w:rPr>
        <w:tab/>
        <w:t>Compte tenu de l</w:t>
      </w:r>
      <w:r w:rsidR="00230D1A" w:rsidRPr="00AA1DF1">
        <w:rPr>
          <w:szCs w:val="24"/>
        </w:rPr>
        <w:t>'</w:t>
      </w:r>
      <w:r w:rsidRPr="00AA1DF1">
        <w:rPr>
          <w:szCs w:val="24"/>
        </w:rPr>
        <w:t xml:space="preserve">urgence de ces questions face à un paysage en constante évolution, caractérisé par des défis complexes et protéiformes, les questions suivantes visent à guider les décideurs et les parties prenantes vers des outils utiles et productifs pour contribuer à édifier une infrastructure et des services de télécommunication/TIC </w:t>
      </w:r>
      <w:proofErr w:type="gramStart"/>
      <w:r w:rsidRPr="00AA1DF1">
        <w:rPr>
          <w:szCs w:val="24"/>
        </w:rPr>
        <w:t>résilients:</w:t>
      </w:r>
      <w:proofErr w:type="gramEnd"/>
    </w:p>
    <w:p w14:paraId="711A99C9" w14:textId="0E77ACE2" w:rsidR="00C550C5" w:rsidRPr="00AA1DF1" w:rsidRDefault="00C550C5" w:rsidP="000A2BC9">
      <w:pPr>
        <w:pStyle w:val="enumlev1"/>
        <w:jc w:val="both"/>
        <w:rPr>
          <w:rFonts w:eastAsiaTheme="minorEastAsia"/>
          <w:szCs w:val="24"/>
        </w:rPr>
      </w:pPr>
      <w:r w:rsidRPr="00AA1DF1">
        <w:rPr>
          <w:szCs w:val="24"/>
        </w:rPr>
        <w:t>6.6.1</w:t>
      </w:r>
      <w:r w:rsidRPr="00AA1DF1">
        <w:rPr>
          <w:szCs w:val="24"/>
        </w:rPr>
        <w:tab/>
        <w:t>Comment les technologies émergentes et les innovations peuvent-elles améliorer la résilience de l</w:t>
      </w:r>
      <w:r w:rsidR="00230D1A" w:rsidRPr="00AA1DF1">
        <w:rPr>
          <w:szCs w:val="24"/>
        </w:rPr>
        <w:t>'</w:t>
      </w:r>
      <w:r w:rsidRPr="00AA1DF1">
        <w:rPr>
          <w:szCs w:val="24"/>
        </w:rPr>
        <w:t>infrastructure des télécommunications et des TIC et l</w:t>
      </w:r>
      <w:r w:rsidR="00230D1A" w:rsidRPr="00AA1DF1">
        <w:rPr>
          <w:szCs w:val="24"/>
        </w:rPr>
        <w:t>'</w:t>
      </w:r>
      <w:r w:rsidRPr="00AA1DF1">
        <w:rPr>
          <w:szCs w:val="24"/>
        </w:rPr>
        <w:t>interdépendance avec d</w:t>
      </w:r>
      <w:r w:rsidR="00230D1A" w:rsidRPr="00AA1DF1">
        <w:rPr>
          <w:szCs w:val="24"/>
        </w:rPr>
        <w:t>'</w:t>
      </w:r>
      <w:r w:rsidRPr="00AA1DF1">
        <w:rPr>
          <w:szCs w:val="24"/>
        </w:rPr>
        <w:t>autres secteurs essentiels comme l</w:t>
      </w:r>
      <w:r w:rsidR="00230D1A" w:rsidRPr="00AA1DF1">
        <w:rPr>
          <w:szCs w:val="24"/>
        </w:rPr>
        <w:t>'</w:t>
      </w:r>
      <w:r w:rsidRPr="00AA1DF1">
        <w:rPr>
          <w:szCs w:val="24"/>
        </w:rPr>
        <w:t xml:space="preserve">énergie, la santé et les transports pour atténuer les défaillances en cascade lors de </w:t>
      </w:r>
      <w:proofErr w:type="gramStart"/>
      <w:r w:rsidRPr="00AA1DF1">
        <w:rPr>
          <w:szCs w:val="24"/>
        </w:rPr>
        <w:t>catastrophes?</w:t>
      </w:r>
      <w:proofErr w:type="gramEnd"/>
    </w:p>
    <w:p w14:paraId="248AA769" w14:textId="33BA0A1E" w:rsidR="00C550C5" w:rsidRPr="00AA1DF1" w:rsidRDefault="00C550C5" w:rsidP="000A2BC9">
      <w:pPr>
        <w:pStyle w:val="enumlev1"/>
        <w:jc w:val="both"/>
        <w:rPr>
          <w:rFonts w:eastAsiaTheme="minorEastAsia"/>
          <w:szCs w:val="24"/>
        </w:rPr>
      </w:pPr>
      <w:r w:rsidRPr="00AA1DF1">
        <w:rPr>
          <w:szCs w:val="24"/>
        </w:rPr>
        <w:t>6.6.2</w:t>
      </w:r>
      <w:r w:rsidRPr="00AA1DF1">
        <w:rPr>
          <w:szCs w:val="24"/>
        </w:rPr>
        <w:tab/>
        <w:t xml:space="preserve">Quels cadres politiques et </w:t>
      </w:r>
      <w:r w:rsidRPr="00AA1DF1">
        <w:t>réglementaires</w:t>
      </w:r>
      <w:r w:rsidRPr="00AA1DF1">
        <w:rPr>
          <w:szCs w:val="24"/>
        </w:rPr>
        <w:t xml:space="preserve"> sont nécessaires pour promouvoir des systèmes de services et technologies de télécommunication/TIC </w:t>
      </w:r>
      <w:proofErr w:type="gramStart"/>
      <w:r w:rsidRPr="00AA1DF1">
        <w:rPr>
          <w:szCs w:val="24"/>
        </w:rPr>
        <w:t>résilients?</w:t>
      </w:r>
      <w:proofErr w:type="gramEnd"/>
    </w:p>
    <w:p w14:paraId="7645367E" w14:textId="0322DF3E" w:rsidR="00C550C5" w:rsidRPr="00AA1DF1" w:rsidRDefault="00C550C5" w:rsidP="000A2BC9">
      <w:pPr>
        <w:pStyle w:val="enumlev1"/>
        <w:jc w:val="both"/>
        <w:rPr>
          <w:rFonts w:eastAsiaTheme="minorEastAsia"/>
          <w:szCs w:val="24"/>
        </w:rPr>
      </w:pPr>
      <w:r w:rsidRPr="00AA1DF1">
        <w:rPr>
          <w:szCs w:val="24"/>
        </w:rPr>
        <w:t>6.6.3</w:t>
      </w:r>
      <w:r w:rsidRPr="00AA1DF1">
        <w:rPr>
          <w:szCs w:val="24"/>
        </w:rPr>
        <w:tab/>
        <w:t xml:space="preserve">Comment la sensibilisation de la population et la préparation peuvent-elles contribuer à la résilience des services et </w:t>
      </w:r>
      <w:r w:rsidRPr="00AA1DF1">
        <w:t>technologies</w:t>
      </w:r>
      <w:r w:rsidRPr="00AA1DF1">
        <w:rPr>
          <w:szCs w:val="24"/>
        </w:rPr>
        <w:t xml:space="preserve"> de télécommunication/</w:t>
      </w:r>
      <w:proofErr w:type="gramStart"/>
      <w:r w:rsidRPr="00AA1DF1">
        <w:rPr>
          <w:szCs w:val="24"/>
        </w:rPr>
        <w:t>TIC?</w:t>
      </w:r>
      <w:proofErr w:type="gramEnd"/>
    </w:p>
    <w:p w14:paraId="58486753" w14:textId="5EFE7228" w:rsidR="00C550C5" w:rsidRPr="00AA1DF1" w:rsidRDefault="00C550C5" w:rsidP="000A2BC9">
      <w:pPr>
        <w:pStyle w:val="enumlev1"/>
        <w:jc w:val="both"/>
        <w:rPr>
          <w:rFonts w:eastAsiaTheme="minorEastAsia"/>
          <w:szCs w:val="24"/>
        </w:rPr>
      </w:pPr>
      <w:r w:rsidRPr="00AA1DF1">
        <w:rPr>
          <w:szCs w:val="24"/>
        </w:rPr>
        <w:t>6.6.4</w:t>
      </w:r>
      <w:r w:rsidRPr="00AA1DF1">
        <w:rPr>
          <w:szCs w:val="24"/>
        </w:rPr>
        <w:tab/>
        <w:t>Quelles initiatives de renforcement des capacités et de développement des compétences sont nécessaires pour favoriser la résilience des services et technologies de télécommunication/</w:t>
      </w:r>
      <w:proofErr w:type="gramStart"/>
      <w:r w:rsidRPr="00AA1DF1">
        <w:rPr>
          <w:szCs w:val="24"/>
        </w:rPr>
        <w:t>TIC?</w:t>
      </w:r>
      <w:proofErr w:type="gramEnd"/>
    </w:p>
    <w:p w14:paraId="6CB0B630" w14:textId="626E44C4" w:rsidR="00C550C5" w:rsidRPr="00AA1DF1" w:rsidRDefault="00C550C5" w:rsidP="000A2BC9">
      <w:pPr>
        <w:pStyle w:val="enumlev1"/>
        <w:jc w:val="both"/>
        <w:rPr>
          <w:rFonts w:eastAsiaTheme="minorEastAsia"/>
          <w:szCs w:val="24"/>
        </w:rPr>
      </w:pPr>
      <w:r w:rsidRPr="00AA1DF1">
        <w:rPr>
          <w:szCs w:val="24"/>
        </w:rPr>
        <w:lastRenderedPageBreak/>
        <w:t>6.6.5</w:t>
      </w:r>
      <w:r w:rsidRPr="00AA1DF1">
        <w:rPr>
          <w:szCs w:val="24"/>
        </w:rPr>
        <w:tab/>
        <w:t>Comment la coopération et la collaboration internationales peuvent-elles renforcer la résilience des services et des technologies de télécommunication/</w:t>
      </w:r>
      <w:proofErr w:type="gramStart"/>
      <w:r w:rsidRPr="00AA1DF1">
        <w:rPr>
          <w:szCs w:val="24"/>
        </w:rPr>
        <w:t>TIC?</w:t>
      </w:r>
      <w:proofErr w:type="gramEnd"/>
    </w:p>
    <w:p w14:paraId="524A43E0" w14:textId="70CA5E50" w:rsidR="00C550C5" w:rsidRPr="00AA1DF1" w:rsidRDefault="00C550C5" w:rsidP="000A2BC9">
      <w:pPr>
        <w:pStyle w:val="enumlev1"/>
        <w:jc w:val="both"/>
        <w:rPr>
          <w:rFonts w:eastAsiaTheme="minorEastAsia"/>
          <w:szCs w:val="24"/>
        </w:rPr>
      </w:pPr>
      <w:r w:rsidRPr="00AA1DF1">
        <w:rPr>
          <w:szCs w:val="24"/>
        </w:rPr>
        <w:t>6.6.6</w:t>
      </w:r>
      <w:r w:rsidRPr="00AA1DF1">
        <w:rPr>
          <w:szCs w:val="24"/>
        </w:rPr>
        <w:tab/>
        <w:t>Comment les réseaux, y compris les réseaux nationaux de recherche et d</w:t>
      </w:r>
      <w:r w:rsidR="00230D1A" w:rsidRPr="00AA1DF1">
        <w:rPr>
          <w:szCs w:val="24"/>
        </w:rPr>
        <w:t>'</w:t>
      </w:r>
      <w:r w:rsidRPr="00AA1DF1">
        <w:rPr>
          <w:szCs w:val="24"/>
        </w:rPr>
        <w:t>éducation (NREN), peuvent-ils tirer parti des infrastructures, des technologies et des actifs communautaires existants pour renforcer la résilience des services de télécommunication et des télécommunications/</w:t>
      </w:r>
      <w:proofErr w:type="gramStart"/>
      <w:r w:rsidRPr="00AA1DF1">
        <w:rPr>
          <w:szCs w:val="24"/>
        </w:rPr>
        <w:t>TIC?</w:t>
      </w:r>
      <w:proofErr w:type="gramEnd"/>
    </w:p>
    <w:p w14:paraId="061ACCB5" w14:textId="51606C03" w:rsidR="00C550C5" w:rsidRPr="00AA1DF1" w:rsidRDefault="00C550C5" w:rsidP="000A2BC9">
      <w:pPr>
        <w:pStyle w:val="enumlev1"/>
        <w:jc w:val="both"/>
        <w:rPr>
          <w:rFonts w:eastAsiaTheme="minorEastAsia"/>
        </w:rPr>
      </w:pPr>
      <w:r w:rsidRPr="00AA1DF1">
        <w:t>6.6.7</w:t>
      </w:r>
      <w:r w:rsidRPr="00AA1DF1">
        <w:tab/>
        <w:t xml:space="preserve">Comment peut-on renforcer </w:t>
      </w:r>
      <w:r w:rsidRPr="00AA1DF1">
        <w:rPr>
          <w:szCs w:val="24"/>
        </w:rPr>
        <w:t>l</w:t>
      </w:r>
      <w:r w:rsidR="00230D1A" w:rsidRPr="00AA1DF1">
        <w:rPr>
          <w:szCs w:val="24"/>
        </w:rPr>
        <w:t>'</w:t>
      </w:r>
      <w:r w:rsidRPr="00AA1DF1">
        <w:rPr>
          <w:szCs w:val="24"/>
        </w:rPr>
        <w:t>infrastructure</w:t>
      </w:r>
      <w:r w:rsidRPr="00AA1DF1">
        <w:t xml:space="preserve"> et les services des technologies de télécommunication/TIC pour garantir un fonctionnement fiable en temps de crise, y</w:t>
      </w:r>
      <w:r w:rsidR="0051199F" w:rsidRPr="00AA1DF1">
        <w:t> </w:t>
      </w:r>
      <w:r w:rsidRPr="00AA1DF1">
        <w:t>compris en cas de catastrophe naturelle, à l</w:t>
      </w:r>
      <w:r w:rsidR="00230D1A" w:rsidRPr="00AA1DF1">
        <w:t>'</w:t>
      </w:r>
      <w:r w:rsidRPr="00AA1DF1">
        <w:t xml:space="preserve">appui des interventions et des activités de rétablissement dans les meilleurs </w:t>
      </w:r>
      <w:proofErr w:type="gramStart"/>
      <w:r w:rsidRPr="00AA1DF1">
        <w:t>délais?</w:t>
      </w:r>
      <w:proofErr w:type="gramEnd"/>
    </w:p>
    <w:p w14:paraId="4D2BF78C" w14:textId="7805C5F1" w:rsidR="00C550C5" w:rsidRPr="00AA1DF1" w:rsidRDefault="00C550C5" w:rsidP="000A2BC9">
      <w:pPr>
        <w:pStyle w:val="enumlev1"/>
        <w:jc w:val="both"/>
        <w:rPr>
          <w:rFonts w:eastAsiaTheme="minorEastAsia"/>
        </w:rPr>
      </w:pPr>
      <w:r w:rsidRPr="00AA1DF1">
        <w:t>6.6.8</w:t>
      </w:r>
      <w:r w:rsidRPr="00AA1DF1">
        <w:tab/>
        <w:t xml:space="preserve">Comment les décideurs </w:t>
      </w:r>
      <w:r w:rsidRPr="00AA1DF1">
        <w:rPr>
          <w:szCs w:val="24"/>
        </w:rPr>
        <w:t>peuvent</w:t>
      </w:r>
      <w:r w:rsidRPr="00AA1DF1">
        <w:t>-ils créer des cadres pour suivre et évaluer la résilience des services et des technologies de télécommunication/</w:t>
      </w:r>
      <w:proofErr w:type="gramStart"/>
      <w:r w:rsidRPr="00AA1DF1">
        <w:t>TIC?</w:t>
      </w:r>
      <w:proofErr w:type="gramEnd"/>
    </w:p>
    <w:p w14:paraId="2AC48DC0" w14:textId="6C87CDFF" w:rsidR="00C550C5" w:rsidRPr="00AA1DF1" w:rsidRDefault="00C550C5" w:rsidP="000A2BC9">
      <w:pPr>
        <w:pStyle w:val="enumlev1"/>
        <w:jc w:val="both"/>
        <w:rPr>
          <w:rFonts w:eastAsiaTheme="minorEastAsia"/>
        </w:rPr>
      </w:pPr>
      <w:r w:rsidRPr="00AA1DF1">
        <w:t>6.6.9</w:t>
      </w:r>
      <w:r w:rsidRPr="00AA1DF1">
        <w:tab/>
        <w:t>Quels modèles de financement, stratégies d</w:t>
      </w:r>
      <w:r w:rsidR="00230D1A" w:rsidRPr="00AA1DF1">
        <w:t>'</w:t>
      </w:r>
      <w:r w:rsidRPr="00AA1DF1">
        <w:t>investissement et partenariats public-privé peuvent appuyer le développement d</w:t>
      </w:r>
      <w:r w:rsidR="00230D1A" w:rsidRPr="00AA1DF1">
        <w:t>'</w:t>
      </w:r>
      <w:r w:rsidRPr="00AA1DF1">
        <w:t xml:space="preserve">infrastructures TIC résilientes, en particulier dans les régions mal desservies et exposées aux </w:t>
      </w:r>
      <w:proofErr w:type="gramStart"/>
      <w:r w:rsidRPr="00AA1DF1">
        <w:t>catastrophes?</w:t>
      </w:r>
      <w:proofErr w:type="gramEnd"/>
    </w:p>
    <w:p w14:paraId="517EDB10" w14:textId="77777777" w:rsidR="00C550C5" w:rsidRPr="00AA1DF1" w:rsidRDefault="00C550C5" w:rsidP="00C550C5">
      <w:pPr>
        <w:tabs>
          <w:tab w:val="clear" w:pos="1134"/>
          <w:tab w:val="clear" w:pos="1701"/>
          <w:tab w:val="clear" w:pos="2268"/>
          <w:tab w:val="clear" w:pos="2835"/>
        </w:tabs>
        <w:overflowPunct/>
        <w:autoSpaceDE/>
        <w:autoSpaceDN/>
        <w:adjustRightInd/>
        <w:spacing w:before="0"/>
        <w:textAlignment w:val="auto"/>
        <w:rPr>
          <w:rFonts w:eastAsiaTheme="minorEastAsia"/>
          <w:b/>
          <w:sz w:val="28"/>
          <w:lang w:eastAsia="zh-CN"/>
        </w:rPr>
      </w:pPr>
      <w:r w:rsidRPr="00AA1DF1">
        <w:br w:type="page"/>
      </w:r>
    </w:p>
    <w:p w14:paraId="0AA6C643" w14:textId="71B02776" w:rsidR="00C550C5" w:rsidRPr="00AA1DF1" w:rsidRDefault="00C550C5" w:rsidP="0051199F">
      <w:pPr>
        <w:pStyle w:val="Heading1"/>
        <w:tabs>
          <w:tab w:val="clear" w:pos="567"/>
        </w:tabs>
        <w:spacing w:before="360"/>
        <w:ind w:left="851" w:hanging="851"/>
      </w:pPr>
      <w:r w:rsidRPr="00AA1DF1">
        <w:rPr>
          <w:bCs/>
        </w:rPr>
        <w:lastRenderedPageBreak/>
        <w:t>7</w:t>
      </w:r>
      <w:r w:rsidRPr="00AA1DF1">
        <w:tab/>
      </w:r>
      <w:r w:rsidRPr="00AA1DF1">
        <w:rPr>
          <w:bCs/>
        </w:rPr>
        <w:t>Connectivité spatiale</w:t>
      </w:r>
    </w:p>
    <w:p w14:paraId="3B10BCD3" w14:textId="6E832ED4" w:rsidR="00C550C5" w:rsidRPr="00AA1DF1" w:rsidRDefault="002A06C7" w:rsidP="000A2BC9">
      <w:pPr>
        <w:tabs>
          <w:tab w:val="clear" w:pos="567"/>
          <w:tab w:val="left" w:pos="851"/>
        </w:tabs>
        <w:jc w:val="both"/>
        <w:rPr>
          <w:rFonts w:asciiTheme="minorHAnsi" w:eastAsiaTheme="minorEastAsia" w:hAnsiTheme="minorHAnsi" w:cstheme="minorBidi"/>
          <w:szCs w:val="24"/>
        </w:rPr>
      </w:pPr>
      <w:r w:rsidRPr="00AA1DF1">
        <w:rPr>
          <w:rFonts w:asciiTheme="minorHAnsi" w:eastAsiaTheme="minorEastAsia" w:hAnsiTheme="minorHAnsi" w:cstheme="minorBidi"/>
          <w:noProof/>
          <w:szCs w:val="24"/>
          <w:lang w:eastAsia="zh-CN"/>
        </w:rPr>
        <mc:AlternateContent>
          <mc:Choice Requires="wps">
            <w:drawing>
              <wp:anchor distT="0" distB="0" distL="114300" distR="114300" simplePos="0" relativeHeight="251664384" behindDoc="0" locked="0" layoutInCell="1" allowOverlap="1" wp14:anchorId="036C51D7" wp14:editId="152C304D">
                <wp:simplePos x="0" y="0"/>
                <wp:positionH relativeFrom="margin">
                  <wp:posOffset>3375660</wp:posOffset>
                </wp:positionH>
                <wp:positionV relativeFrom="paragraph">
                  <wp:posOffset>838835</wp:posOffset>
                </wp:positionV>
                <wp:extent cx="2686050" cy="3427730"/>
                <wp:effectExtent l="0" t="0" r="19050" b="20320"/>
                <wp:wrapSquare wrapText="bothSides"/>
                <wp:docPr id="19419759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3427730"/>
                        </a:xfrm>
                        <a:prstGeom prst="rect">
                          <a:avLst/>
                        </a:prstGeom>
                        <a:solidFill>
                          <a:srgbClr val="FFFFFF"/>
                        </a:solidFill>
                        <a:ln w="12700">
                          <a:solidFill>
                            <a:srgbClr val="4F81BD">
                              <a:lumMod val="100000"/>
                              <a:lumOff val="0"/>
                            </a:srgbClr>
                          </a:solidFill>
                          <a:miter lim="800000"/>
                          <a:headEnd/>
                          <a:tailEnd/>
                        </a:ln>
                      </wps:spPr>
                      <wps:txbx>
                        <w:txbxContent>
                          <w:p w14:paraId="2EACFAFD" w14:textId="6BF839E8" w:rsidR="00C550C5" w:rsidRPr="002B624C" w:rsidRDefault="00C550C5" w:rsidP="002A06C7">
                            <w:pPr>
                              <w:spacing w:before="80"/>
                              <w:rPr>
                                <w:color w:val="4F81BD" w:themeColor="accent1"/>
                                <w:sz w:val="22"/>
                              </w:rPr>
                            </w:pPr>
                            <w:r w:rsidRPr="0051199F">
                              <w:rPr>
                                <w:color w:val="4F81BD" w:themeColor="accent1"/>
                                <w:sz w:val="22"/>
                              </w:rPr>
                              <w:t xml:space="preserve">Comprendre le domaine </w:t>
                            </w:r>
                            <w:proofErr w:type="gramStart"/>
                            <w:r w:rsidRPr="0051199F">
                              <w:rPr>
                                <w:color w:val="4F81BD" w:themeColor="accent1"/>
                                <w:sz w:val="22"/>
                              </w:rPr>
                              <w:t>spatial:</w:t>
                            </w:r>
                            <w:proofErr w:type="gramEnd"/>
                          </w:p>
                          <w:p w14:paraId="3D2598AC" w14:textId="1CD13251" w:rsidR="00C550C5" w:rsidRPr="002B624C" w:rsidRDefault="00C550C5" w:rsidP="000A2BC9">
                            <w:pPr>
                              <w:spacing w:before="80"/>
                              <w:jc w:val="both"/>
                              <w:rPr>
                                <w:sz w:val="22"/>
                              </w:rPr>
                            </w:pPr>
                            <w:r>
                              <w:rPr>
                                <w:sz w:val="22"/>
                              </w:rPr>
                              <w:t>L</w:t>
                            </w:r>
                            <w:r w:rsidR="00230D1A">
                              <w:rPr>
                                <w:sz w:val="22"/>
                              </w:rPr>
                              <w:t>'</w:t>
                            </w:r>
                            <w:r>
                              <w:rPr>
                                <w:sz w:val="22"/>
                              </w:rPr>
                              <w:t>économie spatiale présente un potentiel de croissance important, avec des prévisions indiquant qu</w:t>
                            </w:r>
                            <w:r w:rsidR="00230D1A">
                              <w:rPr>
                                <w:sz w:val="22"/>
                              </w:rPr>
                              <w:t>'</w:t>
                            </w:r>
                            <w:r>
                              <w:rPr>
                                <w:sz w:val="22"/>
                              </w:rPr>
                              <w:t>elle atteindra 1</w:t>
                            </w:r>
                            <w:r w:rsidR="0051199F">
                              <w:rPr>
                                <w:sz w:val="22"/>
                              </w:rPr>
                              <w:t> </w:t>
                            </w:r>
                            <w:r>
                              <w:rPr>
                                <w:sz w:val="22"/>
                              </w:rPr>
                              <w:t>800</w:t>
                            </w:r>
                            <w:r w:rsidR="0051199F">
                              <w:rPr>
                                <w:sz w:val="22"/>
                              </w:rPr>
                              <w:t> </w:t>
                            </w:r>
                            <w:r>
                              <w:rPr>
                                <w:sz w:val="22"/>
                              </w:rPr>
                              <w:t>milliards USD d</w:t>
                            </w:r>
                            <w:r w:rsidR="00230D1A">
                              <w:rPr>
                                <w:sz w:val="22"/>
                              </w:rPr>
                              <w:t>'</w:t>
                            </w:r>
                            <w:r>
                              <w:rPr>
                                <w:sz w:val="22"/>
                              </w:rPr>
                              <w:t>ici à 2035, soit une croissance moyenne de 9% par an. Cette croissance s</w:t>
                            </w:r>
                            <w:r w:rsidR="00230D1A">
                              <w:rPr>
                                <w:sz w:val="22"/>
                              </w:rPr>
                              <w:t>'</w:t>
                            </w:r>
                            <w:r>
                              <w:rPr>
                                <w:sz w:val="22"/>
                              </w:rPr>
                              <w:t xml:space="preserve">appuiera en grande partie sur les technologies spatiales et/ou les technologies facilitatrices, telles que les </w:t>
                            </w:r>
                            <w:proofErr w:type="gramStart"/>
                            <w:r>
                              <w:rPr>
                                <w:sz w:val="22"/>
                              </w:rPr>
                              <w:t>communications;</w:t>
                            </w:r>
                            <w:proofErr w:type="gramEnd"/>
                            <w:r>
                              <w:rPr>
                                <w:sz w:val="22"/>
                              </w:rPr>
                              <w:t xml:space="preserve"> le positionnement, la navigation et la référence temporelle, ainsi que l</w:t>
                            </w:r>
                            <w:r w:rsidR="00230D1A">
                              <w:rPr>
                                <w:sz w:val="22"/>
                              </w:rPr>
                              <w:t>'</w:t>
                            </w:r>
                            <w:r>
                              <w:rPr>
                                <w:sz w:val="22"/>
                              </w:rPr>
                              <w:t>observation de la Terre.</w:t>
                            </w:r>
                          </w:p>
                          <w:p w14:paraId="665ED360" w14:textId="29FBAC6B" w:rsidR="00C550C5" w:rsidRPr="002B624C" w:rsidRDefault="00C550C5" w:rsidP="000A2BC9">
                            <w:pPr>
                              <w:spacing w:before="80"/>
                              <w:jc w:val="both"/>
                              <w:rPr>
                                <w:i/>
                                <w:iCs/>
                                <w:sz w:val="18"/>
                                <w:szCs w:val="18"/>
                              </w:rPr>
                            </w:pPr>
                            <w:proofErr w:type="gramStart"/>
                            <w:r>
                              <w:rPr>
                                <w:i/>
                                <w:iCs/>
                                <w:sz w:val="18"/>
                                <w:szCs w:val="18"/>
                              </w:rPr>
                              <w:t>Source:</w:t>
                            </w:r>
                            <w:proofErr w:type="gramEnd"/>
                            <w:r>
                              <w:rPr>
                                <w:i/>
                                <w:iCs/>
                                <w:sz w:val="18"/>
                                <w:szCs w:val="18"/>
                              </w:rPr>
                              <w:t xml:space="preserve"> "</w:t>
                            </w:r>
                            <w:proofErr w:type="gramStart"/>
                            <w:r>
                              <w:rPr>
                                <w:i/>
                                <w:iCs/>
                                <w:sz w:val="18"/>
                                <w:szCs w:val="18"/>
                              </w:rPr>
                              <w:t>Space:</w:t>
                            </w:r>
                            <w:proofErr w:type="gramEnd"/>
                            <w:r>
                              <w:rPr>
                                <w:i/>
                                <w:iCs/>
                                <w:sz w:val="18"/>
                                <w:szCs w:val="18"/>
                              </w:rPr>
                              <w:t xml:space="preserve"> The $1.8 Trillion Opportunity for Global Economic Growth" (</w:t>
                            </w:r>
                            <w:proofErr w:type="gramStart"/>
                            <w:r>
                              <w:rPr>
                                <w:i/>
                                <w:iCs/>
                                <w:sz w:val="18"/>
                                <w:szCs w:val="18"/>
                              </w:rPr>
                              <w:t>L</w:t>
                            </w:r>
                            <w:r w:rsidR="00230D1A">
                              <w:rPr>
                                <w:i/>
                                <w:iCs/>
                                <w:sz w:val="18"/>
                                <w:szCs w:val="18"/>
                              </w:rPr>
                              <w:t>'</w:t>
                            </w:r>
                            <w:r>
                              <w:rPr>
                                <w:i/>
                                <w:iCs/>
                                <w:sz w:val="18"/>
                                <w:szCs w:val="18"/>
                              </w:rPr>
                              <w:t>espace:</w:t>
                            </w:r>
                            <w:proofErr w:type="gramEnd"/>
                            <w:r>
                              <w:rPr>
                                <w:i/>
                                <w:iCs/>
                                <w:sz w:val="18"/>
                                <w:szCs w:val="18"/>
                              </w:rPr>
                              <w:t xml:space="preserve"> des perspectives à de 1</w:t>
                            </w:r>
                            <w:r w:rsidR="002A06C7">
                              <w:rPr>
                                <w:i/>
                                <w:iCs/>
                                <w:sz w:val="18"/>
                                <w:szCs w:val="18"/>
                              </w:rPr>
                              <w:t> </w:t>
                            </w:r>
                            <w:r>
                              <w:rPr>
                                <w:i/>
                                <w:iCs/>
                                <w:sz w:val="18"/>
                                <w:szCs w:val="18"/>
                              </w:rPr>
                              <w:t>800 milliards de dollars pour la croissance économique mondiale).</w:t>
                            </w:r>
                            <w:r>
                              <w:rPr>
                                <w:sz w:val="18"/>
                                <w:szCs w:val="18"/>
                              </w:rPr>
                              <w:t xml:space="preserve"> </w:t>
                            </w:r>
                            <w:r>
                              <w:rPr>
                                <w:i/>
                                <w:iCs/>
                                <w:sz w:val="18"/>
                                <w:szCs w:val="18"/>
                              </w:rPr>
                              <w:t xml:space="preserve">Forum économique mondial, avril 2024 et </w:t>
                            </w:r>
                            <w:r w:rsidR="0051199F">
                              <w:rPr>
                                <w:i/>
                                <w:iCs/>
                                <w:sz w:val="18"/>
                                <w:szCs w:val="18"/>
                              </w:rPr>
                              <w:t>"</w:t>
                            </w:r>
                            <w:r>
                              <w:rPr>
                                <w:i/>
                                <w:iCs/>
                                <w:sz w:val="18"/>
                                <w:szCs w:val="18"/>
                              </w:rPr>
                              <w:t xml:space="preserve">La situation </w:t>
                            </w:r>
                            <w:proofErr w:type="gramStart"/>
                            <w:r>
                              <w:rPr>
                                <w:i/>
                                <w:iCs/>
                                <w:sz w:val="18"/>
                                <w:szCs w:val="18"/>
                              </w:rPr>
                              <w:t>du large bande</w:t>
                            </w:r>
                            <w:proofErr w:type="gramEnd"/>
                            <w:r>
                              <w:rPr>
                                <w:i/>
                                <w:iCs/>
                                <w:sz w:val="18"/>
                                <w:szCs w:val="18"/>
                              </w:rPr>
                              <w:t xml:space="preserve"> par satellite</w:t>
                            </w:r>
                            <w:r w:rsidR="0051199F">
                              <w:rPr>
                                <w:i/>
                                <w:iCs/>
                                <w:sz w:val="18"/>
                                <w:szCs w:val="18"/>
                              </w:rPr>
                              <w:t>"</w:t>
                            </w:r>
                            <w:r>
                              <w:rPr>
                                <w:i/>
                                <w:iCs/>
                                <w:sz w:val="18"/>
                                <w:szCs w:val="18"/>
                              </w:rPr>
                              <w:t>, Union internationale des télécommunications et Organisation des Nations Unies pour l</w:t>
                            </w:r>
                            <w:r w:rsidR="00230D1A">
                              <w:rPr>
                                <w:i/>
                                <w:iCs/>
                                <w:sz w:val="18"/>
                                <w:szCs w:val="18"/>
                              </w:rPr>
                              <w:t>'</w:t>
                            </w:r>
                            <w:r>
                              <w:rPr>
                                <w:i/>
                                <w:iCs/>
                                <w:sz w:val="18"/>
                                <w:szCs w:val="18"/>
                              </w:rPr>
                              <w:t>éducation, la science et la culture</w:t>
                            </w:r>
                            <w:r w:rsidR="002A06C7">
                              <w:rPr>
                                <w:i/>
                                <w:iCs/>
                                <w:sz w:val="18"/>
                                <w:szCs w:val="18"/>
                              </w:rPr>
                              <w:t>,</w:t>
                            </w:r>
                            <w:r>
                              <w:rPr>
                                <w:i/>
                                <w:iCs/>
                                <w:sz w:val="18"/>
                                <w:szCs w:val="18"/>
                              </w:rPr>
                              <w:t xml:space="preserve"> 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36C51D7" id="_x0000_s1035" type="#_x0000_t202" style="position:absolute;left:0;text-align:left;margin-left:265.8pt;margin-top:66.05pt;width:211.5pt;height:269.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" strokecolor="#4f81bd" strokeweight="1pt">
                <v:textbox>
                  <w:txbxContent>
                    <w:p w14:paraId="2EACFAFD" w14:textId="6BF839E8" w:rsidR="00C550C5" w:rsidRPr="002B624C" w:rsidRDefault="00C550C5" w:rsidP="002A06C7">
                      <w:pPr>
                        <w:spacing w:before="80"/>
                        <w:rPr>
                          <w:color w:val="4F81BD" w:themeColor="accent1"/>
                          <w:sz w:val="22"/>
                        </w:rPr>
                      </w:pPr>
                      <w:r w:rsidRPr="0051199F">
                        <w:rPr>
                          <w:color w:val="4F81BD" w:themeColor="accent1"/>
                          <w:sz w:val="22"/>
                        </w:rPr>
                        <w:t xml:space="preserve">Comprendre le domaine </w:t>
                      </w:r>
                      <w:proofErr w:type="gramStart"/>
                      <w:r w:rsidRPr="0051199F">
                        <w:rPr>
                          <w:color w:val="4F81BD" w:themeColor="accent1"/>
                          <w:sz w:val="22"/>
                        </w:rPr>
                        <w:t>spatial:</w:t>
                      </w:r>
                      <w:proofErr w:type="gramEnd"/>
                    </w:p>
                    <w:p w14:paraId="3D2598AC" w14:textId="1CD13251" w:rsidR="00C550C5" w:rsidRPr="002B624C" w:rsidRDefault="00C550C5" w:rsidP="000A2BC9">
                      <w:pPr>
                        <w:spacing w:before="80"/>
                        <w:jc w:val="both"/>
                        <w:rPr>
                          <w:sz w:val="22"/>
                        </w:rPr>
                      </w:pPr>
                      <w:r>
                        <w:rPr>
                          <w:sz w:val="22"/>
                        </w:rPr>
                        <w:t>L</w:t>
                      </w:r>
                      <w:r w:rsidR="00230D1A">
                        <w:rPr>
                          <w:sz w:val="22"/>
                        </w:rPr>
                        <w:t>'</w:t>
                      </w:r>
                      <w:r>
                        <w:rPr>
                          <w:sz w:val="22"/>
                        </w:rPr>
                        <w:t>économie spatiale présente un potentiel de croissance important, avec des prévisions indiquant qu</w:t>
                      </w:r>
                      <w:r w:rsidR="00230D1A">
                        <w:rPr>
                          <w:sz w:val="22"/>
                        </w:rPr>
                        <w:t>'</w:t>
                      </w:r>
                      <w:r>
                        <w:rPr>
                          <w:sz w:val="22"/>
                        </w:rPr>
                        <w:t>elle atteindra 1</w:t>
                      </w:r>
                      <w:r w:rsidR="0051199F">
                        <w:rPr>
                          <w:sz w:val="22"/>
                        </w:rPr>
                        <w:t> </w:t>
                      </w:r>
                      <w:r>
                        <w:rPr>
                          <w:sz w:val="22"/>
                        </w:rPr>
                        <w:t>800</w:t>
                      </w:r>
                      <w:r w:rsidR="0051199F">
                        <w:rPr>
                          <w:sz w:val="22"/>
                        </w:rPr>
                        <w:t> </w:t>
                      </w:r>
                      <w:r>
                        <w:rPr>
                          <w:sz w:val="22"/>
                        </w:rPr>
                        <w:t>milliards USD d</w:t>
                      </w:r>
                      <w:r w:rsidR="00230D1A">
                        <w:rPr>
                          <w:sz w:val="22"/>
                        </w:rPr>
                        <w:t>'</w:t>
                      </w:r>
                      <w:r>
                        <w:rPr>
                          <w:sz w:val="22"/>
                        </w:rPr>
                        <w:t>ici à 2035, soit une croissance moyenne de 9% par an. Cette croissance s</w:t>
                      </w:r>
                      <w:r w:rsidR="00230D1A">
                        <w:rPr>
                          <w:sz w:val="22"/>
                        </w:rPr>
                        <w:t>'</w:t>
                      </w:r>
                      <w:r>
                        <w:rPr>
                          <w:sz w:val="22"/>
                        </w:rPr>
                        <w:t xml:space="preserve">appuiera en grande partie sur les technologies spatiales et/ou les technologies facilitatrices, telles que les </w:t>
                      </w:r>
                      <w:proofErr w:type="gramStart"/>
                      <w:r>
                        <w:rPr>
                          <w:sz w:val="22"/>
                        </w:rPr>
                        <w:t>communications;</w:t>
                      </w:r>
                      <w:proofErr w:type="gramEnd"/>
                      <w:r>
                        <w:rPr>
                          <w:sz w:val="22"/>
                        </w:rPr>
                        <w:t xml:space="preserve"> le positionnement, la navigation et la référence temporelle, ainsi que l</w:t>
                      </w:r>
                      <w:r w:rsidR="00230D1A">
                        <w:rPr>
                          <w:sz w:val="22"/>
                        </w:rPr>
                        <w:t>'</w:t>
                      </w:r>
                      <w:r>
                        <w:rPr>
                          <w:sz w:val="22"/>
                        </w:rPr>
                        <w:t>observation de la Terre.</w:t>
                      </w:r>
                    </w:p>
                    <w:p w14:paraId="665ED360" w14:textId="29FBAC6B" w:rsidR="00C550C5" w:rsidRPr="002B624C" w:rsidRDefault="00C550C5" w:rsidP="000A2BC9">
                      <w:pPr>
                        <w:spacing w:before="80"/>
                        <w:jc w:val="both"/>
                        <w:rPr>
                          <w:i/>
                          <w:iCs/>
                          <w:sz w:val="18"/>
                          <w:szCs w:val="18"/>
                        </w:rPr>
                      </w:pPr>
                      <w:proofErr w:type="gramStart"/>
                      <w:r>
                        <w:rPr>
                          <w:i/>
                          <w:iCs/>
                          <w:sz w:val="18"/>
                          <w:szCs w:val="18"/>
                        </w:rPr>
                        <w:t>Source:</w:t>
                      </w:r>
                      <w:proofErr w:type="gramEnd"/>
                      <w:r>
                        <w:rPr>
                          <w:i/>
                          <w:iCs/>
                          <w:sz w:val="18"/>
                          <w:szCs w:val="18"/>
                        </w:rPr>
                        <w:t xml:space="preserve"> "</w:t>
                      </w:r>
                      <w:proofErr w:type="gramStart"/>
                      <w:r>
                        <w:rPr>
                          <w:i/>
                          <w:iCs/>
                          <w:sz w:val="18"/>
                          <w:szCs w:val="18"/>
                        </w:rPr>
                        <w:t>Space:</w:t>
                      </w:r>
                      <w:proofErr w:type="gramEnd"/>
                      <w:r>
                        <w:rPr>
                          <w:i/>
                          <w:iCs/>
                          <w:sz w:val="18"/>
                          <w:szCs w:val="18"/>
                        </w:rPr>
                        <w:t xml:space="preserve"> The $1.8 Trillion Opportunity for Global Economic Growth" (</w:t>
                      </w:r>
                      <w:proofErr w:type="gramStart"/>
                      <w:r>
                        <w:rPr>
                          <w:i/>
                          <w:iCs/>
                          <w:sz w:val="18"/>
                          <w:szCs w:val="18"/>
                        </w:rPr>
                        <w:t>L</w:t>
                      </w:r>
                      <w:r w:rsidR="00230D1A">
                        <w:rPr>
                          <w:i/>
                          <w:iCs/>
                          <w:sz w:val="18"/>
                          <w:szCs w:val="18"/>
                        </w:rPr>
                        <w:t>'</w:t>
                      </w:r>
                      <w:r>
                        <w:rPr>
                          <w:i/>
                          <w:iCs/>
                          <w:sz w:val="18"/>
                          <w:szCs w:val="18"/>
                        </w:rPr>
                        <w:t>espace:</w:t>
                      </w:r>
                      <w:proofErr w:type="gramEnd"/>
                      <w:r>
                        <w:rPr>
                          <w:i/>
                          <w:iCs/>
                          <w:sz w:val="18"/>
                          <w:szCs w:val="18"/>
                        </w:rPr>
                        <w:t xml:space="preserve"> des perspectives à de 1</w:t>
                      </w:r>
                      <w:r w:rsidR="002A06C7">
                        <w:rPr>
                          <w:i/>
                          <w:iCs/>
                          <w:sz w:val="18"/>
                          <w:szCs w:val="18"/>
                        </w:rPr>
                        <w:t> </w:t>
                      </w:r>
                      <w:r>
                        <w:rPr>
                          <w:i/>
                          <w:iCs/>
                          <w:sz w:val="18"/>
                          <w:szCs w:val="18"/>
                        </w:rPr>
                        <w:t>800 milliards de dollars pour la croissance économique mondiale).</w:t>
                      </w:r>
                      <w:r>
                        <w:rPr>
                          <w:sz w:val="18"/>
                          <w:szCs w:val="18"/>
                        </w:rPr>
                        <w:t xml:space="preserve"> </w:t>
                      </w:r>
                      <w:r>
                        <w:rPr>
                          <w:i/>
                          <w:iCs/>
                          <w:sz w:val="18"/>
                          <w:szCs w:val="18"/>
                        </w:rPr>
                        <w:t xml:space="preserve">Forum économique mondial, avril 2024 et </w:t>
                      </w:r>
                      <w:r w:rsidR="0051199F">
                        <w:rPr>
                          <w:i/>
                          <w:iCs/>
                          <w:sz w:val="18"/>
                          <w:szCs w:val="18"/>
                        </w:rPr>
                        <w:t>"</w:t>
                      </w:r>
                      <w:r>
                        <w:rPr>
                          <w:i/>
                          <w:iCs/>
                          <w:sz w:val="18"/>
                          <w:szCs w:val="18"/>
                        </w:rPr>
                        <w:t xml:space="preserve">La situation </w:t>
                      </w:r>
                      <w:proofErr w:type="gramStart"/>
                      <w:r>
                        <w:rPr>
                          <w:i/>
                          <w:iCs/>
                          <w:sz w:val="18"/>
                          <w:szCs w:val="18"/>
                        </w:rPr>
                        <w:t>du large bande</w:t>
                      </w:r>
                      <w:proofErr w:type="gramEnd"/>
                      <w:r>
                        <w:rPr>
                          <w:i/>
                          <w:iCs/>
                          <w:sz w:val="18"/>
                          <w:szCs w:val="18"/>
                        </w:rPr>
                        <w:t xml:space="preserve"> par satellite</w:t>
                      </w:r>
                      <w:r w:rsidR="0051199F">
                        <w:rPr>
                          <w:i/>
                          <w:iCs/>
                          <w:sz w:val="18"/>
                          <w:szCs w:val="18"/>
                        </w:rPr>
                        <w:t>"</w:t>
                      </w:r>
                      <w:r>
                        <w:rPr>
                          <w:i/>
                          <w:iCs/>
                          <w:sz w:val="18"/>
                          <w:szCs w:val="18"/>
                        </w:rPr>
                        <w:t>, Union internationale des télécommunications et Organisation des Nations Unies pour l</w:t>
                      </w:r>
                      <w:r w:rsidR="00230D1A">
                        <w:rPr>
                          <w:i/>
                          <w:iCs/>
                          <w:sz w:val="18"/>
                          <w:szCs w:val="18"/>
                        </w:rPr>
                        <w:t>'</w:t>
                      </w:r>
                      <w:r>
                        <w:rPr>
                          <w:i/>
                          <w:iCs/>
                          <w:sz w:val="18"/>
                          <w:szCs w:val="18"/>
                        </w:rPr>
                        <w:t>éducation, la science et la culture</w:t>
                      </w:r>
                      <w:r w:rsidR="002A06C7">
                        <w:rPr>
                          <w:i/>
                          <w:iCs/>
                          <w:sz w:val="18"/>
                          <w:szCs w:val="18"/>
                        </w:rPr>
                        <w:t>,</w:t>
                      </w:r>
                      <w:r>
                        <w:rPr>
                          <w:i/>
                          <w:iCs/>
                          <w:sz w:val="18"/>
                          <w:szCs w:val="18"/>
                        </w:rPr>
                        <w:t xml:space="preserve"> 2025.</w:t>
                      </w:r>
                    </w:p>
                  </w:txbxContent>
                </v:textbox>
                <w10:wrap type="square" anchorx="margin"/>
              </v:shape>
            </w:pict>
          </mc:Fallback>
        </mc:AlternateContent>
      </w:r>
      <w:r w:rsidR="00C550C5" w:rsidRPr="00AA1DF1">
        <w:rPr>
          <w:szCs w:val="24"/>
        </w:rPr>
        <w:t>7.1</w:t>
      </w:r>
      <w:r w:rsidR="00C550C5" w:rsidRPr="00AA1DF1">
        <w:rPr>
          <w:szCs w:val="24"/>
        </w:rPr>
        <w:tab/>
        <w:t>La connectivité spatiale est devenue fondamentale pour parvenir à l</w:t>
      </w:r>
      <w:r w:rsidR="00230D1A" w:rsidRPr="00AA1DF1">
        <w:rPr>
          <w:szCs w:val="24"/>
        </w:rPr>
        <w:t>'</w:t>
      </w:r>
      <w:r w:rsidR="00C550C5" w:rsidRPr="00AA1DF1">
        <w:rPr>
          <w:szCs w:val="24"/>
        </w:rPr>
        <w:t>inclusion numérique dans le monde. Les technologies satellitaires jouent un rôle de transformation dans la fourniture de la connectivité universelle, en particulier dans les zones non desservies ou mal desservies, où le déploiement de l</w:t>
      </w:r>
      <w:r w:rsidR="00230D1A" w:rsidRPr="00AA1DF1">
        <w:rPr>
          <w:szCs w:val="24"/>
        </w:rPr>
        <w:t>'</w:t>
      </w:r>
      <w:r w:rsidR="00C550C5" w:rsidRPr="00AA1DF1">
        <w:rPr>
          <w:szCs w:val="24"/>
        </w:rPr>
        <w:t>infrastructure de Terre se heurte à des défis géographiques, techniques et/ou économiques.</w:t>
      </w:r>
    </w:p>
    <w:p w14:paraId="0C28C53E" w14:textId="3C178CD9" w:rsidR="00C550C5" w:rsidRPr="00AA1DF1" w:rsidRDefault="00C550C5" w:rsidP="000A2BC9">
      <w:pPr>
        <w:tabs>
          <w:tab w:val="clear" w:pos="567"/>
          <w:tab w:val="left" w:pos="851"/>
        </w:tabs>
        <w:jc w:val="both"/>
        <w:rPr>
          <w:rFonts w:asciiTheme="minorHAnsi" w:eastAsiaTheme="minorEastAsia" w:hAnsiTheme="minorHAnsi" w:cstheme="minorBidi"/>
          <w:szCs w:val="24"/>
        </w:rPr>
      </w:pPr>
      <w:r w:rsidRPr="00AA1DF1">
        <w:rPr>
          <w:szCs w:val="24"/>
        </w:rPr>
        <w:t>7.2</w:t>
      </w:r>
      <w:r w:rsidRPr="00AA1DF1">
        <w:rPr>
          <w:szCs w:val="24"/>
        </w:rPr>
        <w:tab/>
        <w:t>Le paysage de la connectivité spatiale évolue rapidement avec le déploiement de satellites à très haut débit en orbite géostationnaire (OSG), les progrès réalisés dans les constellations de satellites non géostationnaires (non OSG), y compris en orbite terrestre basse (LEO) et en orbite terrestre moyenne (MEO), et les partenariats commerciaux innovants entre fournisseurs de télécommunications par satellite et de Terre.</w:t>
      </w:r>
    </w:p>
    <w:p w14:paraId="1323A628" w14:textId="7A61D131" w:rsidR="00C550C5" w:rsidRPr="00AA1DF1" w:rsidRDefault="00C550C5" w:rsidP="000A2BC9">
      <w:pPr>
        <w:tabs>
          <w:tab w:val="clear" w:pos="567"/>
          <w:tab w:val="left" w:pos="851"/>
        </w:tabs>
        <w:jc w:val="both"/>
        <w:rPr>
          <w:rFonts w:asciiTheme="minorHAnsi" w:eastAsiaTheme="minorEastAsia" w:hAnsiTheme="minorHAnsi" w:cstheme="minorBidi"/>
          <w:szCs w:val="24"/>
        </w:rPr>
      </w:pPr>
      <w:r w:rsidRPr="00AA1DF1">
        <w:rPr>
          <w:szCs w:val="24"/>
        </w:rPr>
        <w:t>7.3</w:t>
      </w:r>
      <w:r w:rsidRPr="00AA1DF1">
        <w:rPr>
          <w:szCs w:val="24"/>
        </w:rPr>
        <w:tab/>
        <w:t>L</w:t>
      </w:r>
      <w:r w:rsidR="00230D1A" w:rsidRPr="00AA1DF1">
        <w:rPr>
          <w:szCs w:val="24"/>
        </w:rPr>
        <w:t>'</w:t>
      </w:r>
      <w:r w:rsidRPr="00AA1DF1">
        <w:rPr>
          <w:szCs w:val="24"/>
        </w:rPr>
        <w:t>intégration des réseaux à satellite et des réseaux de Terre ouvre de nouvelles possibilités en matière de connectivité. Ces avancées sont particulièrement importantes car elles permettent d</w:t>
      </w:r>
      <w:r w:rsidR="00230D1A" w:rsidRPr="00AA1DF1">
        <w:rPr>
          <w:szCs w:val="24"/>
        </w:rPr>
        <w:t>'</w:t>
      </w:r>
      <w:r w:rsidRPr="00AA1DF1">
        <w:rPr>
          <w:szCs w:val="24"/>
        </w:rPr>
        <w:t>établir des communications rentables et fiables dans des zones où le déploiement de l</w:t>
      </w:r>
      <w:r w:rsidR="00230D1A" w:rsidRPr="00AA1DF1">
        <w:rPr>
          <w:szCs w:val="24"/>
        </w:rPr>
        <w:t>'</w:t>
      </w:r>
      <w:r w:rsidRPr="00AA1DF1">
        <w:rPr>
          <w:szCs w:val="24"/>
        </w:rPr>
        <w:t>infrastructure de Terre seule est difficile du point de vue technique ou impossible sur le plan économique.</w:t>
      </w:r>
    </w:p>
    <w:p w14:paraId="59A9FCB5" w14:textId="31B25F19" w:rsidR="00C550C5" w:rsidRPr="00AA1DF1" w:rsidRDefault="00C550C5" w:rsidP="000A2BC9">
      <w:pPr>
        <w:tabs>
          <w:tab w:val="clear" w:pos="567"/>
          <w:tab w:val="left" w:pos="851"/>
        </w:tabs>
        <w:jc w:val="both"/>
        <w:rPr>
          <w:rFonts w:asciiTheme="minorHAnsi" w:eastAsiaTheme="minorEastAsia" w:hAnsiTheme="minorHAnsi" w:cstheme="minorBidi"/>
          <w:szCs w:val="24"/>
        </w:rPr>
      </w:pPr>
      <w:r w:rsidRPr="00AA1DF1">
        <w:rPr>
          <w:szCs w:val="24"/>
        </w:rPr>
        <w:t>7.4</w:t>
      </w:r>
      <w:r w:rsidRPr="00AA1DF1">
        <w:rPr>
          <w:szCs w:val="24"/>
        </w:rPr>
        <w:tab/>
        <w:t>Les pays adoptent de plus en plus des programmes de réglementation tournés vers l</w:t>
      </w:r>
      <w:r w:rsidR="00230D1A" w:rsidRPr="00AA1DF1">
        <w:rPr>
          <w:szCs w:val="24"/>
        </w:rPr>
        <w:t>'</w:t>
      </w:r>
      <w:r w:rsidRPr="00AA1DF1">
        <w:rPr>
          <w:szCs w:val="24"/>
        </w:rPr>
        <w:t xml:space="preserve">avenir qui recouvrent de multiples aspects, </w:t>
      </w:r>
      <w:proofErr w:type="gramStart"/>
      <w:r w:rsidRPr="00AA1DF1">
        <w:rPr>
          <w:szCs w:val="24"/>
        </w:rPr>
        <w:t>notamment:</w:t>
      </w:r>
      <w:proofErr w:type="gramEnd"/>
    </w:p>
    <w:p w14:paraId="6950A416" w14:textId="79B28409" w:rsidR="00C550C5" w:rsidRPr="00AA1DF1" w:rsidRDefault="00C550C5" w:rsidP="000A2BC9">
      <w:pPr>
        <w:pStyle w:val="enumlev1"/>
        <w:jc w:val="both"/>
        <w:rPr>
          <w:rFonts w:eastAsiaTheme="minorEastAsia"/>
        </w:rPr>
      </w:pPr>
      <w:r w:rsidRPr="00AA1DF1">
        <w:t>–</w:t>
      </w:r>
      <w:r w:rsidRPr="00AA1DF1">
        <w:tab/>
        <w:t>des procédures d</w:t>
      </w:r>
      <w:r w:rsidR="00230D1A" w:rsidRPr="00AA1DF1">
        <w:t>'</w:t>
      </w:r>
      <w:r w:rsidRPr="00AA1DF1">
        <w:t xml:space="preserve">autorisation efficaces pour les systèmes OSG et non OSG et les mécanismes visant à stimuler les investissements dans les infrastructures </w:t>
      </w:r>
      <w:proofErr w:type="gramStart"/>
      <w:r w:rsidRPr="00AA1DF1">
        <w:t>spatiales;</w:t>
      </w:r>
      <w:proofErr w:type="gramEnd"/>
    </w:p>
    <w:p w14:paraId="55B3D541" w14:textId="563B9211" w:rsidR="00C550C5" w:rsidRPr="00AA1DF1" w:rsidRDefault="00C550C5" w:rsidP="000A2BC9">
      <w:pPr>
        <w:pStyle w:val="enumlev1"/>
        <w:jc w:val="both"/>
        <w:rPr>
          <w:rFonts w:eastAsiaTheme="minorEastAsia"/>
        </w:rPr>
      </w:pPr>
      <w:r w:rsidRPr="00AA1DF1">
        <w:t>–</w:t>
      </w:r>
      <w:r w:rsidRPr="00AA1DF1">
        <w:tab/>
        <w:t xml:space="preserve">des exigences concernant les dispositions relatives à la sécurité et à la protection des données pour les partenariats et les collaborations du </w:t>
      </w:r>
      <w:proofErr w:type="gramStart"/>
      <w:r w:rsidRPr="00AA1DF1">
        <w:t>secteur;</w:t>
      </w:r>
      <w:proofErr w:type="gramEnd"/>
    </w:p>
    <w:p w14:paraId="6F0902B7" w14:textId="6695FC5A" w:rsidR="00C550C5" w:rsidRPr="00AA1DF1" w:rsidRDefault="00C550C5" w:rsidP="000A2BC9">
      <w:pPr>
        <w:pStyle w:val="enumlev1"/>
        <w:jc w:val="both"/>
        <w:rPr>
          <w:rFonts w:eastAsiaTheme="minorEastAsia"/>
        </w:rPr>
      </w:pPr>
      <w:r w:rsidRPr="00AA1DF1">
        <w:t>–</w:t>
      </w:r>
      <w:r w:rsidRPr="00AA1DF1">
        <w:tab/>
        <w:t>des mesures visant à protéger et à optimiser les réseaux existants tout en permettant l</w:t>
      </w:r>
      <w:r w:rsidR="00230D1A" w:rsidRPr="00AA1DF1">
        <w:t>'</w:t>
      </w:r>
      <w:r w:rsidRPr="00AA1DF1">
        <w:t>apparition de nouveaux services et de nouvelles technologies de télécommunication/TIC liés à la connectivité.</w:t>
      </w:r>
    </w:p>
    <w:p w14:paraId="47BA1A18" w14:textId="5532A7BB" w:rsidR="00C550C5" w:rsidRPr="00AA1DF1" w:rsidRDefault="00C550C5" w:rsidP="000A2BC9">
      <w:pPr>
        <w:tabs>
          <w:tab w:val="clear" w:pos="567"/>
          <w:tab w:val="left" w:pos="851"/>
        </w:tabs>
        <w:jc w:val="both"/>
        <w:rPr>
          <w:rFonts w:asciiTheme="minorHAnsi" w:eastAsiaTheme="minorEastAsia" w:hAnsiTheme="minorHAnsi" w:cstheme="minorBidi"/>
          <w:szCs w:val="24"/>
        </w:rPr>
      </w:pPr>
      <w:r w:rsidRPr="00AA1DF1">
        <w:rPr>
          <w:szCs w:val="24"/>
        </w:rPr>
        <w:t>7.5</w:t>
      </w:r>
      <w:r w:rsidRPr="00AA1DF1">
        <w:rPr>
          <w:szCs w:val="24"/>
        </w:rPr>
        <w:tab/>
        <w:t>Les progrès réalisés dans le domaine de la connectivité spatiale doivent également favoriser la durabilité spatiale afin de garantir l</w:t>
      </w:r>
      <w:r w:rsidR="00230D1A" w:rsidRPr="00AA1DF1">
        <w:rPr>
          <w:szCs w:val="24"/>
        </w:rPr>
        <w:t>'</w:t>
      </w:r>
      <w:r w:rsidRPr="00AA1DF1">
        <w:rPr>
          <w:szCs w:val="24"/>
        </w:rPr>
        <w:t>accessibilité à long terme des ressources orbitales.</w:t>
      </w:r>
    </w:p>
    <w:p w14:paraId="4987EF0C" w14:textId="34884F18" w:rsidR="00C550C5" w:rsidRPr="00AA1DF1" w:rsidRDefault="00C550C5" w:rsidP="000A2BC9">
      <w:pPr>
        <w:tabs>
          <w:tab w:val="clear" w:pos="567"/>
          <w:tab w:val="left" w:pos="851"/>
        </w:tabs>
        <w:jc w:val="both"/>
        <w:rPr>
          <w:szCs w:val="24"/>
        </w:rPr>
      </w:pPr>
      <w:r w:rsidRPr="00AA1DF1">
        <w:rPr>
          <w:szCs w:val="24"/>
        </w:rPr>
        <w:t>7.6</w:t>
      </w:r>
      <w:r w:rsidRPr="00AA1DF1">
        <w:rPr>
          <w:szCs w:val="24"/>
        </w:rPr>
        <w:tab/>
        <w:t>La connectivité spatiale joue un rôle essentiel dans la préparation aux catastrophes, les systèmes d</w:t>
      </w:r>
      <w:r w:rsidR="00230D1A" w:rsidRPr="00AA1DF1">
        <w:rPr>
          <w:szCs w:val="24"/>
        </w:rPr>
        <w:t>'</w:t>
      </w:r>
      <w:r w:rsidRPr="00AA1DF1">
        <w:rPr>
          <w:szCs w:val="24"/>
        </w:rPr>
        <w:t>alerte avancée et la surveillance du climat, en particulier dans les régions dépourvues d</w:t>
      </w:r>
      <w:r w:rsidR="00230D1A" w:rsidRPr="00AA1DF1">
        <w:rPr>
          <w:szCs w:val="24"/>
        </w:rPr>
        <w:t>'</w:t>
      </w:r>
      <w:r w:rsidRPr="00AA1DF1">
        <w:rPr>
          <w:szCs w:val="24"/>
        </w:rPr>
        <w:t>infrastructures terrestres solides. Le renforcement de l</w:t>
      </w:r>
      <w:r w:rsidR="00230D1A" w:rsidRPr="00AA1DF1">
        <w:rPr>
          <w:szCs w:val="24"/>
        </w:rPr>
        <w:t>'</w:t>
      </w:r>
      <w:r w:rsidRPr="00AA1DF1">
        <w:rPr>
          <w:szCs w:val="24"/>
        </w:rPr>
        <w:t>échange volontaire de données sur l</w:t>
      </w:r>
      <w:r w:rsidR="00230D1A" w:rsidRPr="00AA1DF1">
        <w:rPr>
          <w:szCs w:val="24"/>
        </w:rPr>
        <w:t>'</w:t>
      </w:r>
      <w:r w:rsidRPr="00AA1DF1">
        <w:rPr>
          <w:szCs w:val="24"/>
        </w:rPr>
        <w:t>environnement et les informations relatives aux catastrophes dans le cadre des activités de connectivité spatiale peut améliorer la résilience et la coopération mondiale.</w:t>
      </w:r>
    </w:p>
    <w:p w14:paraId="64DA6C4F" w14:textId="77777777" w:rsidR="00495100" w:rsidRPr="00AA1DF1" w:rsidRDefault="00495100" w:rsidP="000A2BC9">
      <w:pPr>
        <w:tabs>
          <w:tab w:val="clear" w:pos="567"/>
          <w:tab w:val="left" w:pos="851"/>
        </w:tabs>
        <w:jc w:val="both"/>
      </w:pPr>
      <w:r w:rsidRPr="00AA1DF1">
        <w:rPr>
          <w:szCs w:val="24"/>
        </w:rPr>
        <w:t>7.7</w:t>
      </w:r>
      <w:r w:rsidRPr="00AA1DF1">
        <w:rPr>
          <w:szCs w:val="24"/>
        </w:rPr>
        <w:tab/>
      </w:r>
      <w:r w:rsidRPr="00AA1DF1">
        <w:t>Alors que la connectivité spatiale se développe, il est essentiel de favoriser la confiance, la transparence et la coopération pacifique entre les acteurs pour garantir que les nouvelles technologies contribuent au développement inclusif et durable.</w:t>
      </w:r>
    </w:p>
    <w:p w14:paraId="2A7A0B8F" w14:textId="77777777" w:rsidR="00495100" w:rsidRPr="00AA1DF1" w:rsidRDefault="00495100" w:rsidP="000A2BC9">
      <w:pPr>
        <w:tabs>
          <w:tab w:val="clear" w:pos="567"/>
          <w:tab w:val="left" w:pos="851"/>
        </w:tabs>
        <w:jc w:val="both"/>
      </w:pPr>
      <w:r w:rsidRPr="00AA1DF1">
        <w:lastRenderedPageBreak/>
        <w:t>7.8</w:t>
      </w:r>
      <w:r w:rsidRPr="00AA1DF1">
        <w:tab/>
        <w:t xml:space="preserve">Au cours du débat sur la connectivité spatiale, les membres du GEI ont examiné l'intersection entre la connectivité spatiale et les cadres réglementaires nationaux, en exprimant des points de vue divergents sur l'inclusion d'un langage lié à la sécurité. Certains membres du GEI ont souligné que le déploiement rapide de constellations de satellites non OSG soulevait des questions de sécurité nationale et imposait des exigences en matière de sécurité des données qui doivent être prises en compte afin de garantir une approche réglementaire équilibrée. À l'inverse, certains membres du GEI se sont opposés à l'intégration des aspects liés à la sécurité et à la protection des données, faisant valoir que ces questions ne relevaient pas du mandat technique de l'UIT mais plutôt de la politique souveraine de chaque État. Ce débat s'est étendu à la question de l'affirmation des droits souverains dans le cadre de l'autorisation des services par </w:t>
      </w:r>
      <w:proofErr w:type="gramStart"/>
      <w:r w:rsidRPr="00AA1DF1">
        <w:t>satellite:</w:t>
      </w:r>
      <w:proofErr w:type="gramEnd"/>
      <w:r w:rsidRPr="00AA1DF1">
        <w:t xml:space="preserve"> certains membres du GEI ont estimé que de telles références étaient superflues, tandis que d'autres ont soutenu qu'une référence explicite était nécessaire pour préserver le principe de souveraineté dans le contexte des technologies spatiales émergentes. Il est pris note de ces divergences de vues ici.</w:t>
      </w:r>
    </w:p>
    <w:p w14:paraId="271A4644" w14:textId="77777777" w:rsidR="00495100" w:rsidRPr="00AA1DF1" w:rsidRDefault="00495100" w:rsidP="000A2BC9">
      <w:pPr>
        <w:tabs>
          <w:tab w:val="clear" w:pos="567"/>
          <w:tab w:val="left" w:pos="851"/>
        </w:tabs>
        <w:jc w:val="both"/>
      </w:pPr>
      <w:r w:rsidRPr="00AA1DF1">
        <w:t>7.9</w:t>
      </w:r>
      <w:r w:rsidRPr="00AA1DF1">
        <w:tab/>
        <w:t>Les membres du GEI ont exprimé des vues divergentes quant à la nécessité d'inclure des références spécifiques à l'accès non discriminatoire et équitable aux ressources orbitales et spectrales, ainsi que des références aux débris orbitaux et à l'atténuation de ses effets.</w:t>
      </w:r>
    </w:p>
    <w:p w14:paraId="360665F6" w14:textId="04BCC4C0" w:rsidR="00495100" w:rsidRDefault="00495100" w:rsidP="000A2BC9">
      <w:pPr>
        <w:tabs>
          <w:tab w:val="clear" w:pos="567"/>
          <w:tab w:val="left" w:pos="851"/>
        </w:tabs>
        <w:spacing w:after="120"/>
        <w:jc w:val="both"/>
      </w:pPr>
      <w:r w:rsidRPr="00AA1DF1">
        <w:t>7.10</w:t>
      </w:r>
      <w:r w:rsidRPr="00AA1DF1">
        <w:tab/>
        <w:t>Les membres du GEI se sont également penchés sur le rôle du transfert de technologie à l'appui du développement de l'infrastructure satellitaire et de l'infrastructure de télécommunication, en exprimant des points de vue divergents sur le cadre du transfert de technologie.</w:t>
      </w:r>
    </w:p>
    <w:p w14:paraId="2EFCE051" w14:textId="7234F1BF" w:rsidR="000A2BC9" w:rsidRPr="00AA1DF1" w:rsidRDefault="000A2BC9" w:rsidP="000A2BC9">
      <w:pPr>
        <w:tabs>
          <w:tab w:val="clear" w:pos="567"/>
          <w:tab w:val="left" w:pos="851"/>
        </w:tabs>
        <w:spacing w:after="360"/>
        <w:jc w:val="center"/>
      </w:pPr>
      <w:r w:rsidRPr="00AA1DF1">
        <w:rPr>
          <w:rFonts w:asciiTheme="minorHAnsi" w:eastAsiaTheme="minorEastAsia" w:hAnsiTheme="minorHAnsi" w:cstheme="minorBidi"/>
          <w:noProof/>
          <w:sz w:val="22"/>
          <w:szCs w:val="22"/>
          <w:lang w:eastAsia="zh-CN"/>
        </w:rPr>
        <mc:AlternateContent>
          <mc:Choice Requires="wps">
            <w:drawing>
              <wp:inline distT="0" distB="0" distL="0" distR="0" wp14:anchorId="742B22EC" wp14:editId="35E79F5C">
                <wp:extent cx="5483860" cy="1876425"/>
                <wp:effectExtent l="0" t="0" r="21590" b="28575"/>
                <wp:docPr id="12499387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3860" cy="1876425"/>
                        </a:xfrm>
                        <a:prstGeom prst="rect">
                          <a:avLst/>
                        </a:prstGeom>
                        <a:solidFill>
                          <a:srgbClr val="FFFFFF"/>
                        </a:solidFill>
                        <a:ln w="12700">
                          <a:solidFill>
                            <a:srgbClr val="9BBB59"/>
                          </a:solidFill>
                          <a:miter lim="800000"/>
                          <a:headEnd/>
                          <a:tailEnd/>
                        </a:ln>
                      </wps:spPr>
                      <wps:txbx>
                        <w:txbxContent>
                          <w:p w14:paraId="1F6A8BE3" w14:textId="77777777" w:rsidR="000A2BC9" w:rsidRPr="007E0D2A" w:rsidRDefault="000A2BC9" w:rsidP="000A2BC9">
                            <w:pPr>
                              <w:spacing w:after="120"/>
                              <w:jc w:val="both"/>
                              <w:rPr>
                                <w:color w:val="9BBB59" w:themeColor="accent3"/>
                                <w:sz w:val="22"/>
                                <w:szCs w:val="22"/>
                                <w:lang w:val="fr-CH"/>
                              </w:rPr>
                            </w:pPr>
                            <w:r w:rsidRPr="007E0D2A">
                              <w:rPr>
                                <w:color w:val="9BBB59" w:themeColor="accent3"/>
                                <w:sz w:val="22"/>
                                <w:szCs w:val="22"/>
                              </w:rPr>
                              <w:t xml:space="preserve">Étude de </w:t>
                            </w:r>
                            <w:proofErr w:type="gramStart"/>
                            <w:r w:rsidRPr="007E0D2A">
                              <w:rPr>
                                <w:color w:val="9BBB59" w:themeColor="accent3"/>
                                <w:sz w:val="22"/>
                                <w:szCs w:val="22"/>
                              </w:rPr>
                              <w:t>cas:</w:t>
                            </w:r>
                            <w:proofErr w:type="gramEnd"/>
                            <w:r w:rsidRPr="007E0D2A">
                              <w:rPr>
                                <w:color w:val="9BBB59" w:themeColor="accent3"/>
                                <w:sz w:val="22"/>
                                <w:szCs w:val="22"/>
                              </w:rPr>
                              <w:t xml:space="preserve"> Forum sur la durabilité spatiale</w:t>
                            </w:r>
                          </w:p>
                          <w:p w14:paraId="55853451" w14:textId="77777777" w:rsidR="000A2BC9" w:rsidRPr="007E0D2A" w:rsidRDefault="000A2BC9" w:rsidP="000A2BC9">
                            <w:pPr>
                              <w:spacing w:after="120"/>
                              <w:rPr>
                                <w:sz w:val="22"/>
                                <w:szCs w:val="22"/>
                                <w:lang w:val="fr-CH"/>
                              </w:rPr>
                            </w:pPr>
                            <w:r w:rsidRPr="007E0D2A">
                              <w:rPr>
                                <w:sz w:val="22"/>
                                <w:szCs w:val="22"/>
                              </w:rPr>
                              <w:t xml:space="preserve">Le </w:t>
                            </w:r>
                            <w:hyperlink r:id="rId44" w:anchor="/fr" w:history="1">
                              <w:r w:rsidRPr="007E0D2A">
                                <w:rPr>
                                  <w:rStyle w:val="Hyperlink"/>
                                  <w:sz w:val="22"/>
                                  <w:szCs w:val="22"/>
                                </w:rPr>
                                <w:t>Forum sur la durabilité spatiale</w:t>
                              </w:r>
                            </w:hyperlink>
                            <w:r w:rsidRPr="007E0D2A">
                              <w:rPr>
                                <w:sz w:val="22"/>
                                <w:szCs w:val="22"/>
                              </w:rPr>
                              <w:t xml:space="preserve"> a rassemblé des hauts responsables et d'éminents spécialistes du secteur des satellites et du secteur spatial, des agences spatiales, des organisations de télécommunication, des pouvoirs publics et des autres parties prenantes du secteur spatial qui sont engagés en faveur de l'utilisation responsable de l'espace extra</w:t>
                            </w:r>
                            <w:r>
                              <w:rPr>
                                <w:sz w:val="22"/>
                                <w:szCs w:val="22"/>
                              </w:rPr>
                              <w:noBreakHyphen/>
                            </w:r>
                            <w:r w:rsidRPr="007E0D2A">
                              <w:rPr>
                                <w:sz w:val="22"/>
                                <w:szCs w:val="22"/>
                              </w:rPr>
                              <w:t>atmosphérique. Les deux éditions du Forum ont offert un cadre pour examiner et explorer les politiques, les bonnes pratiques, les lignes directrices et les stratégies nécessaires pour faire en sorte que l'espace reste accessible et son utilisation durable pour l'éventail toujours plus large d'activités spatiales envisagées aujourd'hui et à l'avenir.</w:t>
                            </w:r>
                            <w:hyperlink r:id="rId45" w:history="1"/>
                          </w:p>
                        </w:txbxContent>
                      </wps:txbx>
                      <wps:bodyPr rot="0" vert="horz" wrap="square" lIns="91440" tIns="45720" rIns="91440" bIns="45720" anchor="t" anchorCtr="0" upright="1">
                        <a:noAutofit/>
                      </wps:bodyPr>
                    </wps:wsp>
                  </a:graphicData>
                </a:graphic>
              </wp:inline>
            </w:drawing>
          </mc:Choice>
          <mc:Fallback>
            <w:pict>
              <v:shape w14:anchorId="742B22EC" id="_x0000_s1036" type="#_x0000_t202" style="width:431.8pt;height:14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" strokecolor="#9bbb59" strokeweight="1pt">
                <v:textbox>
                  <w:txbxContent>
                    <w:p w14:paraId="1F6A8BE3" w14:textId="77777777" w:rsidR="000A2BC9" w:rsidRPr="007E0D2A" w:rsidRDefault="000A2BC9" w:rsidP="000A2BC9">
                      <w:pPr>
                        <w:spacing w:after="120"/>
                        <w:jc w:val="both"/>
                        <w:rPr>
                          <w:color w:val="9BBB59" w:themeColor="accent3"/>
                          <w:sz w:val="22"/>
                          <w:szCs w:val="22"/>
                          <w:lang w:val="fr-CH"/>
                        </w:rPr>
                      </w:pPr>
                      <w:r w:rsidRPr="007E0D2A">
                        <w:rPr>
                          <w:color w:val="9BBB59" w:themeColor="accent3"/>
                          <w:sz w:val="22"/>
                          <w:szCs w:val="22"/>
                        </w:rPr>
                        <w:t xml:space="preserve">Étude de </w:t>
                      </w:r>
                      <w:proofErr w:type="gramStart"/>
                      <w:r w:rsidRPr="007E0D2A">
                        <w:rPr>
                          <w:color w:val="9BBB59" w:themeColor="accent3"/>
                          <w:sz w:val="22"/>
                          <w:szCs w:val="22"/>
                        </w:rPr>
                        <w:t>cas:</w:t>
                      </w:r>
                      <w:proofErr w:type="gramEnd"/>
                      <w:r w:rsidRPr="007E0D2A">
                        <w:rPr>
                          <w:color w:val="9BBB59" w:themeColor="accent3"/>
                          <w:sz w:val="22"/>
                          <w:szCs w:val="22"/>
                        </w:rPr>
                        <w:t xml:space="preserve"> Forum sur la durabilité spatiale</w:t>
                      </w:r>
                    </w:p>
                    <w:p w14:paraId="55853451" w14:textId="77777777" w:rsidR="000A2BC9" w:rsidRPr="007E0D2A" w:rsidRDefault="000A2BC9" w:rsidP="000A2BC9">
                      <w:pPr>
                        <w:spacing w:after="120"/>
                        <w:rPr>
                          <w:sz w:val="22"/>
                          <w:szCs w:val="22"/>
                          <w:lang w:val="fr-CH"/>
                        </w:rPr>
                      </w:pPr>
                      <w:r w:rsidRPr="007E0D2A">
                        <w:rPr>
                          <w:sz w:val="22"/>
                          <w:szCs w:val="22"/>
                        </w:rPr>
                        <w:t xml:space="preserve">Le </w:t>
                      </w:r>
                      <w:hyperlink r:id="rId46" w:anchor="/fr" w:history="1">
                        <w:r w:rsidRPr="007E0D2A">
                          <w:rPr>
                            <w:rStyle w:val="Hyperlink"/>
                            <w:sz w:val="22"/>
                            <w:szCs w:val="22"/>
                          </w:rPr>
                          <w:t>Forum sur la durabilité spatiale</w:t>
                        </w:r>
                      </w:hyperlink>
                      <w:r w:rsidRPr="007E0D2A">
                        <w:rPr>
                          <w:sz w:val="22"/>
                          <w:szCs w:val="22"/>
                        </w:rPr>
                        <w:t xml:space="preserve"> a rassemblé des hauts responsables et d'éminents spécialistes du secteur des satellites et du secteur spatial, des agences spatiales, des organisations de télécommunication, des pouvoirs publics et des autres parties prenantes du secteur spatial qui sont engagés en faveur de l'utilisation responsable de l'espace extra</w:t>
                      </w:r>
                      <w:r>
                        <w:rPr>
                          <w:sz w:val="22"/>
                          <w:szCs w:val="22"/>
                        </w:rPr>
                        <w:noBreakHyphen/>
                      </w:r>
                      <w:r w:rsidRPr="007E0D2A">
                        <w:rPr>
                          <w:sz w:val="22"/>
                          <w:szCs w:val="22"/>
                        </w:rPr>
                        <w:t>atmosphérique. Les deux éditions du Forum ont offert un cadre pour examiner et explorer les politiques, les bonnes pratiques, les lignes directrices et les stratégies nécessaires pour faire en sorte que l'espace reste accessible et son utilisation durable pour l'éventail toujours plus large d'activités spatiales envisagées aujourd'hui et à l'avenir.</w:t>
                      </w:r>
                      <w:hyperlink r:id="rId47" w:history="1"/>
                    </w:p>
                  </w:txbxContent>
                </v:textbox>
                <w10:anchorlock/>
              </v:shape>
            </w:pict>
          </mc:Fallback>
        </mc:AlternateContent>
      </w:r>
    </w:p>
    <w:p w14:paraId="2E825E3E" w14:textId="77777777" w:rsidR="00495100" w:rsidRPr="00AA1DF1" w:rsidRDefault="00495100" w:rsidP="000A2BC9">
      <w:pPr>
        <w:jc w:val="both"/>
      </w:pPr>
      <w:r w:rsidRPr="00AA1DF1">
        <w:t>7.11</w:t>
      </w:r>
      <w:r w:rsidRPr="00AA1DF1">
        <w:tab/>
        <w:t xml:space="preserve">Alors que le secteur de la connectivité spatiale continue d'évoluer rapidement, plusieurs aspects importants doivent être pris en considération à l'intersection des progrès technologiques, de l'accès universel et de l'exploitation durable de </w:t>
      </w:r>
      <w:proofErr w:type="gramStart"/>
      <w:r w:rsidRPr="00AA1DF1">
        <w:t>l'espace:</w:t>
      </w:r>
      <w:proofErr w:type="gramEnd"/>
    </w:p>
    <w:p w14:paraId="5A663C20" w14:textId="77777777" w:rsidR="00495100" w:rsidRPr="00AA1DF1" w:rsidRDefault="00495100" w:rsidP="000A2BC9">
      <w:pPr>
        <w:tabs>
          <w:tab w:val="clear" w:pos="567"/>
          <w:tab w:val="left" w:pos="851"/>
        </w:tabs>
        <w:spacing w:after="120"/>
        <w:ind w:left="851" w:hanging="851"/>
        <w:jc w:val="both"/>
      </w:pPr>
      <w:r w:rsidRPr="00AA1DF1">
        <w:t>7.11.1</w:t>
      </w:r>
      <w:r w:rsidRPr="00AA1DF1">
        <w:tab/>
        <w:t>Les tendances et évolutions qui se font jour en matière de connectivité spatiale sont axées sur la création de solutions innovantes pour un avenir numérique inclusif et durable.</w:t>
      </w:r>
    </w:p>
    <w:p w14:paraId="1F1D7C08" w14:textId="77777777" w:rsidR="00495100" w:rsidRPr="00AA1DF1" w:rsidRDefault="00495100" w:rsidP="000A2BC9">
      <w:pPr>
        <w:tabs>
          <w:tab w:val="clear" w:pos="567"/>
          <w:tab w:val="left" w:pos="851"/>
        </w:tabs>
        <w:spacing w:after="120"/>
        <w:ind w:left="851" w:hanging="851"/>
        <w:jc w:val="both"/>
      </w:pPr>
      <w:r w:rsidRPr="00AA1DF1">
        <w:t>7.11.2</w:t>
      </w:r>
      <w:r w:rsidRPr="00AA1DF1">
        <w:tab/>
        <w:t>Réduire la fracture numérique grâce à la connectivité spatiale peut contribuer à répondre aux besoins des communautés non desservies ou mal desservies.</w:t>
      </w:r>
    </w:p>
    <w:p w14:paraId="492C01AB" w14:textId="77777777" w:rsidR="00495100" w:rsidRPr="00AA1DF1" w:rsidRDefault="00495100" w:rsidP="000A2BC9">
      <w:pPr>
        <w:tabs>
          <w:tab w:val="clear" w:pos="567"/>
          <w:tab w:val="left" w:pos="851"/>
        </w:tabs>
        <w:spacing w:after="120"/>
        <w:ind w:left="851" w:hanging="851"/>
        <w:jc w:val="both"/>
      </w:pPr>
      <w:r w:rsidRPr="00AA1DF1">
        <w:t>7.11.3</w:t>
      </w:r>
      <w:r w:rsidRPr="00AA1DF1">
        <w:tab/>
        <w:t xml:space="preserve">Des cadres politiques et réglementaires propices favorisent le déploiement responsable et l'utilisation durable des systèmes de connectivité spatiale. Il est largement admis que les thèmes liés à la connectivité spatiale relèvent du mandat de différentes entités des Nations Unies liées à l'espace, telles que le Bureau des affaires spatiales des Nations Unies (UNOOSA), le Comité des utilisations pacifiques de l'espace extra-atmosphérique (COPUOS) et l'UIT. Au sein de l'UIT en particulier, il existe des cadres réglementaires établis à l'échelle </w:t>
      </w:r>
      <w:r w:rsidRPr="00AA1DF1">
        <w:lastRenderedPageBreak/>
        <w:t>mondiale qui régissent ces secteurs, notamment dans le cadre des conférences mondiales des radiocommunications.</w:t>
      </w:r>
    </w:p>
    <w:p w14:paraId="3848D0E4" w14:textId="77777777" w:rsidR="00495100" w:rsidRPr="00AA1DF1" w:rsidRDefault="00495100" w:rsidP="000A2BC9">
      <w:pPr>
        <w:tabs>
          <w:tab w:val="clear" w:pos="567"/>
          <w:tab w:val="left" w:pos="851"/>
        </w:tabs>
        <w:spacing w:after="120"/>
        <w:ind w:left="851" w:hanging="851"/>
        <w:jc w:val="both"/>
      </w:pPr>
      <w:r w:rsidRPr="00AA1DF1">
        <w:t>7.11.4</w:t>
      </w:r>
      <w:r w:rsidRPr="00AA1DF1">
        <w:tab/>
        <w:t>La complémentarité entre les différents systèmes spatiaux et les réseaux de Terre ouvre la voie à des solutions de connectivité améliorées.</w:t>
      </w:r>
    </w:p>
    <w:p w14:paraId="5C829783" w14:textId="77777777" w:rsidR="00495100" w:rsidRPr="00AA1DF1" w:rsidRDefault="00495100" w:rsidP="000A2BC9">
      <w:pPr>
        <w:tabs>
          <w:tab w:val="clear" w:pos="567"/>
          <w:tab w:val="left" w:pos="851"/>
        </w:tabs>
        <w:spacing w:after="120"/>
        <w:ind w:left="851" w:hanging="851"/>
        <w:jc w:val="both"/>
      </w:pPr>
      <w:r w:rsidRPr="00AA1DF1">
        <w:t>7.11.5</w:t>
      </w:r>
      <w:r w:rsidRPr="00AA1DF1">
        <w:tab/>
        <w:t>Le spectre et les orbites de satellites associées étant limités, il est nécessaire de les utiliser de manière optimale en actualisant les cadres réglementaires afin d'exploiter autant que possible l'efficacité spectrale et de mettre en œuvre des techniques modernes de gestion du spectre, en garantissant à tous les pays, en particulier aux pays en développement, un accès rationnel, équitable, efficace et économique.</w:t>
      </w:r>
    </w:p>
    <w:p w14:paraId="18FB70E2" w14:textId="77777777" w:rsidR="00495100" w:rsidRPr="00AA1DF1" w:rsidRDefault="00495100" w:rsidP="000A2BC9">
      <w:pPr>
        <w:tabs>
          <w:tab w:val="clear" w:pos="567"/>
          <w:tab w:val="left" w:pos="851"/>
        </w:tabs>
        <w:spacing w:after="120"/>
        <w:ind w:left="851" w:hanging="851"/>
        <w:jc w:val="both"/>
      </w:pPr>
      <w:r w:rsidRPr="00AA1DF1">
        <w:t>7.11.6</w:t>
      </w:r>
      <w:r w:rsidRPr="00AA1DF1">
        <w:tab/>
        <w:t>Les partenariats public-privé et les mesures d'incitation économique mises en place par les pouvoirs publics peuvent accélérer le déploiement de services et de technologies de télécommunication/TIC spatiaux, ce qui est susceptible accélérer l'accès à la connectivité dans les régions mal desservies et non desservies.</w:t>
      </w:r>
    </w:p>
    <w:p w14:paraId="01263DFC" w14:textId="77777777" w:rsidR="00495100" w:rsidRPr="00AA1DF1" w:rsidRDefault="00495100" w:rsidP="000A2BC9">
      <w:pPr>
        <w:tabs>
          <w:tab w:val="clear" w:pos="567"/>
          <w:tab w:val="left" w:pos="851"/>
        </w:tabs>
        <w:spacing w:after="120"/>
        <w:jc w:val="both"/>
      </w:pPr>
      <w:r w:rsidRPr="00AA1DF1">
        <w:t>7.12</w:t>
      </w:r>
      <w:r w:rsidRPr="00AA1DF1">
        <w:tab/>
        <w:t xml:space="preserve">Compte tenu de ces considérations relatives à la connectivité et à la durabilité des télécommunications/TIC spatiales, les décideurs et les parties prenantes devraient se pencher sur les questions suivantes afin de garantir un développement responsable des services et technologies de télécommunication/TIC </w:t>
      </w:r>
      <w:proofErr w:type="gramStart"/>
      <w:r w:rsidRPr="00AA1DF1">
        <w:t>spatiales:</w:t>
      </w:r>
      <w:proofErr w:type="gramEnd"/>
    </w:p>
    <w:p w14:paraId="3324A2A5" w14:textId="77777777" w:rsidR="00495100" w:rsidRPr="00AA1DF1" w:rsidRDefault="00495100" w:rsidP="000A2BC9">
      <w:pPr>
        <w:tabs>
          <w:tab w:val="clear" w:pos="567"/>
          <w:tab w:val="left" w:pos="851"/>
        </w:tabs>
        <w:ind w:left="851" w:hanging="851"/>
        <w:jc w:val="both"/>
      </w:pPr>
      <w:r w:rsidRPr="00AA1DF1">
        <w:t>7.12.1</w:t>
      </w:r>
      <w:r w:rsidRPr="00AA1DF1">
        <w:tab/>
        <w:t xml:space="preserve">Quels enjeux et quelles tendances et évolutions en matière de connectivité des télécommunications/TIC spatiales contribuent à un avenir numérique inclusif, durable, résilient, financièrement abordable et </w:t>
      </w:r>
      <w:proofErr w:type="gramStart"/>
      <w:r w:rsidRPr="00AA1DF1">
        <w:t>innovant?</w:t>
      </w:r>
      <w:proofErr w:type="gramEnd"/>
      <w:r w:rsidRPr="00AA1DF1">
        <w:t xml:space="preserve"> Comment les gouvernements, le secteur public, le secteur privé et la société civile, chacun dans son rôle, peuvent-ils tirer parti de ces </w:t>
      </w:r>
      <w:proofErr w:type="gramStart"/>
      <w:r w:rsidRPr="00AA1DF1">
        <w:t>progrès?</w:t>
      </w:r>
      <w:proofErr w:type="gramEnd"/>
    </w:p>
    <w:p w14:paraId="1F807354" w14:textId="77777777" w:rsidR="00495100" w:rsidRPr="00AA1DF1" w:rsidRDefault="00495100" w:rsidP="000A2BC9">
      <w:pPr>
        <w:tabs>
          <w:tab w:val="clear" w:pos="567"/>
          <w:tab w:val="left" w:pos="851"/>
        </w:tabs>
        <w:ind w:left="851" w:hanging="851"/>
        <w:jc w:val="both"/>
      </w:pPr>
      <w:r w:rsidRPr="00AA1DF1">
        <w:t>7.12.2</w:t>
      </w:r>
      <w:r w:rsidRPr="00AA1DF1">
        <w:tab/>
        <w:t xml:space="preserve">Comment la connectivité des télécommunications/TIC spatiales peut-elle réduire les fractures numériques et contribuer au développement durable, en particulier dans les communautés historiquement mal desservies et non desservies, tout en tenant compte des différentes priorités des parties prenantes, notamment l'accessibilité, l'accessibilité financière et la résilience des </w:t>
      </w:r>
      <w:proofErr w:type="gramStart"/>
      <w:r w:rsidRPr="00AA1DF1">
        <w:t>communications?</w:t>
      </w:r>
      <w:proofErr w:type="gramEnd"/>
    </w:p>
    <w:p w14:paraId="1DD52543" w14:textId="77777777" w:rsidR="00495100" w:rsidRPr="00AA1DF1" w:rsidRDefault="00495100" w:rsidP="000A2BC9">
      <w:pPr>
        <w:tabs>
          <w:tab w:val="clear" w:pos="567"/>
          <w:tab w:val="left" w:pos="851"/>
        </w:tabs>
        <w:ind w:left="851" w:hanging="851"/>
        <w:jc w:val="both"/>
      </w:pPr>
      <w:r w:rsidRPr="00AA1DF1">
        <w:t>7.12.3</w:t>
      </w:r>
      <w:r w:rsidRPr="00AA1DF1">
        <w:tab/>
        <w:t xml:space="preserve">Comment les administrations peuvent-elles agir aux niveaux national, régional et international pour créer un environnement politique et réglementaire propice au déploiement et à l'utilisation de la connectivité des télécommunications/TIC </w:t>
      </w:r>
      <w:proofErr w:type="gramStart"/>
      <w:r w:rsidRPr="00AA1DF1">
        <w:t>spatiales?</w:t>
      </w:r>
      <w:proofErr w:type="gramEnd"/>
      <w:r w:rsidRPr="00AA1DF1">
        <w:t xml:space="preserve"> Comment peut-on harmoniser les cadres réglementaires entre les différents pays pour faciliter le déploiement et l'exploitation des systèmes de connectivité des télécommunications/TIC </w:t>
      </w:r>
      <w:proofErr w:type="gramStart"/>
      <w:r w:rsidRPr="00AA1DF1">
        <w:t>spatiales?</w:t>
      </w:r>
      <w:proofErr w:type="gramEnd"/>
    </w:p>
    <w:p w14:paraId="38934DBB" w14:textId="384267FE" w:rsidR="00495100" w:rsidRPr="00AA1DF1" w:rsidRDefault="00495100" w:rsidP="000A2BC9">
      <w:pPr>
        <w:tabs>
          <w:tab w:val="clear" w:pos="567"/>
          <w:tab w:val="left" w:pos="851"/>
        </w:tabs>
        <w:ind w:left="851" w:hanging="851"/>
        <w:jc w:val="both"/>
      </w:pPr>
      <w:r w:rsidRPr="00AA1DF1">
        <w:t>7.12.4</w:t>
      </w:r>
      <w:r w:rsidRPr="00AA1DF1">
        <w:tab/>
        <w:t xml:space="preserve">Comment la complémentarité entre les différents systèmes de connectivité des télécommunications/TIC spatiales et entre les systèmes de connectivité des télécommunications/TIC spatiales et les réseaux de Terre peut-elle contribuer à construire un avenir numérique inclusif et placé sous le signe de </w:t>
      </w:r>
      <w:proofErr w:type="gramStart"/>
      <w:r w:rsidRPr="00AA1DF1">
        <w:t>l'innovation?</w:t>
      </w:r>
      <w:proofErr w:type="gramEnd"/>
      <w:r w:rsidRPr="00AA1DF1">
        <w:t xml:space="preserve"> Comment les décideurs peuvent-ils contribuer à favoriser la mise en place de services de connectivité qui découlent de ces complémentarités, et quels mécanismes réglementaires peuvent être mis en place pour encourager la </w:t>
      </w:r>
      <w:proofErr w:type="gramStart"/>
      <w:r w:rsidRPr="00AA1DF1">
        <w:t>collaboration?</w:t>
      </w:r>
      <w:proofErr w:type="gramEnd"/>
    </w:p>
    <w:p w14:paraId="0619BF6A" w14:textId="77777777" w:rsidR="00495100" w:rsidRPr="00AA1DF1" w:rsidRDefault="00495100" w:rsidP="000A2BC9">
      <w:pPr>
        <w:tabs>
          <w:tab w:val="clear" w:pos="567"/>
          <w:tab w:val="left" w:pos="851"/>
        </w:tabs>
        <w:ind w:left="851" w:hanging="851"/>
        <w:jc w:val="both"/>
      </w:pPr>
      <w:r w:rsidRPr="00AA1DF1">
        <w:t>7.12.5</w:t>
      </w:r>
      <w:r w:rsidRPr="00AA1DF1">
        <w:tab/>
        <w:t xml:space="preserve">Compte tenu du mandat de l'UIT, de son cadre réglementaire et des Secteurs qui la composent, en particulier des conférences mondiales des radiocommunications, comment peut-on améliorer la coordination et la collaboration internationales pour gérer l'utilisation </w:t>
      </w:r>
      <w:r w:rsidRPr="00AA1DF1">
        <w:lastRenderedPageBreak/>
        <w:t xml:space="preserve">du spectre des fréquences radioélectriques pour les services de télécommunication/TIC spatiaux, en garantissant un accès équitable aux ressources spatiales pour tous les </w:t>
      </w:r>
      <w:proofErr w:type="gramStart"/>
      <w:r w:rsidRPr="00AA1DF1">
        <w:t>pays?</w:t>
      </w:r>
      <w:proofErr w:type="gramEnd"/>
    </w:p>
    <w:p w14:paraId="24D0F16B" w14:textId="77777777" w:rsidR="00495100" w:rsidRPr="00AA1DF1" w:rsidRDefault="00495100" w:rsidP="000A2BC9">
      <w:pPr>
        <w:tabs>
          <w:tab w:val="clear" w:pos="567"/>
          <w:tab w:val="left" w:pos="851"/>
        </w:tabs>
        <w:ind w:left="851" w:hanging="851"/>
        <w:jc w:val="both"/>
      </w:pPr>
      <w:r w:rsidRPr="00AA1DF1">
        <w:t>7.12.6</w:t>
      </w:r>
      <w:r w:rsidRPr="00AA1DF1">
        <w:tab/>
        <w:t xml:space="preserve">Quels cadres réglementaires faut-il établir pour assurer la coordination du trafic spatial (STC) et permettre une utilisation efficace des </w:t>
      </w:r>
      <w:proofErr w:type="gramStart"/>
      <w:r w:rsidRPr="00AA1DF1">
        <w:t>orbites?</w:t>
      </w:r>
      <w:proofErr w:type="gramEnd"/>
      <w:r w:rsidRPr="00AA1DF1">
        <w:t xml:space="preserve"> Comment les pays peuvent-ils collaborer à l'élaboration et à la mise en œuvre de systèmes de coordination du trafic spatial qui garantissent la sécurité et la durabilité des activités de connectivité </w:t>
      </w:r>
      <w:proofErr w:type="gramStart"/>
      <w:r w:rsidRPr="00AA1DF1">
        <w:t>spatiale?</w:t>
      </w:r>
      <w:proofErr w:type="gramEnd"/>
    </w:p>
    <w:p w14:paraId="7ECA5A47" w14:textId="77777777" w:rsidR="00495100" w:rsidRPr="00AA1DF1" w:rsidRDefault="00495100" w:rsidP="000A2BC9">
      <w:pPr>
        <w:tabs>
          <w:tab w:val="clear" w:pos="567"/>
          <w:tab w:val="left" w:pos="851"/>
        </w:tabs>
        <w:ind w:left="851" w:hanging="851"/>
        <w:jc w:val="both"/>
      </w:pPr>
      <w:r w:rsidRPr="00AA1DF1">
        <w:t>7.12.7</w:t>
      </w:r>
      <w:r w:rsidRPr="00AA1DF1">
        <w:tab/>
        <w:t>Comment promouvoir un accès généralisé et financièrement abordable aux solutions de connectivité des télécommunications/TIC spatiales, en particulier dans les pays en développement et les pays les moins avancés ainsi que dans les communautés isolées et à faible revenu, notamment en encourageant la concurrence, l'innovation, l'investissement privé et les partenariats public-</w:t>
      </w:r>
      <w:proofErr w:type="gramStart"/>
      <w:r w:rsidRPr="00AA1DF1">
        <w:t>privé?</w:t>
      </w:r>
      <w:proofErr w:type="gramEnd"/>
    </w:p>
    <w:p w14:paraId="33F64FC7" w14:textId="77777777" w:rsidR="00495100" w:rsidRPr="00AA1DF1" w:rsidRDefault="00495100" w:rsidP="000A2BC9">
      <w:pPr>
        <w:tabs>
          <w:tab w:val="clear" w:pos="567"/>
          <w:tab w:val="left" w:pos="851"/>
        </w:tabs>
        <w:ind w:left="851" w:hanging="851"/>
        <w:jc w:val="both"/>
      </w:pPr>
      <w:r w:rsidRPr="00AA1DF1">
        <w:t>7.12.8</w:t>
      </w:r>
      <w:r w:rsidRPr="00AA1DF1">
        <w:tab/>
        <w:t xml:space="preserve">Comment peut-on réduire au minimum les effets sur l'environnement des activités liées à la connectivité spatiale et quelles mesures ou politiques fondées sur des considérations techniques peuvent promouvoir des pratiques écologiquement durables dans l'industrie </w:t>
      </w:r>
      <w:proofErr w:type="gramStart"/>
      <w:r w:rsidRPr="00AA1DF1">
        <w:t>spatiale?</w:t>
      </w:r>
      <w:proofErr w:type="gramEnd"/>
      <w:r w:rsidRPr="00AA1DF1">
        <w:t xml:space="preserve"> Compte tenu des mandats respectifs des différentes entités des Nations Unies s'occupant des questions liées à l'espace extra-atmosphérique, telles que l'UIT, l'UNOOSA et le COPUOS, comment l'UIT peut-elle appuyer la coordination et le dialogue sur les débris spatiaux, et comment la coopération internationale peut-elle être renforcée pour garantir une exploitation durable de </w:t>
      </w:r>
      <w:proofErr w:type="gramStart"/>
      <w:r w:rsidRPr="00AA1DF1">
        <w:t>l'espace?</w:t>
      </w:r>
      <w:proofErr w:type="gramEnd"/>
      <w:r w:rsidRPr="00AA1DF1">
        <w:t xml:space="preserve"> Quelles approches innovantes sont envisagées pour atténuer ces problèmes liés aux risques environnementaux et à l'utilisation durable à long terme de l'espace extra-</w:t>
      </w:r>
      <w:proofErr w:type="gramStart"/>
      <w:r w:rsidRPr="00AA1DF1">
        <w:t>atmosphérique?</w:t>
      </w:r>
      <w:proofErr w:type="gramEnd"/>
    </w:p>
    <w:p w14:paraId="0B5F540C" w14:textId="77777777" w:rsidR="00495100" w:rsidRPr="00AA1DF1" w:rsidRDefault="00495100" w:rsidP="000A2BC9">
      <w:pPr>
        <w:tabs>
          <w:tab w:val="clear" w:pos="567"/>
          <w:tab w:val="left" w:pos="851"/>
        </w:tabs>
        <w:ind w:left="851" w:hanging="851"/>
        <w:jc w:val="both"/>
      </w:pPr>
      <w:r w:rsidRPr="00AA1DF1">
        <w:t>7.12.9</w:t>
      </w:r>
      <w:r w:rsidRPr="00AA1DF1">
        <w:tab/>
        <w:t xml:space="preserve">Quelles politiques peuvent soutenir l'innovation et les travaux de recherche en cours dans le domaine des technologies de connectivité des télécommunications/TIC spatiales, et comment ces politiques peuvent-elles garantir que les progrès profitent à tous les pans de la </w:t>
      </w:r>
      <w:proofErr w:type="gramStart"/>
      <w:r w:rsidRPr="00AA1DF1">
        <w:t>société?</w:t>
      </w:r>
      <w:proofErr w:type="gramEnd"/>
    </w:p>
    <w:p w14:paraId="63280029" w14:textId="77777777" w:rsidR="00495100" w:rsidRPr="00AA1DF1" w:rsidRDefault="00495100" w:rsidP="000A2BC9">
      <w:pPr>
        <w:tabs>
          <w:tab w:val="clear" w:pos="567"/>
          <w:tab w:val="left" w:pos="851"/>
        </w:tabs>
        <w:ind w:left="851" w:hanging="851"/>
        <w:jc w:val="both"/>
      </w:pPr>
      <w:r w:rsidRPr="00AA1DF1">
        <w:t>7.12.10</w:t>
      </w:r>
      <w:r w:rsidRPr="00AA1DF1">
        <w:tab/>
        <w:t xml:space="preserve">Quelles mesures politiques et réglementaires fondées sur de bonnes pratiques les pays peuvent-ils prendre pour garantir la sécurité, la confiance et la résilience concernant les services de communication </w:t>
      </w:r>
      <w:proofErr w:type="gramStart"/>
      <w:r w:rsidRPr="00AA1DF1">
        <w:t>spatiaux?</w:t>
      </w:r>
      <w:proofErr w:type="gramEnd"/>
      <w:r w:rsidRPr="00AA1DF1">
        <w:t xml:space="preserve"> Comment coordonner et harmoniser ces mesures à l'échelle </w:t>
      </w:r>
      <w:proofErr w:type="gramStart"/>
      <w:r w:rsidRPr="00AA1DF1">
        <w:t>internationale?</w:t>
      </w:r>
      <w:proofErr w:type="gramEnd"/>
    </w:p>
    <w:p w14:paraId="109B20C1" w14:textId="77777777" w:rsidR="00495100" w:rsidRPr="00AA1DF1" w:rsidRDefault="00495100" w:rsidP="000A2BC9">
      <w:pPr>
        <w:tabs>
          <w:tab w:val="clear" w:pos="567"/>
          <w:tab w:val="left" w:pos="851"/>
        </w:tabs>
        <w:ind w:left="851" w:hanging="851"/>
        <w:jc w:val="both"/>
      </w:pPr>
      <w:r w:rsidRPr="00AA1DF1">
        <w:t>7.12.11</w:t>
      </w:r>
      <w:r w:rsidRPr="00AA1DF1">
        <w:tab/>
        <w:t xml:space="preserve">Comment la connectivité des télécommunications/TIC spatiales peut-elle contribuer à la préparation aux catastrophes, aux systèmes d'alerte avancée et à la surveillance du climat, en particulier dans les zones </w:t>
      </w:r>
      <w:proofErr w:type="gramStart"/>
      <w:r w:rsidRPr="00AA1DF1">
        <w:t>vulnérables?</w:t>
      </w:r>
      <w:proofErr w:type="gramEnd"/>
      <w:r w:rsidRPr="00AA1DF1">
        <w:t xml:space="preserve"> Dans le cadre du rôle de coordination de l'UIT, quels mécanismes de coopération peuvent promouvoir l'échange volontaire et l'intégration rapide de données avec les systèmes terrestres d'intervention en cas </w:t>
      </w:r>
      <w:proofErr w:type="gramStart"/>
      <w:r w:rsidRPr="00AA1DF1">
        <w:t>d'urgence?</w:t>
      </w:r>
      <w:proofErr w:type="gramEnd"/>
      <w:r w:rsidRPr="00AA1DF1">
        <w:br w:type="page"/>
      </w:r>
    </w:p>
    <w:p w14:paraId="2A444942" w14:textId="3430BF49" w:rsidR="00495100" w:rsidRPr="00AA1DF1" w:rsidRDefault="00495100" w:rsidP="00495100">
      <w:pPr>
        <w:pStyle w:val="Heading1"/>
        <w:tabs>
          <w:tab w:val="clear" w:pos="567"/>
        </w:tabs>
        <w:ind w:left="851" w:hanging="851"/>
      </w:pPr>
      <w:r w:rsidRPr="00AA1DF1">
        <w:lastRenderedPageBreak/>
        <w:t>8</w:t>
      </w:r>
      <w:r w:rsidRPr="00AA1DF1">
        <w:tab/>
        <w:t>Renforcement des écosystèmes de l'innovation et de l'entrepreneuriat centrés sur les TIC</w:t>
      </w:r>
    </w:p>
    <w:p w14:paraId="18BB24D9" w14:textId="4D2711C9" w:rsidR="00495100" w:rsidRPr="00AA1DF1" w:rsidRDefault="0009232F" w:rsidP="000A2BC9">
      <w:pPr>
        <w:tabs>
          <w:tab w:val="clear" w:pos="567"/>
          <w:tab w:val="left" w:pos="851"/>
        </w:tabs>
        <w:jc w:val="both"/>
      </w:pPr>
      <w:r w:rsidRPr="00AA1DF1">
        <w:rPr>
          <w:rFonts w:asciiTheme="minorHAnsi" w:eastAsiaTheme="minorEastAsia" w:hAnsiTheme="minorHAnsi" w:cstheme="minorBidi"/>
          <w:noProof/>
          <w:sz w:val="22"/>
          <w:szCs w:val="22"/>
          <w:lang w:eastAsia="zh-CN"/>
        </w:rPr>
        <mc:AlternateContent>
          <mc:Choice Requires="wps">
            <w:drawing>
              <wp:anchor distT="0" distB="0" distL="114300" distR="114300" simplePos="0" relativeHeight="251672576" behindDoc="0" locked="0" layoutInCell="1" allowOverlap="1" wp14:anchorId="58CAC5FF" wp14:editId="5E2F7A0D">
                <wp:simplePos x="0" y="0"/>
                <wp:positionH relativeFrom="column">
                  <wp:posOffset>3703691</wp:posOffset>
                </wp:positionH>
                <wp:positionV relativeFrom="paragraph">
                  <wp:posOffset>31750</wp:posOffset>
                </wp:positionV>
                <wp:extent cx="2402205" cy="3950335"/>
                <wp:effectExtent l="0" t="0" r="17145" b="120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205" cy="3950335"/>
                        </a:xfrm>
                        <a:prstGeom prst="rect">
                          <a:avLst/>
                        </a:prstGeom>
                        <a:solidFill>
                          <a:srgbClr val="FFFFFF"/>
                        </a:solidFill>
                        <a:ln w="12700">
                          <a:solidFill>
                            <a:srgbClr val="9BBB59"/>
                          </a:solidFill>
                          <a:miter lim="800000"/>
                          <a:headEnd/>
                          <a:tailEnd/>
                        </a:ln>
                      </wps:spPr>
                      <wps:txbx>
                        <w:txbxContent>
                          <w:p w14:paraId="41F6578E" w14:textId="77777777" w:rsidR="00495100" w:rsidRPr="00144395" w:rsidRDefault="00495100" w:rsidP="004E74AB">
                            <w:pPr>
                              <w:rPr>
                                <w:color w:val="92D050"/>
                                <w:sz w:val="22"/>
                                <w:szCs w:val="22"/>
                                <w:lang w:val="fr-CH"/>
                              </w:rPr>
                            </w:pPr>
                            <w:r w:rsidRPr="00144395">
                              <w:rPr>
                                <w:color w:val="92D050"/>
                                <w:sz w:val="22"/>
                                <w:szCs w:val="22"/>
                              </w:rPr>
                              <w:t xml:space="preserve">Étude de </w:t>
                            </w:r>
                            <w:proofErr w:type="gramStart"/>
                            <w:r w:rsidRPr="00144395">
                              <w:rPr>
                                <w:color w:val="92D050"/>
                                <w:sz w:val="22"/>
                                <w:szCs w:val="22"/>
                              </w:rPr>
                              <w:t>cas:</w:t>
                            </w:r>
                            <w:proofErr w:type="gramEnd"/>
                            <w:r w:rsidRPr="00144395">
                              <w:rPr>
                                <w:color w:val="92D050"/>
                                <w:sz w:val="22"/>
                                <w:szCs w:val="22"/>
                              </w:rPr>
                              <w:t xml:space="preserve"> Profils d'innovation numérique et centres d'accélération de l'UIT</w:t>
                            </w:r>
                          </w:p>
                          <w:p w14:paraId="2289A739" w14:textId="77777777" w:rsidR="00495100" w:rsidRPr="00144395" w:rsidRDefault="00495100" w:rsidP="000A2BC9">
                            <w:pPr>
                              <w:jc w:val="both"/>
                              <w:rPr>
                                <w:sz w:val="22"/>
                                <w:szCs w:val="22"/>
                                <w:lang w:val="fr-CH"/>
                              </w:rPr>
                            </w:pPr>
                            <w:r w:rsidRPr="00144395">
                              <w:rPr>
                                <w:sz w:val="22"/>
                                <w:szCs w:val="22"/>
                              </w:rPr>
                              <w:t>L'UIT collabore avec les pays pour fournir des évaluations précises de la santé de leurs écosystèmes d'innovation numérique. Cela les aide à élaborer des stratégies pour éclairer les politiques et les initiatives nationales. L'UIT a fourni des évaluations à de nombreux pays, offrant une feuille de route complète pour les stratégies d'innovation axées sur les écosystèmes.</w:t>
                            </w:r>
                          </w:p>
                          <w:p w14:paraId="15E0F7DF" w14:textId="77777777" w:rsidR="00495100" w:rsidRPr="00144395" w:rsidRDefault="00495100" w:rsidP="000A2BC9">
                            <w:pPr>
                              <w:jc w:val="both"/>
                              <w:rPr>
                                <w:sz w:val="22"/>
                                <w:szCs w:val="22"/>
                                <w:lang w:val="fr-CH"/>
                              </w:rPr>
                            </w:pPr>
                            <w:r w:rsidRPr="00144395">
                              <w:rPr>
                                <w:sz w:val="22"/>
                                <w:szCs w:val="22"/>
                              </w:rPr>
                              <w:t>Elle a aidé les pays à mettre en place de nouveaux centres d'accélération des écosystèmes qui fournissent un cadre de mise en œuvre et de gouvernance coordonné pour leurs écosystèmes numériques, les aidant ainsi à atteindre leurs objectifs nationaux.</w:t>
                            </w:r>
                            <w:hyperlink r:id="rId48" w:history="1"/>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CAC5FF" id="_x0000_s1037" type="#_x0000_t202" style="position:absolute;left:0;text-align:left;margin-left:291.65pt;margin-top:2.5pt;width:189.15pt;height:31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" strokecolor="#9bbb59" strokeweight="1pt">
                <v:textbox>
                  <w:txbxContent>
                    <w:p w14:paraId="41F6578E" w14:textId="77777777" w:rsidR="00495100" w:rsidRPr="00144395" w:rsidRDefault="00495100" w:rsidP="004E74AB">
                      <w:pPr>
                        <w:rPr>
                          <w:color w:val="92D050"/>
                          <w:sz w:val="22"/>
                          <w:szCs w:val="22"/>
                          <w:lang w:val="fr-CH"/>
                        </w:rPr>
                      </w:pPr>
                      <w:r w:rsidRPr="00144395">
                        <w:rPr>
                          <w:color w:val="92D050"/>
                          <w:sz w:val="22"/>
                          <w:szCs w:val="22"/>
                        </w:rPr>
                        <w:t xml:space="preserve">Étude de </w:t>
                      </w:r>
                      <w:proofErr w:type="gramStart"/>
                      <w:r w:rsidRPr="00144395">
                        <w:rPr>
                          <w:color w:val="92D050"/>
                          <w:sz w:val="22"/>
                          <w:szCs w:val="22"/>
                        </w:rPr>
                        <w:t>cas:</w:t>
                      </w:r>
                      <w:proofErr w:type="gramEnd"/>
                      <w:r w:rsidRPr="00144395">
                        <w:rPr>
                          <w:color w:val="92D050"/>
                          <w:sz w:val="22"/>
                          <w:szCs w:val="22"/>
                        </w:rPr>
                        <w:t xml:space="preserve"> Profils d'innovation numérique et centres d'accélération de l'UIT</w:t>
                      </w:r>
                    </w:p>
                    <w:p w14:paraId="2289A739" w14:textId="77777777" w:rsidR="00495100" w:rsidRPr="00144395" w:rsidRDefault="00495100" w:rsidP="000A2BC9">
                      <w:pPr>
                        <w:jc w:val="both"/>
                        <w:rPr>
                          <w:sz w:val="22"/>
                          <w:szCs w:val="22"/>
                          <w:lang w:val="fr-CH"/>
                        </w:rPr>
                      </w:pPr>
                      <w:r w:rsidRPr="00144395">
                        <w:rPr>
                          <w:sz w:val="22"/>
                          <w:szCs w:val="22"/>
                        </w:rPr>
                        <w:t>L'UIT collabore avec les pays pour fournir des évaluations précises de la santé de leurs écosystèmes d'innovation numérique. Cela les aide à élaborer des stratégies pour éclairer les politiques et les initiatives nationales. L'UIT a fourni des évaluations à de nombreux pays, offrant une feuille de route complète pour les stratégies d'innovation axées sur les écosystèmes.</w:t>
                      </w:r>
                    </w:p>
                    <w:p w14:paraId="15E0F7DF" w14:textId="77777777" w:rsidR="00495100" w:rsidRPr="00144395" w:rsidRDefault="00495100" w:rsidP="000A2BC9">
                      <w:pPr>
                        <w:jc w:val="both"/>
                        <w:rPr>
                          <w:sz w:val="22"/>
                          <w:szCs w:val="22"/>
                          <w:lang w:val="fr-CH"/>
                        </w:rPr>
                      </w:pPr>
                      <w:r w:rsidRPr="00144395">
                        <w:rPr>
                          <w:sz w:val="22"/>
                          <w:szCs w:val="22"/>
                        </w:rPr>
                        <w:t>Elle a aidé les pays à mettre en place de nouveaux centres d'accélération des écosystèmes qui fournissent un cadre de mise en œuvre et de gouvernance coordonné pour leurs écosystèmes numériques, les aidant ainsi à atteindre leurs objectifs nationaux.</w:t>
                      </w:r>
                      <w:hyperlink r:id="rId49" w:history="1"/>
                    </w:p>
                  </w:txbxContent>
                </v:textbox>
                <w10:wrap type="square"/>
              </v:shape>
            </w:pict>
          </mc:Fallback>
        </mc:AlternateContent>
      </w:r>
      <w:r w:rsidR="00495100" w:rsidRPr="00AA1DF1">
        <w:t>8.1</w:t>
      </w:r>
      <w:r w:rsidR="00495100" w:rsidRPr="00AA1DF1">
        <w:tab/>
        <w:t>Les écosystèmes entrepreneuriaux sont essentiels pour favoriser le développement durable tout en renforçant l'inclusion, en réalisant des économies d'échelle et en réduisant les fractures numériques.</w:t>
      </w:r>
    </w:p>
    <w:p w14:paraId="5E815154" w14:textId="77777777" w:rsidR="00495100" w:rsidRPr="00AA1DF1" w:rsidRDefault="00495100" w:rsidP="000A2BC9">
      <w:pPr>
        <w:tabs>
          <w:tab w:val="clear" w:pos="567"/>
          <w:tab w:val="left" w:pos="851"/>
        </w:tabs>
        <w:jc w:val="both"/>
      </w:pPr>
      <w:r w:rsidRPr="00AA1DF1">
        <w:t>8.2</w:t>
      </w:r>
      <w:r w:rsidRPr="00AA1DF1">
        <w:tab/>
        <w:t>Cependant, on observe une fracture numérique croissante entre les pays, qui empêche chacun de bénéficier équitablement des avantages offerts par le numérique.</w:t>
      </w:r>
    </w:p>
    <w:p w14:paraId="2219DBB5" w14:textId="77777777" w:rsidR="00495100" w:rsidRPr="00AA1DF1" w:rsidRDefault="00495100" w:rsidP="000A2BC9">
      <w:pPr>
        <w:tabs>
          <w:tab w:val="clear" w:pos="567"/>
          <w:tab w:val="left" w:pos="851"/>
        </w:tabs>
        <w:jc w:val="both"/>
      </w:pPr>
      <w:r w:rsidRPr="00AA1DF1">
        <w:t>8.3</w:t>
      </w:r>
      <w:r w:rsidRPr="00AA1DF1">
        <w:tab/>
        <w:t>Des politiques et des réglementations favorables sont essentielles pour favoriser l'innovation et soutenir les micro-entreprises et les petites et moyennes entreprises (MPME), ainsi que pour renforcer les efforts de collaboration entre les principales parties prenantes, notamment les décideurs, le secteur privé et les établissements universitaires.</w:t>
      </w:r>
    </w:p>
    <w:p w14:paraId="550E8093" w14:textId="7A9B0730" w:rsidR="00495100" w:rsidRDefault="00495100" w:rsidP="000A2BC9">
      <w:pPr>
        <w:tabs>
          <w:tab w:val="clear" w:pos="567"/>
          <w:tab w:val="left" w:pos="851"/>
        </w:tabs>
        <w:jc w:val="both"/>
      </w:pPr>
      <w:r w:rsidRPr="00AA1DF1">
        <w:t>8.4</w:t>
      </w:r>
      <w:r w:rsidRPr="00AA1DF1">
        <w:tab/>
        <w:t>La participation des MPME à l'innovation dans le domaine des TIC dans les pays en développement se heurte à de multiples obstacles. Il s'agit notamment des défis liés à la protection de la propriété intellectuelle et au transfert de technologies, des possibilités de commercialisation limitées en raison d'un environnement économique qui s'adapte encore aux nouvelles technologies, ainsi que d'un soutien public encore en cours de développement dans des domaines tels que le financement et les pépinières d'entreprises. Par ailleurs, bien que les infrastructures numériques s'améliorent, comme en témoignent les taux élevés de pénétration de l'Internet, de nombreuses petites entreprises ne sont toujours pas passées au tout numérique et fonctionnent sans présence en ligne ni solutions de paiement numériques, dans des environnements où le papier reste prédominant.</w:t>
      </w:r>
    </w:p>
    <w:p w14:paraId="67FCE1AA" w14:textId="1E92CE20" w:rsidR="000A2BC9" w:rsidRPr="00AA1DF1" w:rsidRDefault="000A2BC9" w:rsidP="000A2BC9">
      <w:pPr>
        <w:tabs>
          <w:tab w:val="clear" w:pos="567"/>
          <w:tab w:val="left" w:pos="851"/>
        </w:tabs>
        <w:jc w:val="center"/>
      </w:pPr>
      <w:r w:rsidRPr="00AA1DF1">
        <w:rPr>
          <w:rFonts w:asciiTheme="minorHAnsi" w:eastAsiaTheme="minorEastAsia" w:hAnsiTheme="minorHAnsi" w:cstheme="minorBidi"/>
          <w:noProof/>
          <w:sz w:val="22"/>
          <w:szCs w:val="22"/>
          <w:lang w:eastAsia="zh-CN"/>
        </w:rPr>
        <mc:AlternateContent>
          <mc:Choice Requires="wps">
            <w:drawing>
              <wp:inline distT="0" distB="0" distL="0" distR="0" wp14:anchorId="00FA6909" wp14:editId="219C35B8">
                <wp:extent cx="5579745" cy="2766695"/>
                <wp:effectExtent l="0" t="0" r="20955" b="14605"/>
                <wp:docPr id="890473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9745" cy="2766695"/>
                        </a:xfrm>
                        <a:prstGeom prst="rect">
                          <a:avLst/>
                        </a:prstGeom>
                        <a:solidFill>
                          <a:srgbClr val="FFFFFF"/>
                        </a:solidFill>
                        <a:ln w="12700">
                          <a:solidFill>
                            <a:srgbClr val="9BBB59">
                              <a:lumMod val="100000"/>
                              <a:lumOff val="0"/>
                            </a:srgbClr>
                          </a:solidFill>
                          <a:miter lim="800000"/>
                          <a:headEnd/>
                          <a:tailEnd/>
                        </a:ln>
                      </wps:spPr>
                      <wps:txbx>
                        <w:txbxContent>
                          <w:p w14:paraId="13A95921" w14:textId="77777777" w:rsidR="000A2BC9" w:rsidRPr="007F40BA" w:rsidRDefault="000A2BC9" w:rsidP="000A2BC9">
                            <w:pPr>
                              <w:rPr>
                                <w:color w:val="92D050"/>
                                <w:sz w:val="22"/>
                                <w:lang w:val="fr-CH"/>
                              </w:rPr>
                            </w:pPr>
                            <w:r w:rsidRPr="007F40BA">
                              <w:rPr>
                                <w:color w:val="92D050"/>
                                <w:sz w:val="22"/>
                              </w:rPr>
                              <w:t xml:space="preserve">Étude de </w:t>
                            </w:r>
                            <w:proofErr w:type="gramStart"/>
                            <w:r w:rsidRPr="007F40BA">
                              <w:rPr>
                                <w:color w:val="92D050"/>
                                <w:sz w:val="22"/>
                              </w:rPr>
                              <w:t>cas:</w:t>
                            </w:r>
                            <w:proofErr w:type="gramEnd"/>
                            <w:r w:rsidRPr="007F40BA">
                              <w:rPr>
                                <w:color w:val="92D050"/>
                                <w:sz w:val="22"/>
                              </w:rPr>
                              <w:t xml:space="preserve"> Alliance pour l'innovation et l'entrepreneuriat au service du développement du numérique</w:t>
                            </w:r>
                          </w:p>
                          <w:p w14:paraId="62CD00C2" w14:textId="77777777" w:rsidR="000A2BC9" w:rsidRPr="00BF4B93" w:rsidRDefault="000A2BC9" w:rsidP="0009232F">
                            <w:pPr>
                              <w:jc w:val="both"/>
                              <w:rPr>
                                <w:sz w:val="22"/>
                                <w:lang w:val="fr-CH"/>
                              </w:rPr>
                            </w:pPr>
                            <w:r>
                              <w:rPr>
                                <w:sz w:val="22"/>
                              </w:rPr>
                              <w:t>L'UIT a lancé l'Alliance pour l'</w:t>
                            </w:r>
                            <w:hyperlink r:id="rId50" w:anchor="/fr" w:history="1">
                              <w:r w:rsidRPr="004E74AB">
                                <w:rPr>
                                  <w:rStyle w:val="Hyperlink"/>
                                  <w:sz w:val="22"/>
                                </w:rPr>
                                <w:t>innovation et l'entrepreneuriat au service du développement</w:t>
                              </w:r>
                            </w:hyperlink>
                            <w:r w:rsidRPr="004E74AB">
                              <w:rPr>
                                <w:sz w:val="22"/>
                              </w:rPr>
                              <w:t xml:space="preserve"> </w:t>
                            </w:r>
                            <w:r>
                              <w:rPr>
                                <w:sz w:val="22"/>
                              </w:rPr>
                              <w:t xml:space="preserve">du numérique, afin d'aider les Membres à adopter des approches nouvelles, plus résilientes et tournées vers l'avenir, qui contribuent à renforcer les capacités d'innovation au niveau local. Cet objectif est atteint grâce à un réseau de centres d'accélération de l'UIT dotés de compétences essentielles en matière de prospective stratégique, de conception conjointe de projets, de création de groupes de technologies ouvertes, d'expérimentation de politiques et d'appui à la croissance </w:t>
                            </w:r>
                            <w:proofErr w:type="gramStart"/>
                            <w:r>
                              <w:rPr>
                                <w:sz w:val="22"/>
                              </w:rPr>
                              <w:t>des start-up</w:t>
                            </w:r>
                            <w:proofErr w:type="gramEnd"/>
                            <w:r>
                              <w:rPr>
                                <w:sz w:val="22"/>
                              </w:rPr>
                              <w:t xml:space="preserve"> et des PME. Chaque centre est géré au niveau national, mais collabore avec d'autres centres afin de favoriser le développement des capacités, des connaissances et des possibilités au sein des écosystèmes d'innovation.</w:t>
                            </w:r>
                            <w:hyperlink r:id="rId51" w:history="1"/>
                          </w:p>
                          <w:p w14:paraId="6DA2EE09" w14:textId="77777777" w:rsidR="000A2BC9" w:rsidRPr="00BF4B93" w:rsidRDefault="000A2BC9" w:rsidP="0009232F">
                            <w:pPr>
                              <w:jc w:val="both"/>
                              <w:rPr>
                                <w:sz w:val="22"/>
                                <w:lang w:val="fr-CH"/>
                              </w:rPr>
                            </w:pPr>
                            <w:r>
                              <w:rPr>
                                <w:sz w:val="22"/>
                              </w:rPr>
                              <w:t>Ensemble, ce réseau renforce les capacités d'innovation nécessaires pour favoriser un avenir équitable où l'innovation et l'entrepreneuriat sont les moteurs de la croissance du développement du numérique.</w:t>
                            </w:r>
                          </w:p>
                        </w:txbxContent>
                      </wps:txbx>
                      <wps:bodyPr rot="0" vert="horz" wrap="square" lIns="91440" tIns="45720" rIns="91440" bIns="45720" anchor="t" anchorCtr="0" upright="1">
                        <a:noAutofit/>
                      </wps:bodyPr>
                    </wps:wsp>
                  </a:graphicData>
                </a:graphic>
              </wp:inline>
            </w:drawing>
          </mc:Choice>
          <mc:Fallback>
            <w:pict>
              <v:shape w14:anchorId="00FA6909" id="_x0000_s1038" type="#_x0000_t202" style="width:439.35pt;height:21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" strokecolor="#9bbb59" strokeweight="1pt">
                <v:textbox>
                  <w:txbxContent>
                    <w:p w14:paraId="13A95921" w14:textId="77777777" w:rsidR="000A2BC9" w:rsidRPr="007F40BA" w:rsidRDefault="000A2BC9" w:rsidP="000A2BC9">
                      <w:pPr>
                        <w:rPr>
                          <w:color w:val="92D050"/>
                          <w:sz w:val="22"/>
                          <w:lang w:val="fr-CH"/>
                        </w:rPr>
                      </w:pPr>
                      <w:r w:rsidRPr="007F40BA">
                        <w:rPr>
                          <w:color w:val="92D050"/>
                          <w:sz w:val="22"/>
                        </w:rPr>
                        <w:t xml:space="preserve">Étude de </w:t>
                      </w:r>
                      <w:proofErr w:type="gramStart"/>
                      <w:r w:rsidRPr="007F40BA">
                        <w:rPr>
                          <w:color w:val="92D050"/>
                          <w:sz w:val="22"/>
                        </w:rPr>
                        <w:t>cas:</w:t>
                      </w:r>
                      <w:proofErr w:type="gramEnd"/>
                      <w:r w:rsidRPr="007F40BA">
                        <w:rPr>
                          <w:color w:val="92D050"/>
                          <w:sz w:val="22"/>
                        </w:rPr>
                        <w:t xml:space="preserve"> Alliance pour l'innovation et l'entrepreneuriat au service du développement du numérique</w:t>
                      </w:r>
                    </w:p>
                    <w:p w14:paraId="62CD00C2" w14:textId="77777777" w:rsidR="000A2BC9" w:rsidRPr="00BF4B93" w:rsidRDefault="000A2BC9" w:rsidP="0009232F">
                      <w:pPr>
                        <w:jc w:val="both"/>
                        <w:rPr>
                          <w:sz w:val="22"/>
                          <w:lang w:val="fr-CH"/>
                        </w:rPr>
                      </w:pPr>
                      <w:r>
                        <w:rPr>
                          <w:sz w:val="22"/>
                        </w:rPr>
                        <w:t>L'UIT a lancé l'Alliance pour l'</w:t>
                      </w:r>
                      <w:hyperlink r:id="rId52" w:anchor="/fr" w:history="1">
                        <w:r w:rsidRPr="004E74AB">
                          <w:rPr>
                            <w:rStyle w:val="Hyperlink"/>
                            <w:sz w:val="22"/>
                          </w:rPr>
                          <w:t>innovation et l'entrepreneuriat au service du développement</w:t>
                        </w:r>
                      </w:hyperlink>
                      <w:r w:rsidRPr="004E74AB">
                        <w:rPr>
                          <w:sz w:val="22"/>
                        </w:rPr>
                        <w:t xml:space="preserve"> </w:t>
                      </w:r>
                      <w:r>
                        <w:rPr>
                          <w:sz w:val="22"/>
                        </w:rPr>
                        <w:t xml:space="preserve">du numérique, afin d'aider les Membres à adopter des approches nouvelles, plus résilientes et tournées vers l'avenir, qui contribuent à renforcer les capacités d'innovation au niveau local. Cet objectif est atteint grâce à un réseau de centres d'accélération de l'UIT dotés de compétences essentielles en matière de prospective stratégique, de conception conjointe de projets, de création de groupes de technologies ouvertes, d'expérimentation de politiques et d'appui à la croissance </w:t>
                      </w:r>
                      <w:proofErr w:type="gramStart"/>
                      <w:r>
                        <w:rPr>
                          <w:sz w:val="22"/>
                        </w:rPr>
                        <w:t>des start-up</w:t>
                      </w:r>
                      <w:proofErr w:type="gramEnd"/>
                      <w:r>
                        <w:rPr>
                          <w:sz w:val="22"/>
                        </w:rPr>
                        <w:t xml:space="preserve"> et des PME. Chaque centre est géré au niveau national, mais collabore avec d'autres centres afin de favoriser le développement des capacités, des connaissances et des possibilités au sein des écosystèmes d'innovation.</w:t>
                      </w:r>
                      <w:hyperlink r:id="rId53" w:history="1"/>
                    </w:p>
                    <w:p w14:paraId="6DA2EE09" w14:textId="77777777" w:rsidR="000A2BC9" w:rsidRPr="00BF4B93" w:rsidRDefault="000A2BC9" w:rsidP="0009232F">
                      <w:pPr>
                        <w:jc w:val="both"/>
                        <w:rPr>
                          <w:sz w:val="22"/>
                          <w:lang w:val="fr-CH"/>
                        </w:rPr>
                      </w:pPr>
                      <w:r>
                        <w:rPr>
                          <w:sz w:val="22"/>
                        </w:rPr>
                        <w:t>Ensemble, ce réseau renforce les capacités d'innovation nécessaires pour favoriser un avenir équitable où l'innovation et l'entrepreneuriat sont les moteurs de la croissance du développement du numérique.</w:t>
                      </w:r>
                    </w:p>
                  </w:txbxContent>
                </v:textbox>
                <w10:anchorlock/>
              </v:shape>
            </w:pict>
          </mc:Fallback>
        </mc:AlternateContent>
      </w:r>
    </w:p>
    <w:p w14:paraId="28676EBB" w14:textId="77777777" w:rsidR="00495100" w:rsidRPr="00AA1DF1" w:rsidRDefault="00495100" w:rsidP="0009232F">
      <w:pPr>
        <w:tabs>
          <w:tab w:val="clear" w:pos="567"/>
          <w:tab w:val="left" w:pos="851"/>
        </w:tabs>
        <w:jc w:val="both"/>
      </w:pPr>
      <w:r w:rsidRPr="00AA1DF1">
        <w:lastRenderedPageBreak/>
        <w:t>8.5</w:t>
      </w:r>
      <w:r w:rsidRPr="00AA1DF1">
        <w:tab/>
        <w:t xml:space="preserve">Compte tenu de l'importance du rôle de l'innovation en tant que moteur du développement durable et de l'écart croissant en matière d'innovation entre pays en développement et pays développés, il est nécessaire d'examiner plusieurs considérations </w:t>
      </w:r>
      <w:proofErr w:type="gramStart"/>
      <w:r w:rsidRPr="00AA1DF1">
        <w:t>importantes:</w:t>
      </w:r>
      <w:proofErr w:type="gramEnd"/>
    </w:p>
    <w:p w14:paraId="230FC1EB" w14:textId="77777777" w:rsidR="00495100" w:rsidRPr="00AA1DF1" w:rsidRDefault="00495100" w:rsidP="0009232F">
      <w:pPr>
        <w:tabs>
          <w:tab w:val="clear" w:pos="567"/>
          <w:tab w:val="left" w:pos="851"/>
        </w:tabs>
        <w:ind w:left="851" w:hanging="851"/>
        <w:jc w:val="both"/>
      </w:pPr>
      <w:r w:rsidRPr="00AA1DF1">
        <w:t>8.5.1</w:t>
      </w:r>
      <w:r w:rsidRPr="00AA1DF1">
        <w:tab/>
        <w:t xml:space="preserve">Capacité d'étudier et d'anticiper les grandes </w:t>
      </w:r>
      <w:proofErr w:type="gramStart"/>
      <w:r w:rsidRPr="00AA1DF1">
        <w:t>tendances:</w:t>
      </w:r>
      <w:proofErr w:type="gramEnd"/>
      <w:r w:rsidRPr="00AA1DF1">
        <w:t xml:space="preserve"> pour s'adapter à l'évolution rapide de l'environnement numérique, les institutions et les autres parties prenantes de l'écosystème doivent garder une longueur d'avance et interpréter efficacement l'évolution de la dynamique des technologies, des politiques et de l'innovation. Cela nécessite d'adopter de nouvelles perspectives et de nouvelles approches, par exemple en dotant les pays de capacités de prospective et de recherche stratégique.</w:t>
      </w:r>
    </w:p>
    <w:p w14:paraId="2E8F20E0" w14:textId="77777777" w:rsidR="00495100" w:rsidRPr="00AA1DF1" w:rsidRDefault="00495100" w:rsidP="0009232F">
      <w:pPr>
        <w:tabs>
          <w:tab w:val="clear" w:pos="567"/>
          <w:tab w:val="left" w:pos="851"/>
        </w:tabs>
        <w:ind w:left="851" w:hanging="851"/>
        <w:jc w:val="both"/>
      </w:pPr>
      <w:r w:rsidRPr="00AA1DF1">
        <w:t>8.5.2</w:t>
      </w:r>
      <w:r w:rsidRPr="00AA1DF1">
        <w:tab/>
        <w:t xml:space="preserve">Innovation </w:t>
      </w:r>
      <w:proofErr w:type="gramStart"/>
      <w:r w:rsidRPr="00AA1DF1">
        <w:t>ouverte:</w:t>
      </w:r>
      <w:proofErr w:type="gramEnd"/>
      <w:r w:rsidRPr="00AA1DF1">
        <w:t xml:space="preserve"> exploiter le savoir-faire technologique pour créer une chaîne de valeur compétitive dans l'économie numérique grâce à l'innovation ouverte et à des mécanismes multi-parties prenantes, afin de garantir à tous un accès approprié aux technologies émergentes. Promouvoir la collaboration et les synergies qui font évoluer les innovations numériques et créent de la valeur dans tous les secteurs économiques pour favoriser une économie numérique compétitive.</w:t>
      </w:r>
    </w:p>
    <w:p w14:paraId="43ECF64F" w14:textId="77777777" w:rsidR="00495100" w:rsidRPr="00AA1DF1" w:rsidRDefault="00495100" w:rsidP="0009232F">
      <w:pPr>
        <w:tabs>
          <w:tab w:val="clear" w:pos="567"/>
          <w:tab w:val="left" w:pos="851"/>
        </w:tabs>
        <w:ind w:left="851" w:hanging="851"/>
        <w:jc w:val="both"/>
      </w:pPr>
      <w:r w:rsidRPr="00AA1DF1">
        <w:t>8.5.3</w:t>
      </w:r>
      <w:r w:rsidRPr="00AA1DF1">
        <w:tab/>
        <w:t xml:space="preserve">Croissance de l'entrepreneuriat et des </w:t>
      </w:r>
      <w:proofErr w:type="gramStart"/>
      <w:r w:rsidRPr="00AA1DF1">
        <w:t>MPME:</w:t>
      </w:r>
      <w:proofErr w:type="gramEnd"/>
      <w:r w:rsidRPr="00AA1DF1">
        <w:t xml:space="preserve"> il convient de redoubler d'efforts pour accélérer l'adhésion à l'entrepreneuriat numérique axé sur l'innovation et permettre aux talents d'intégrer l'inclusion socio-économique dans leurs communautés. L'intégration des technologies émergentes dans les programmes d'enseignement et le soutien aux écosystèmes d'innovation au sein des établissements universitaires peuvent permettre de valoriser les talents locaux et de favoriser une croissance économique inclusive.</w:t>
      </w:r>
    </w:p>
    <w:p w14:paraId="74B212BB" w14:textId="77777777" w:rsidR="00495100" w:rsidRPr="00AA1DF1" w:rsidRDefault="00495100" w:rsidP="0009232F">
      <w:pPr>
        <w:tabs>
          <w:tab w:val="clear" w:pos="567"/>
          <w:tab w:val="left" w:pos="851"/>
        </w:tabs>
        <w:ind w:left="851" w:hanging="851"/>
        <w:jc w:val="both"/>
      </w:pPr>
      <w:r w:rsidRPr="00AA1DF1">
        <w:t>8.5.4</w:t>
      </w:r>
      <w:r w:rsidRPr="00AA1DF1">
        <w:tab/>
        <w:t xml:space="preserve">Politique </w:t>
      </w:r>
      <w:proofErr w:type="gramStart"/>
      <w:r w:rsidRPr="00AA1DF1">
        <w:t>appropriée:</w:t>
      </w:r>
      <w:proofErr w:type="gramEnd"/>
      <w:r w:rsidRPr="00AA1DF1">
        <w:t xml:space="preserve"> élaborer des politiques souples et avant-gardistes qui encouragent l'innovation, soutiennent les parties prenantes de l'écosystème et améliorent les possibilités d'investissement. La collaboration internationale joue un rôle crucial dans l'échange de connaissances, le renforcement des capacités et l'harmonisation des normes.</w:t>
      </w:r>
    </w:p>
    <w:p w14:paraId="6E858E8F" w14:textId="77777777" w:rsidR="00495100" w:rsidRPr="00AA1DF1" w:rsidRDefault="00495100" w:rsidP="0009232F">
      <w:pPr>
        <w:tabs>
          <w:tab w:val="clear" w:pos="567"/>
          <w:tab w:val="left" w:pos="851"/>
        </w:tabs>
        <w:jc w:val="both"/>
      </w:pPr>
      <w:r w:rsidRPr="00AA1DF1">
        <w:t>8.6</w:t>
      </w:r>
      <w:r w:rsidRPr="00AA1DF1">
        <w:tab/>
        <w:t xml:space="preserve">Pour relever ces défis dans les écosystèmes de l'innovation des TIC, plusieurs questions doivent être examinées, notamment en ce qui concerne le rôle des MPME en tant que moteur de la transformation </w:t>
      </w:r>
      <w:proofErr w:type="gramStart"/>
      <w:r w:rsidRPr="00AA1DF1">
        <w:t>numérique:</w:t>
      </w:r>
      <w:proofErr w:type="gramEnd"/>
    </w:p>
    <w:p w14:paraId="14BB0341" w14:textId="77777777" w:rsidR="00495100" w:rsidRPr="00AA1DF1" w:rsidRDefault="00495100" w:rsidP="0009232F">
      <w:pPr>
        <w:tabs>
          <w:tab w:val="clear" w:pos="567"/>
          <w:tab w:val="left" w:pos="851"/>
        </w:tabs>
        <w:ind w:left="851" w:hanging="851"/>
        <w:jc w:val="both"/>
      </w:pPr>
      <w:r w:rsidRPr="00AA1DF1">
        <w:t>8.6.1</w:t>
      </w:r>
      <w:r w:rsidRPr="00AA1DF1">
        <w:tab/>
        <w:t>Quels sont les obstacles qui empêchent les MPME d'innover et de contribuer à l'écosystème de l'innovation technologique et des services de télécommunication/</w:t>
      </w:r>
      <w:proofErr w:type="gramStart"/>
      <w:r w:rsidRPr="00AA1DF1">
        <w:t>TIC?</w:t>
      </w:r>
      <w:proofErr w:type="gramEnd"/>
    </w:p>
    <w:p w14:paraId="65789F77" w14:textId="77777777" w:rsidR="00495100" w:rsidRPr="00AA1DF1" w:rsidRDefault="00495100" w:rsidP="0009232F">
      <w:pPr>
        <w:tabs>
          <w:tab w:val="clear" w:pos="567"/>
          <w:tab w:val="left" w:pos="851"/>
        </w:tabs>
        <w:ind w:left="851" w:hanging="851"/>
        <w:jc w:val="both"/>
      </w:pPr>
      <w:r w:rsidRPr="00AA1DF1">
        <w:t>8.6.2</w:t>
      </w:r>
      <w:r w:rsidRPr="00AA1DF1">
        <w:tab/>
        <w:t xml:space="preserve">Comment les décideurs peuvent-ils aider les MPME à mener à bien, de manière efficace et durable, la transformation numérique de leurs écosystèmes de services de télécommunication/TIC ainsi que de leurs écosystèmes d'innovation technologique, et les accompagner dans leur collaboration avec les grandes </w:t>
      </w:r>
      <w:proofErr w:type="gramStart"/>
      <w:r w:rsidRPr="00AA1DF1">
        <w:t>entreprises?</w:t>
      </w:r>
      <w:proofErr w:type="gramEnd"/>
    </w:p>
    <w:p w14:paraId="5F8A83AD" w14:textId="77777777" w:rsidR="00495100" w:rsidRPr="00AA1DF1" w:rsidRDefault="00495100" w:rsidP="0009232F">
      <w:pPr>
        <w:tabs>
          <w:tab w:val="clear" w:pos="567"/>
          <w:tab w:val="left" w:pos="851"/>
        </w:tabs>
        <w:ind w:left="851" w:hanging="851"/>
        <w:jc w:val="both"/>
      </w:pPr>
      <w:r w:rsidRPr="00AA1DF1">
        <w:t>8.6.3</w:t>
      </w:r>
      <w:r w:rsidRPr="00AA1DF1">
        <w:tab/>
        <w:t xml:space="preserve">Comment les décideurs peuvent-ils aider les MPME à innover, à se développer et à s'intégrer plus efficacement dans l'écosystème des services de télécommunication/TIC et de l'innovation </w:t>
      </w:r>
      <w:proofErr w:type="gramStart"/>
      <w:r w:rsidRPr="00AA1DF1">
        <w:t>technologique?</w:t>
      </w:r>
      <w:proofErr w:type="gramEnd"/>
    </w:p>
    <w:p w14:paraId="5FEA6FD1" w14:textId="77777777" w:rsidR="00495100" w:rsidRPr="00AA1DF1" w:rsidRDefault="00495100" w:rsidP="0009232F">
      <w:pPr>
        <w:tabs>
          <w:tab w:val="clear" w:pos="567"/>
          <w:tab w:val="left" w:pos="851"/>
        </w:tabs>
        <w:ind w:left="851" w:hanging="851"/>
        <w:jc w:val="both"/>
      </w:pPr>
      <w:r w:rsidRPr="00AA1DF1">
        <w:t>8.6.4</w:t>
      </w:r>
      <w:r w:rsidRPr="00AA1DF1">
        <w:tab/>
        <w:t xml:space="preserve">Comment l'UIT peut-elle aider les décideurs à collaborer avec les parties prenantes concernées pour investir dans la recherche-développement sur les services et les technologies de télécommunication/TIC en vue d'offrir de nouveaux produits et services innovants aux </w:t>
      </w:r>
      <w:proofErr w:type="gramStart"/>
      <w:r w:rsidRPr="00AA1DF1">
        <w:t>MPME?</w:t>
      </w:r>
      <w:proofErr w:type="gramEnd"/>
    </w:p>
    <w:p w14:paraId="3FD09B50" w14:textId="77777777" w:rsidR="00495100" w:rsidRPr="00AA1DF1" w:rsidRDefault="00495100" w:rsidP="0009232F">
      <w:pPr>
        <w:tabs>
          <w:tab w:val="clear" w:pos="567"/>
          <w:tab w:val="left" w:pos="851"/>
        </w:tabs>
        <w:ind w:left="851" w:hanging="851"/>
        <w:jc w:val="both"/>
      </w:pPr>
      <w:r w:rsidRPr="00AA1DF1">
        <w:lastRenderedPageBreak/>
        <w:t>8.6.5</w:t>
      </w:r>
      <w:r w:rsidRPr="00AA1DF1">
        <w:tab/>
        <w:t xml:space="preserve">Comment l'UIT peut-elle aider les décideurs à commercialiser la propriété intellectuelle créée par les MPME et à l'introduire dans l'écosystème des services de télécommunication/TIC et de l'innovation </w:t>
      </w:r>
      <w:proofErr w:type="gramStart"/>
      <w:r w:rsidRPr="00AA1DF1">
        <w:t>technologique?</w:t>
      </w:r>
      <w:proofErr w:type="gramEnd"/>
    </w:p>
    <w:p w14:paraId="40E3259A" w14:textId="77777777" w:rsidR="00495100" w:rsidRPr="00AA1DF1" w:rsidRDefault="00495100" w:rsidP="0009232F">
      <w:pPr>
        <w:tabs>
          <w:tab w:val="clear" w:pos="567"/>
          <w:tab w:val="left" w:pos="851"/>
        </w:tabs>
        <w:ind w:left="851" w:hanging="851"/>
        <w:jc w:val="both"/>
      </w:pPr>
      <w:r w:rsidRPr="00AA1DF1">
        <w:t>8.6.6</w:t>
      </w:r>
      <w:r w:rsidRPr="00AA1DF1">
        <w:tab/>
        <w:t xml:space="preserve">Comment les décideurs, les universités, les instituts de recherche, les pôles d'innovation et les entreprises du secteur des services de télécommunication/TIC et de l'innovation technologique peuvent-ils encourager, soutenir et développer l'esprit d'entreprise, et investir dans l'entrepreneuriat, et améliorer l'offre de talents numériques pour les </w:t>
      </w:r>
      <w:proofErr w:type="gramStart"/>
      <w:r w:rsidRPr="00AA1DF1">
        <w:t>entreprises?</w:t>
      </w:r>
      <w:proofErr w:type="gramEnd"/>
    </w:p>
    <w:p w14:paraId="6526611B" w14:textId="77777777" w:rsidR="00495100" w:rsidRPr="00AA1DF1" w:rsidRDefault="00495100" w:rsidP="0009232F">
      <w:pPr>
        <w:tabs>
          <w:tab w:val="clear" w:pos="567"/>
          <w:tab w:val="left" w:pos="851"/>
        </w:tabs>
        <w:ind w:left="851" w:hanging="851"/>
        <w:jc w:val="both"/>
      </w:pPr>
      <w:r w:rsidRPr="00AA1DF1">
        <w:t>8.6.7</w:t>
      </w:r>
      <w:r w:rsidRPr="00AA1DF1">
        <w:tab/>
        <w:t xml:space="preserve">Comment les décideurs peuvent-ils promouvoir la concurrence et améliorer l'accès à des marchés ouverts pour encourager l'esprit </w:t>
      </w:r>
      <w:proofErr w:type="gramStart"/>
      <w:r w:rsidRPr="00AA1DF1">
        <w:t>d'entreprise?</w:t>
      </w:r>
      <w:proofErr w:type="gramEnd"/>
    </w:p>
    <w:p w14:paraId="0C6832B0" w14:textId="77777777" w:rsidR="00495100" w:rsidRPr="00AA1DF1" w:rsidRDefault="00495100" w:rsidP="0009232F">
      <w:pPr>
        <w:tabs>
          <w:tab w:val="clear" w:pos="567"/>
          <w:tab w:val="left" w:pos="851"/>
        </w:tabs>
        <w:ind w:left="851" w:hanging="851"/>
        <w:jc w:val="both"/>
      </w:pPr>
      <w:r w:rsidRPr="00AA1DF1">
        <w:t>8.6.8</w:t>
      </w:r>
      <w:r w:rsidRPr="00AA1DF1">
        <w:tab/>
        <w:t>Comment l'UIT et la coopération internationale peuvent-elles appuyer le renforcement des services de télécommunication/TIC, ainsi que l'innovation et l'entrepreneuriat centrés sur la technologie, en mettant à disposition des plates-formes permettant de créer des réseaux de coopération pour le partage des connaissances et des compétences, pour l'évaluation et la formation, pour l'intégration des innovations en matière de services et de technologies de télécommunication/TIC dans les travaux de normalisation, ainsi que pour la mise en place d'outils réglementaires et de "bacs à sable"?</w:t>
      </w:r>
    </w:p>
    <w:p w14:paraId="146D304E" w14:textId="77777777" w:rsidR="00495100" w:rsidRPr="00AA1DF1" w:rsidRDefault="00495100" w:rsidP="0009232F">
      <w:pPr>
        <w:tabs>
          <w:tab w:val="clear" w:pos="567"/>
          <w:tab w:val="left" w:pos="851"/>
        </w:tabs>
        <w:ind w:left="851" w:hanging="851"/>
        <w:jc w:val="both"/>
      </w:pPr>
      <w:r w:rsidRPr="00AA1DF1">
        <w:t>8.6.9</w:t>
      </w:r>
      <w:r w:rsidRPr="00AA1DF1">
        <w:tab/>
        <w:t xml:space="preserve">Comment la réduction des obstacles réglementaires à l'entrée sur le marché peut-elle favoriser les services de télécommunication/TIC et l'innovation centrée sur la </w:t>
      </w:r>
      <w:proofErr w:type="gramStart"/>
      <w:r w:rsidRPr="00AA1DF1">
        <w:t>technologie?</w:t>
      </w:r>
      <w:proofErr w:type="gramEnd"/>
    </w:p>
    <w:p w14:paraId="3BE2D3D0" w14:textId="77777777" w:rsidR="00495100" w:rsidRPr="00AA1DF1" w:rsidRDefault="00495100" w:rsidP="0009232F">
      <w:pPr>
        <w:tabs>
          <w:tab w:val="clear" w:pos="567"/>
          <w:tab w:val="left" w:pos="851"/>
        </w:tabs>
        <w:ind w:left="851" w:hanging="851"/>
        <w:jc w:val="both"/>
      </w:pPr>
      <w:r w:rsidRPr="00AA1DF1">
        <w:t>8.6.10</w:t>
      </w:r>
      <w:r w:rsidRPr="00AA1DF1">
        <w:tab/>
        <w:t xml:space="preserve">De quelles capacités les organismes publics ont-ils besoin pour soutenir un secteur des services et des technologies de télécommunication/TIC innovant et anticiper les problèmes qui se font </w:t>
      </w:r>
      <w:proofErr w:type="gramStart"/>
      <w:r w:rsidRPr="00AA1DF1">
        <w:t>jour?</w:t>
      </w:r>
      <w:proofErr w:type="gramEnd"/>
    </w:p>
    <w:p w14:paraId="07E4A43D" w14:textId="77777777" w:rsidR="00495100" w:rsidRPr="00AA1DF1" w:rsidRDefault="00495100" w:rsidP="00495100">
      <w:pPr>
        <w:spacing w:before="360"/>
        <w:ind w:left="1134" w:hanging="1134"/>
        <w:jc w:val="both"/>
        <w:rPr>
          <w:b/>
          <w:bCs/>
        </w:rPr>
      </w:pPr>
      <w:proofErr w:type="gramStart"/>
      <w:r w:rsidRPr="00AA1DF1">
        <w:rPr>
          <w:b/>
          <w:bCs/>
        </w:rPr>
        <w:t>Annexe:</w:t>
      </w:r>
      <w:proofErr w:type="gramEnd"/>
      <w:r w:rsidRPr="00AA1DF1">
        <w:t xml:space="preserve"> 1</w:t>
      </w:r>
      <w:r w:rsidRPr="00AA1DF1">
        <w:rPr>
          <w:b/>
          <w:bCs/>
        </w:rPr>
        <w:br w:type="page"/>
      </w:r>
    </w:p>
    <w:p w14:paraId="697D6B2F" w14:textId="77777777" w:rsidR="00495100" w:rsidRPr="00AA1DF1" w:rsidRDefault="00495100" w:rsidP="00495100">
      <w:pPr>
        <w:pStyle w:val="AnnexNo"/>
        <w:rPr>
          <w:rFonts w:eastAsia="Calibri"/>
        </w:rPr>
      </w:pPr>
      <w:r w:rsidRPr="00AA1DF1">
        <w:lastRenderedPageBreak/>
        <w:t>ANNEXE</w:t>
      </w:r>
    </w:p>
    <w:p w14:paraId="0B85DEAB" w14:textId="77777777" w:rsidR="00495100" w:rsidRPr="00AA1DF1" w:rsidRDefault="00495100" w:rsidP="00495100">
      <w:pPr>
        <w:pStyle w:val="Annextitle"/>
        <w:rPr>
          <w:rFonts w:eastAsia="Calibri"/>
        </w:rPr>
      </w:pPr>
      <w:r w:rsidRPr="00AA1DF1">
        <w:rPr>
          <w:bCs/>
        </w:rPr>
        <w:t>Projets d'avis du septième Forum mondial des politiques de télécommunication et des technologies de l'information et de la communication de 2026</w:t>
      </w:r>
    </w:p>
    <w:p w14:paraId="29BBEB83" w14:textId="77777777" w:rsidR="00495100" w:rsidRPr="00AA1DF1" w:rsidRDefault="00495100" w:rsidP="0009232F">
      <w:pPr>
        <w:pStyle w:val="OpNo"/>
      </w:pPr>
      <w:r w:rsidRPr="00AA1DF1">
        <w:t>PROJET D'AVIS 1</w:t>
      </w:r>
    </w:p>
    <w:p w14:paraId="2946CC92" w14:textId="77777777" w:rsidR="00495100" w:rsidRPr="00AA1DF1" w:rsidRDefault="00495100" w:rsidP="0009232F">
      <w:pPr>
        <w:pStyle w:val="Optitle"/>
      </w:pPr>
      <w:r w:rsidRPr="00AA1DF1">
        <w:t>Réduction des fractures numériques, notamment entre les</w:t>
      </w:r>
      <w:r w:rsidRPr="00AA1DF1">
        <w:br/>
        <w:t>hommes et les femmes et entre les générations, ainsi</w:t>
      </w:r>
      <w:r w:rsidRPr="00AA1DF1">
        <w:br/>
        <w:t>qu'en matière de compétences et de connectivité</w:t>
      </w:r>
    </w:p>
    <w:p w14:paraId="1C22B790" w14:textId="77777777" w:rsidR="00495100" w:rsidRPr="00AA1DF1" w:rsidRDefault="00495100" w:rsidP="00434918">
      <w:pPr>
        <w:pStyle w:val="Normalaftertitle"/>
      </w:pPr>
      <w:r w:rsidRPr="00AA1DF1">
        <w:t>Le septième Forum mondial des politiques de télécommunication et des technologies de l'information et de la communication (Nassau, 2026),</w:t>
      </w:r>
    </w:p>
    <w:p w14:paraId="7AE8BD77" w14:textId="77777777" w:rsidR="00495100" w:rsidRPr="00AA1DF1" w:rsidRDefault="00495100" w:rsidP="00434918">
      <w:pPr>
        <w:pStyle w:val="Call"/>
      </w:pPr>
      <w:proofErr w:type="gramStart"/>
      <w:r w:rsidRPr="00AA1DF1">
        <w:t>rappelant</w:t>
      </w:r>
      <w:proofErr w:type="gramEnd"/>
    </w:p>
    <w:p w14:paraId="4DB97A3C"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a)</w:t>
      </w:r>
      <w:r w:rsidRPr="00AA1DF1">
        <w:rPr>
          <w:szCs w:val="24"/>
        </w:rPr>
        <w:tab/>
        <w:t xml:space="preserve">la Résolution 70/1 de l'Assemblée générale des Nations Unies, intitulée "Transformer notre </w:t>
      </w:r>
      <w:proofErr w:type="gramStart"/>
      <w:r w:rsidRPr="00AA1DF1">
        <w:rPr>
          <w:szCs w:val="24"/>
        </w:rPr>
        <w:t>monde:</w:t>
      </w:r>
      <w:proofErr w:type="gramEnd"/>
      <w:r w:rsidRPr="00AA1DF1">
        <w:rPr>
          <w:szCs w:val="24"/>
        </w:rPr>
        <w:t xml:space="preserve"> le Programme de développement durable à l'horizon 2030</w:t>
      </w:r>
      <w:proofErr w:type="gramStart"/>
      <w:r w:rsidRPr="00AA1DF1">
        <w:rPr>
          <w:szCs w:val="24"/>
        </w:rPr>
        <w:t>";</w:t>
      </w:r>
      <w:proofErr w:type="gramEnd"/>
    </w:p>
    <w:p w14:paraId="5F934150"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b)</w:t>
      </w:r>
      <w:r w:rsidRPr="00AA1DF1">
        <w:rPr>
          <w:szCs w:val="24"/>
        </w:rPr>
        <w:tab/>
        <w:t>la Résolution 80/173 de l'Assemblée générale des Nations Unies, intitulée "Document final de la réunion de haut niveau de l'Assemblée générale sur l'examen d'ensemble de la mise en œuvre des textes issus du Sommet mondial sur la société de l'information" (SMSI+20</w:t>
      </w:r>
      <w:proofErr w:type="gramStart"/>
      <w:r w:rsidRPr="00AA1DF1">
        <w:rPr>
          <w:szCs w:val="24"/>
        </w:rPr>
        <w:t>);</w:t>
      </w:r>
      <w:proofErr w:type="gramEnd"/>
    </w:p>
    <w:p w14:paraId="2F3D7B05"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c)</w:t>
      </w:r>
      <w:r w:rsidRPr="00AA1DF1">
        <w:rPr>
          <w:szCs w:val="24"/>
        </w:rPr>
        <w:tab/>
        <w:t xml:space="preserve">la Résolution 78/311 de l'Assemblée générale des Nations Unies sur l'intensification de la coopération internationale en matière de renforcement des capacités dans le domaine de l'intelligence </w:t>
      </w:r>
      <w:proofErr w:type="gramStart"/>
      <w:r w:rsidRPr="00AA1DF1">
        <w:rPr>
          <w:szCs w:val="24"/>
        </w:rPr>
        <w:t>artificielle;</w:t>
      </w:r>
      <w:proofErr w:type="gramEnd"/>
    </w:p>
    <w:p w14:paraId="64A54A4D"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d)</w:t>
      </w:r>
      <w:r w:rsidRPr="00AA1DF1">
        <w:rPr>
          <w:szCs w:val="24"/>
        </w:rPr>
        <w:tab/>
        <w:t xml:space="preserve">la Résolution 11 (Rév. Bakou, 2025) de la Conférence mondiale de développement des télécommunications (CMDT) relative aux services issus des télécommunications/technologies de l'information et de la communication (TIC) dans les zones rurales, isolées, non desservies et mal </w:t>
      </w:r>
      <w:proofErr w:type="gramStart"/>
      <w:r w:rsidRPr="00AA1DF1">
        <w:rPr>
          <w:szCs w:val="24"/>
        </w:rPr>
        <w:t>desservies;</w:t>
      </w:r>
      <w:proofErr w:type="gramEnd"/>
    </w:p>
    <w:p w14:paraId="342063DC"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e)</w:t>
      </w:r>
      <w:r w:rsidRPr="00AA1DF1">
        <w:rPr>
          <w:szCs w:val="24"/>
        </w:rPr>
        <w:tab/>
        <w:t xml:space="preserve">la Résolution 37 (Rév. Bakou, 2025) de la CMDT sur la réduction de la fracture </w:t>
      </w:r>
      <w:proofErr w:type="gramStart"/>
      <w:r w:rsidRPr="00AA1DF1">
        <w:rPr>
          <w:szCs w:val="24"/>
        </w:rPr>
        <w:t>numérique;</w:t>
      </w:r>
      <w:proofErr w:type="gramEnd"/>
    </w:p>
    <w:p w14:paraId="59A3BA60"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f)</w:t>
      </w:r>
      <w:r w:rsidRPr="00AA1DF1">
        <w:rPr>
          <w:szCs w:val="24"/>
        </w:rPr>
        <w:tab/>
        <w:t>la Résolution 55 (Rév. Bakou, 2025) de la CMDT sur l'intégration du principe de l'égalité hommes-femmes au sein du Secteur du développement des télécommunications de l'UIT, la promotion de l'égalité hommes-femmes et l'autonomisation des femmes et des jeunes filles grâce aux télécommunications/</w:t>
      </w:r>
      <w:proofErr w:type="gramStart"/>
      <w:r w:rsidRPr="00AA1DF1">
        <w:rPr>
          <w:szCs w:val="24"/>
        </w:rPr>
        <w:t>TIC;</w:t>
      </w:r>
      <w:proofErr w:type="gramEnd"/>
    </w:p>
    <w:p w14:paraId="7931CB57"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g)</w:t>
      </w:r>
      <w:r w:rsidRPr="00AA1DF1">
        <w:rPr>
          <w:szCs w:val="24"/>
        </w:rPr>
        <w:tab/>
        <w:t xml:space="preserve">la Résolution 58 (Rév. Bakou, 2025) de la CMDT relative à l'accessibilité des télécommunications/TIC pour les personnes handicapées et les personnes ayant des besoins </w:t>
      </w:r>
      <w:proofErr w:type="gramStart"/>
      <w:r w:rsidRPr="00AA1DF1">
        <w:rPr>
          <w:szCs w:val="24"/>
        </w:rPr>
        <w:t>particuliers;</w:t>
      </w:r>
      <w:proofErr w:type="gramEnd"/>
    </w:p>
    <w:p w14:paraId="0652B9FA"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h)</w:t>
      </w:r>
      <w:r w:rsidRPr="00AA1DF1">
        <w:rPr>
          <w:szCs w:val="24"/>
        </w:rPr>
        <w:tab/>
        <w:t>la Résolution 70 (Rév. Bucarest, 2022) de la Conférence de plénipotentiaires, relative à l'intégration du principe de l'égalité hommes-femmes à l'UIT et à la promotion de l'égalité hommes</w:t>
      </w:r>
      <w:r w:rsidRPr="00AA1DF1">
        <w:rPr>
          <w:szCs w:val="24"/>
        </w:rPr>
        <w:noBreakHyphen/>
        <w:t>femmes et de l'autonomisation des femmes et des jeunes filles grâce aux télécommunications/</w:t>
      </w:r>
      <w:proofErr w:type="gramStart"/>
      <w:r w:rsidRPr="00AA1DF1">
        <w:rPr>
          <w:szCs w:val="24"/>
        </w:rPr>
        <w:t>TIC;</w:t>
      </w:r>
      <w:proofErr w:type="gramEnd"/>
    </w:p>
    <w:p w14:paraId="2EB5588E"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i)</w:t>
      </w:r>
      <w:r w:rsidRPr="00AA1DF1">
        <w:rPr>
          <w:szCs w:val="24"/>
        </w:rPr>
        <w:tab/>
        <w:t xml:space="preserve">la Résolution 91 (Bakou, 2025) de la CMDT, sur les technologies d'intelligence artificielle dans le développement des </w:t>
      </w:r>
      <w:proofErr w:type="gramStart"/>
      <w:r w:rsidRPr="00AA1DF1">
        <w:rPr>
          <w:szCs w:val="24"/>
        </w:rPr>
        <w:t>télécommunications;</w:t>
      </w:r>
      <w:proofErr w:type="gramEnd"/>
    </w:p>
    <w:p w14:paraId="7E1303EB"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lastRenderedPageBreak/>
        <w:t>j)</w:t>
      </w:r>
      <w:r w:rsidRPr="00AA1DF1">
        <w:rPr>
          <w:szCs w:val="24"/>
        </w:rPr>
        <w:tab/>
        <w:t>la Résolution 214 (Bucarest, 2022) de la Conférence de plénipotentiaires, sur les technologies fondées sur l'intelligence artificielle et les télécommunications/</w:t>
      </w:r>
      <w:proofErr w:type="gramStart"/>
      <w:r w:rsidRPr="00AA1DF1">
        <w:rPr>
          <w:szCs w:val="24"/>
        </w:rPr>
        <w:t>TIC;</w:t>
      </w:r>
      <w:proofErr w:type="gramEnd"/>
    </w:p>
    <w:p w14:paraId="3A8A4163"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k)</w:t>
      </w:r>
      <w:r w:rsidRPr="00AA1DF1">
        <w:rPr>
          <w:szCs w:val="24"/>
        </w:rPr>
        <w:tab/>
        <w:t xml:space="preserve">la Résolution 71 (Rév. Bucarest, 2022) de la Conférence de plénipotentiaires sur le cadre stratégique de l'UIT pour la période 2024-2027, qui vise à favoriser et encourager l'accès universel, à un coût abordable, à des télécommunications/TIC sûres et de </w:t>
      </w:r>
      <w:proofErr w:type="gramStart"/>
      <w:r w:rsidRPr="00AA1DF1">
        <w:rPr>
          <w:szCs w:val="24"/>
        </w:rPr>
        <w:t>qualité;</w:t>
      </w:r>
      <w:proofErr w:type="gramEnd"/>
    </w:p>
    <w:p w14:paraId="64FB45E9"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l)</w:t>
      </w:r>
      <w:r w:rsidRPr="00AA1DF1">
        <w:rPr>
          <w:szCs w:val="24"/>
        </w:rPr>
        <w:tab/>
        <w:t xml:space="preserve">la Résolution 139 (Rév. Bucarest, 2022) de la Conférence de plénipotentiaires sur l'utilisation des télécommunications/TIC pour réduire la fracture numérique et édifier une société de l'information </w:t>
      </w:r>
      <w:proofErr w:type="gramStart"/>
      <w:r w:rsidRPr="00AA1DF1">
        <w:rPr>
          <w:szCs w:val="24"/>
        </w:rPr>
        <w:t>inclusive;</w:t>
      </w:r>
      <w:proofErr w:type="gramEnd"/>
    </w:p>
    <w:p w14:paraId="16B5D869"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m)</w:t>
      </w:r>
      <w:r w:rsidRPr="00AA1DF1">
        <w:rPr>
          <w:szCs w:val="24"/>
        </w:rPr>
        <w:tab/>
        <w:t xml:space="preserve">la Résolution 175 (Rév. Bucarest, 2022) de la Conférence de plénipotentiaires sur l'accessibilité des télécommunications/TIC pour les personnes handicapées et les personnes ayant des besoins </w:t>
      </w:r>
      <w:proofErr w:type="gramStart"/>
      <w:r w:rsidRPr="00AA1DF1">
        <w:rPr>
          <w:szCs w:val="24"/>
        </w:rPr>
        <w:t>particuliers;</w:t>
      </w:r>
      <w:proofErr w:type="gramEnd"/>
    </w:p>
    <w:p w14:paraId="593BE2AC"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n)</w:t>
      </w:r>
      <w:r w:rsidRPr="00AA1DF1">
        <w:rPr>
          <w:szCs w:val="24"/>
        </w:rPr>
        <w:tab/>
        <w:t xml:space="preserve">la Résolution 179 (Rév. Bucarest, 2022) de la Conférence de plénipotentiaires sur le rôle de l'UIT dans la protection en ligne des </w:t>
      </w:r>
      <w:proofErr w:type="gramStart"/>
      <w:r w:rsidRPr="00AA1DF1">
        <w:rPr>
          <w:szCs w:val="24"/>
        </w:rPr>
        <w:t>enfants;</w:t>
      </w:r>
      <w:proofErr w:type="gramEnd"/>
    </w:p>
    <w:p w14:paraId="6973D8F8"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o)</w:t>
      </w:r>
      <w:r w:rsidRPr="00AA1DF1">
        <w:rPr>
          <w:szCs w:val="24"/>
        </w:rPr>
        <w:tab/>
        <w:t>la Résolution 198 (Rév. Bucarest, 2022) de la Conférence de plénipotentiaires sur l'autonomisation des jeunes au moyen des télécommunications/</w:t>
      </w:r>
      <w:proofErr w:type="gramStart"/>
      <w:r w:rsidRPr="00AA1DF1">
        <w:rPr>
          <w:szCs w:val="24"/>
        </w:rPr>
        <w:t>TIC;</w:t>
      </w:r>
      <w:proofErr w:type="gramEnd"/>
    </w:p>
    <w:p w14:paraId="1C577EEF"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p)</w:t>
      </w:r>
      <w:r w:rsidRPr="00AA1DF1">
        <w:rPr>
          <w:szCs w:val="24"/>
        </w:rPr>
        <w:tab/>
        <w:t xml:space="preserve">la Résolution 200 (Rév. Bucarest, 2022) de la Conférence de plénipotentiaires sur le Programme Connect 2030 pour le développement des télécommunications/TIC dans le monde, y compris le large bande, en faveur du développement </w:t>
      </w:r>
      <w:proofErr w:type="gramStart"/>
      <w:r w:rsidRPr="00AA1DF1">
        <w:rPr>
          <w:szCs w:val="24"/>
        </w:rPr>
        <w:t>durable;</w:t>
      </w:r>
      <w:proofErr w:type="gramEnd"/>
    </w:p>
    <w:p w14:paraId="63AD4C52"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q)</w:t>
      </w:r>
      <w:r w:rsidRPr="00AA1DF1">
        <w:rPr>
          <w:szCs w:val="24"/>
        </w:rPr>
        <w:tab/>
        <w:t xml:space="preserve">l'Avis 3 (Genève, 2021) du Forum mondial des politiques de télécommunication/TIC sur la maîtrise des outils numériques et l'acquisition de compétences numériques pour un accès </w:t>
      </w:r>
      <w:proofErr w:type="gramStart"/>
      <w:r w:rsidRPr="00AA1DF1">
        <w:rPr>
          <w:szCs w:val="24"/>
        </w:rPr>
        <w:t>inclusif;</w:t>
      </w:r>
      <w:proofErr w:type="gramEnd"/>
    </w:p>
    <w:p w14:paraId="0A55DA28"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r)</w:t>
      </w:r>
      <w:r w:rsidRPr="00AA1DF1">
        <w:rPr>
          <w:szCs w:val="24"/>
        </w:rPr>
        <w:tab/>
        <w:t>la Résolution 77 (Rév. Bakou, 2025) de la CMDT sur les technologies et les applications large bande au service de la croissance et du développement accrus des services de télécommunication/d'information et de communication et de la connectivité large bande,</w:t>
      </w:r>
    </w:p>
    <w:p w14:paraId="1A9EE762" w14:textId="77777777" w:rsidR="00495100" w:rsidRPr="00AA1DF1" w:rsidRDefault="00495100" w:rsidP="00434918">
      <w:pPr>
        <w:pStyle w:val="Call"/>
      </w:pPr>
      <w:proofErr w:type="gramStart"/>
      <w:r w:rsidRPr="00AA1DF1">
        <w:t>considérant</w:t>
      </w:r>
      <w:proofErr w:type="gramEnd"/>
    </w:p>
    <w:p w14:paraId="5D1F4C94"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a)</w:t>
      </w:r>
      <w:r w:rsidRPr="00AA1DF1">
        <w:rPr>
          <w:szCs w:val="24"/>
        </w:rPr>
        <w:tab/>
        <w:t xml:space="preserve">que, pour parvenir à une connectivité universelle et efficace, il faut mettre l'accent sur les principaux catalyseurs, notamment l'infrastructure, l'accessibilité financière, les dispositifs, l'acquisition de compétences numériques et la maîtrise des outils numériques, la confiance des utilisateurs dans l'utilisation des télécommunications/TIC et les cadres politiques et réglementaires fondés sur des données </w:t>
      </w:r>
      <w:proofErr w:type="gramStart"/>
      <w:r w:rsidRPr="00AA1DF1">
        <w:rPr>
          <w:szCs w:val="24"/>
        </w:rPr>
        <w:t>factuelles;</w:t>
      </w:r>
      <w:proofErr w:type="gramEnd"/>
    </w:p>
    <w:p w14:paraId="14C9A987"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b)</w:t>
      </w:r>
      <w:r w:rsidRPr="00AA1DF1">
        <w:rPr>
          <w:szCs w:val="24"/>
        </w:rPr>
        <w:tab/>
        <w:t>que l'accès universel aux compétences numériques essentielles permet d'autonomiser les individus et les communautés, en particulier les femmes, les personnes âgées, les personnes handicapées et les communautés mal desservies, en fournissant les connaissances nécessaires pour s'épanouir dans le monde numérique, en favorisant l'inclusion, en réduisant la fracture numérique, en créant des débouchés économiques et en permettant une participation et un progrès social plus larges à l'ère du numérique;</w:t>
      </w:r>
    </w:p>
    <w:p w14:paraId="177958C4"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c)</w:t>
      </w:r>
      <w:r w:rsidRPr="00AA1DF1">
        <w:rPr>
          <w:szCs w:val="24"/>
        </w:rPr>
        <w:tab/>
        <w:t>que l'UIT joue un rôle important en connectant ceux qui ne le sont pas encore et en encourageant l'autonomisation des femmes, en particulier grâce à l'enseignement des sciences, de la technologie, de l'ingénierie et des mathématiques (STEM) et à la poursuite d'une carrière dans ces domaines, dans le cadre d'initiatives telles que "Les jeunes filles dans le secteur des TIC</w:t>
      </w:r>
      <w:proofErr w:type="gramStart"/>
      <w:r w:rsidRPr="00AA1DF1">
        <w:rPr>
          <w:szCs w:val="24"/>
        </w:rPr>
        <w:t>";</w:t>
      </w:r>
      <w:proofErr w:type="gramEnd"/>
    </w:p>
    <w:p w14:paraId="254F1DF0"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d)</w:t>
      </w:r>
      <w:r w:rsidRPr="00AA1DF1">
        <w:rPr>
          <w:szCs w:val="24"/>
        </w:rPr>
        <w:tab/>
        <w:t xml:space="preserve">qu'un accès équitable et abordable pour tous aux applications des télécommunications/TIC ouvre des perspectives d'emploi et favorise la création d'entreprises, en particulier pour les femmes, les groupes et les communautés marginalisés et mal </w:t>
      </w:r>
      <w:proofErr w:type="gramStart"/>
      <w:r w:rsidRPr="00AA1DF1">
        <w:rPr>
          <w:szCs w:val="24"/>
        </w:rPr>
        <w:t>desservis;</w:t>
      </w:r>
      <w:proofErr w:type="gramEnd"/>
    </w:p>
    <w:p w14:paraId="673C45A5"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lastRenderedPageBreak/>
        <w:t>e)</w:t>
      </w:r>
      <w:r w:rsidRPr="00AA1DF1">
        <w:rPr>
          <w:szCs w:val="24"/>
        </w:rPr>
        <w:tab/>
        <w:t xml:space="preserve">que les applications et services de télécommunication/TIC améliorent la connectivité sociale et l'accès de tous à des services essentiels, améliorant ainsi la qualité de </w:t>
      </w:r>
      <w:proofErr w:type="gramStart"/>
      <w:r w:rsidRPr="00AA1DF1">
        <w:rPr>
          <w:szCs w:val="24"/>
        </w:rPr>
        <w:t>vie;</w:t>
      </w:r>
      <w:proofErr w:type="gramEnd"/>
      <w:r w:rsidRPr="00AA1DF1">
        <w:rPr>
          <w:szCs w:val="24"/>
        </w:rPr>
        <w:t xml:space="preserve"> qu'elles permettent une communication en temps réel et comblent les lacunes pour les groupes/communautés marginalisés et mal desservis, garantissant ainsi une participation inclusive à l'ère du </w:t>
      </w:r>
      <w:proofErr w:type="gramStart"/>
      <w:r w:rsidRPr="00AA1DF1">
        <w:rPr>
          <w:szCs w:val="24"/>
        </w:rPr>
        <w:t>numérique;</w:t>
      </w:r>
      <w:proofErr w:type="gramEnd"/>
    </w:p>
    <w:p w14:paraId="0E48B365"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f)</w:t>
      </w:r>
      <w:r w:rsidRPr="00AA1DF1">
        <w:rPr>
          <w:szCs w:val="24"/>
        </w:rPr>
        <w:tab/>
        <w:t xml:space="preserve">que l'accès équitable et financièrement abordable aux télécommunications/TIC pour tous est essentiel au développement politique, économique, social et culturel, étant donné qu'elles contribuent largement à atténuer la pauvreté, à créer des emplois, à protéger l'environnement, y compris à prévenir les catastrophes, notamment naturelles, et à en atténuer les </w:t>
      </w:r>
      <w:proofErr w:type="gramStart"/>
      <w:r w:rsidRPr="00AA1DF1">
        <w:rPr>
          <w:szCs w:val="24"/>
        </w:rPr>
        <w:t>effets;</w:t>
      </w:r>
      <w:proofErr w:type="gramEnd"/>
    </w:p>
    <w:p w14:paraId="1616E51D"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g)</w:t>
      </w:r>
      <w:r w:rsidRPr="00AA1DF1">
        <w:rPr>
          <w:szCs w:val="24"/>
        </w:rPr>
        <w:tab/>
        <w:t xml:space="preserve">que la fracture numérique est un phénomène multidimensionnel et dynamique, qui varie non seulement d'un pays à l'autre, mais aussi au sein même des pays, ce qui engendre des besoins spécifiques en fonction des contextes géographiques, sociaux, économiques, démographiques et linguistiques, lesquels diffèrent selon les conditions propres à chaque pays ou </w:t>
      </w:r>
      <w:proofErr w:type="gramStart"/>
      <w:r w:rsidRPr="00AA1DF1">
        <w:rPr>
          <w:szCs w:val="24"/>
        </w:rPr>
        <w:t>région;</w:t>
      </w:r>
      <w:proofErr w:type="gramEnd"/>
    </w:p>
    <w:p w14:paraId="07603E97"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pacing w:val="-2"/>
          <w:szCs w:val="24"/>
        </w:rPr>
      </w:pPr>
      <w:r w:rsidRPr="00AA1DF1">
        <w:rPr>
          <w:i/>
          <w:iCs/>
          <w:szCs w:val="24"/>
        </w:rPr>
        <w:t>h)</w:t>
      </w:r>
      <w:r w:rsidRPr="00AA1DF1">
        <w:rPr>
          <w:szCs w:val="24"/>
        </w:rPr>
        <w:tab/>
        <w:t>que des mesures politiques inefficaces ou non contrôlées risquent d'aggraver involontairement la fracture numérique,</w:t>
      </w:r>
    </w:p>
    <w:p w14:paraId="124DCB0D" w14:textId="77777777" w:rsidR="00495100" w:rsidRPr="00AA1DF1" w:rsidRDefault="00495100" w:rsidP="00434918">
      <w:pPr>
        <w:pStyle w:val="Call"/>
      </w:pPr>
      <w:proofErr w:type="gramStart"/>
      <w:r w:rsidRPr="00AA1DF1">
        <w:t>reconnaissant</w:t>
      </w:r>
      <w:proofErr w:type="gramEnd"/>
    </w:p>
    <w:p w14:paraId="4D735AEF"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a)</w:t>
      </w:r>
      <w:r w:rsidRPr="00AA1DF1">
        <w:rPr>
          <w:szCs w:val="24"/>
        </w:rPr>
        <w:tab/>
        <w:t xml:space="preserve">que, sans accès à des outils d'identification fiables à l'ère du numérique, les individus pourraient se heurter à des obstacles importants pour utiliser les télécommunications/TIC afin d'accéder à des services essentiels tels que la santé, l'éducation et les services financiers, ce qui risquerait d'aggraver la fracture </w:t>
      </w:r>
      <w:proofErr w:type="gramStart"/>
      <w:r w:rsidRPr="00AA1DF1">
        <w:rPr>
          <w:szCs w:val="24"/>
        </w:rPr>
        <w:t>numérique;</w:t>
      </w:r>
      <w:proofErr w:type="gramEnd"/>
    </w:p>
    <w:p w14:paraId="5D7458EA"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b)</w:t>
      </w:r>
      <w:r w:rsidRPr="00AA1DF1">
        <w:rPr>
          <w:szCs w:val="24"/>
        </w:rPr>
        <w:tab/>
        <w:t xml:space="preserve">que de nombreuses personnes, en particulier dans les zones rurales et les zones à faible revenu, n'ont toujours pas accès à l'Internet et aux services de télécommunication/TIC à un prix </w:t>
      </w:r>
      <w:proofErr w:type="gramStart"/>
      <w:r w:rsidRPr="00AA1DF1">
        <w:rPr>
          <w:szCs w:val="24"/>
        </w:rPr>
        <w:t>abordable;</w:t>
      </w:r>
      <w:proofErr w:type="gramEnd"/>
    </w:p>
    <w:p w14:paraId="5383FDE5" w14:textId="77777777" w:rsidR="00495100" w:rsidRPr="00AA1DF1" w:rsidRDefault="00495100" w:rsidP="001528C8">
      <w:pPr>
        <w:jc w:val="both"/>
        <w:rPr>
          <w:rFonts w:eastAsiaTheme="minorEastAsia"/>
        </w:rPr>
      </w:pPr>
      <w:r w:rsidRPr="00AA1DF1">
        <w:rPr>
          <w:i/>
          <w:iCs/>
        </w:rPr>
        <w:t>c)</w:t>
      </w:r>
      <w:r w:rsidRPr="00AA1DF1">
        <w:tab/>
        <w:t>que le déficit de compétences numériques persiste, en particulier en ce qui concerne les femmes, les personnes handicapées et les personnes âgées, surtout dans les zones rurales et isolées, où l'accès à la formation est limité en raison d'inégalités structurelles; que les femmes sont moins susceptibles d'être connectées ou de posséder des compétences numériques adaptées au monde du travail, tandis que les personnes âgées présentent des niveaux de maîtrise variés, en fonction de leur niveau d'éducation et de leurs revenus; qu'il est essentiel de doter les enfants et les jeunes de compétences numériques pour réduire la fracture numérique;</w:t>
      </w:r>
    </w:p>
    <w:p w14:paraId="09B021D2"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d)</w:t>
      </w:r>
      <w:r w:rsidRPr="00AA1DF1">
        <w:rPr>
          <w:szCs w:val="24"/>
        </w:rPr>
        <w:tab/>
        <w:t xml:space="preserve">que les normes et les stéréotypes sociétaux limitent la capacité des femmes, des jeunes filles, des personnes handicapées et des personnes âgées de tirer pleinement parti de la transformation </w:t>
      </w:r>
      <w:proofErr w:type="gramStart"/>
      <w:r w:rsidRPr="00AA1DF1">
        <w:rPr>
          <w:szCs w:val="24"/>
        </w:rPr>
        <w:t>numérique;</w:t>
      </w:r>
      <w:proofErr w:type="gramEnd"/>
    </w:p>
    <w:p w14:paraId="450E30C8"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e)</w:t>
      </w:r>
      <w:r w:rsidRPr="00AA1DF1">
        <w:rPr>
          <w:szCs w:val="24"/>
        </w:rPr>
        <w:tab/>
        <w:t xml:space="preserve">que la société civile joue un rôle inestimable pour atteindre les communautés non desservies ou mal desservies, en renforçant la confiance du public et en stimulant la participation des communautés aux efforts d'inclusion </w:t>
      </w:r>
      <w:proofErr w:type="gramStart"/>
      <w:r w:rsidRPr="00AA1DF1">
        <w:rPr>
          <w:szCs w:val="24"/>
        </w:rPr>
        <w:t>numérique;</w:t>
      </w:r>
      <w:proofErr w:type="gramEnd"/>
    </w:p>
    <w:p w14:paraId="4C724B09"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f)</w:t>
      </w:r>
      <w:r w:rsidRPr="00AA1DF1">
        <w:rPr>
          <w:szCs w:val="24"/>
        </w:rPr>
        <w:tab/>
        <w:t xml:space="preserve">que les personnes non connectées comprennent les personnes vivant dans des zones sans accès à des infrastructures de télécommunication/TIC adéquates ainsi que celles, en plus grand nombre, qui vivent dans des zones déjà couvertes par ces infrastructures mais ne les utilisent pas en raison d'obstacles liés, notamment, à l'accessibilité financière et au déficit de compétences </w:t>
      </w:r>
      <w:proofErr w:type="gramStart"/>
      <w:r w:rsidRPr="00AA1DF1">
        <w:rPr>
          <w:szCs w:val="24"/>
        </w:rPr>
        <w:t>numériques;</w:t>
      </w:r>
      <w:proofErr w:type="gramEnd"/>
    </w:p>
    <w:p w14:paraId="57B58510"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g)</w:t>
      </w:r>
      <w:r w:rsidRPr="00AA1DF1">
        <w:rPr>
          <w:szCs w:val="24"/>
        </w:rPr>
        <w:tab/>
        <w:t xml:space="preserve">que l'accélération du déploiement du large bande constitue un défi de taille, notamment dans les zones rurales, isolées et difficiles d'accès, où la topographie et la démographie rendent le retour sur investissement </w:t>
      </w:r>
      <w:proofErr w:type="gramStart"/>
      <w:r w:rsidRPr="00AA1DF1">
        <w:rPr>
          <w:szCs w:val="24"/>
        </w:rPr>
        <w:t>difficile;</w:t>
      </w:r>
      <w:proofErr w:type="gramEnd"/>
    </w:p>
    <w:p w14:paraId="69BEAD1F"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lastRenderedPageBreak/>
        <w:t>h)</w:t>
      </w:r>
      <w:r w:rsidRPr="00AA1DF1">
        <w:rPr>
          <w:szCs w:val="24"/>
        </w:rPr>
        <w:tab/>
        <w:t xml:space="preserve">que les pays en développement continuent de se heurter à des obstacles distincts et uniques qui les empêchent de parvenir à une connectivité universelle et efficace, notamment l'isolement géographique, la taille réduite des marchés, la largeur de bande internationale limitée et la vulnérabilité aux catastrophes naturelles, ce qui accroît les coûts d'infrastructure et détourne des ressources déjà limitées des investissements à long terme dans le domaine des </w:t>
      </w:r>
      <w:proofErr w:type="gramStart"/>
      <w:r w:rsidRPr="00AA1DF1">
        <w:rPr>
          <w:szCs w:val="24"/>
        </w:rPr>
        <w:t>TIC;</w:t>
      </w:r>
      <w:proofErr w:type="gramEnd"/>
    </w:p>
    <w:p w14:paraId="53047732"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i)</w:t>
      </w:r>
      <w:r w:rsidRPr="00AA1DF1">
        <w:rPr>
          <w:szCs w:val="24"/>
        </w:rPr>
        <w:tab/>
        <w:t xml:space="preserve">que, pour les petits États insulaires en développement (PEID) et les autres pays côtiers, la connectivité en mer est essentielle pour préserver des vies humaines, soutenir les activités économiques et promouvoir le développement durable, en particulier pour les communautés maritimes </w:t>
      </w:r>
      <w:proofErr w:type="gramStart"/>
      <w:r w:rsidRPr="00AA1DF1">
        <w:rPr>
          <w:szCs w:val="24"/>
        </w:rPr>
        <w:t>vulnérables;</w:t>
      </w:r>
      <w:proofErr w:type="gramEnd"/>
    </w:p>
    <w:p w14:paraId="6D5D9972"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j)</w:t>
      </w:r>
      <w:r w:rsidRPr="00AA1DF1">
        <w:rPr>
          <w:szCs w:val="24"/>
        </w:rPr>
        <w:tab/>
        <w:t xml:space="preserve">qu'il est nécessaire de nouer des partenariats avec diverses parties prenantes, notamment les pouvoirs publics, le secteur privé, la société civile, les milieux techniques et les milieux universitaires, pour réduire les fractures </w:t>
      </w:r>
      <w:proofErr w:type="gramStart"/>
      <w:r w:rsidRPr="00AA1DF1">
        <w:rPr>
          <w:szCs w:val="24"/>
        </w:rPr>
        <w:t>numériques;</w:t>
      </w:r>
      <w:proofErr w:type="gramEnd"/>
    </w:p>
    <w:p w14:paraId="3AD493EA"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k)</w:t>
      </w:r>
      <w:r w:rsidRPr="00AA1DF1">
        <w:rPr>
          <w:szCs w:val="24"/>
        </w:rPr>
        <w:tab/>
        <w:t xml:space="preserve">que la réduction de la fracture numérique pour tous les pays et toutes les populations est essentielle à la réalisation des Objectifs de développement durable (ODD) et à la mise en œuvre du Pacte numérique mondial, en particulier pour les femmes et les jeunes filles, les jeunes, les peuples autochtones, les personnes âgées, les personnes handicapées et les personnes ayant des besoins </w:t>
      </w:r>
      <w:proofErr w:type="gramStart"/>
      <w:r w:rsidRPr="00AA1DF1">
        <w:rPr>
          <w:szCs w:val="24"/>
        </w:rPr>
        <w:t>particuliers;</w:t>
      </w:r>
      <w:proofErr w:type="gramEnd"/>
    </w:p>
    <w:p w14:paraId="083B4842"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l)</w:t>
      </w:r>
      <w:r w:rsidRPr="00AA1DF1">
        <w:rPr>
          <w:szCs w:val="24"/>
        </w:rPr>
        <w:tab/>
        <w:t xml:space="preserve">que l'exploitation des télécommunications/TIC nouvelles et émergentes peut jouer un rôle essentiel pour renforcer une connectivité universelle et efficace, stimuler l'innovation et soutenir une croissance inclusive, en favorisant des solutions plus intelligentes et une meilleure accessibilité dans tous les secteurs, tout en tenant compte des besoins propres aux zones mal desservies et aux groupes </w:t>
      </w:r>
      <w:proofErr w:type="gramStart"/>
      <w:r w:rsidRPr="00AA1DF1">
        <w:rPr>
          <w:szCs w:val="24"/>
        </w:rPr>
        <w:t>marginalisés;</w:t>
      </w:r>
      <w:proofErr w:type="gramEnd"/>
    </w:p>
    <w:p w14:paraId="654FD40E"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m)</w:t>
      </w:r>
      <w:r w:rsidRPr="00AA1DF1">
        <w:rPr>
          <w:szCs w:val="24"/>
        </w:rPr>
        <w:tab/>
        <w:t xml:space="preserve">que les technologies nouvelles et émergentes, y compris l'intelligence artificielle, peuvent également jouer un rôle central pour renforcer les télécommunications/TIC et parvenir à une connectivité universelle et efficace, ce qui stimule l'innovation, favorise une croissance inclusive et permet de mettre en place des solutions plus intelligentes et d'améliorer l'accessibilité dans tous les </w:t>
      </w:r>
      <w:proofErr w:type="gramStart"/>
      <w:r w:rsidRPr="00AA1DF1">
        <w:rPr>
          <w:szCs w:val="24"/>
        </w:rPr>
        <w:t>secteurs;</w:t>
      </w:r>
      <w:proofErr w:type="gramEnd"/>
    </w:p>
    <w:p w14:paraId="4287133F"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n)</w:t>
      </w:r>
      <w:r w:rsidRPr="00AA1DF1">
        <w:rPr>
          <w:szCs w:val="24"/>
        </w:rPr>
        <w:tab/>
        <w:t>que le développement rapide des télécommunications/TIC nouvelles et émergentes, ainsi que des technologies nouvelles et émergentes, a des incidences sur l'évolution de la fracture numérique et que les pays en développement font face à des défis particuliers pour tirer parti des possibilités qui en découlent,</w:t>
      </w:r>
    </w:p>
    <w:p w14:paraId="52FA42E2" w14:textId="77777777" w:rsidR="00495100" w:rsidRPr="00AA1DF1" w:rsidRDefault="00495100" w:rsidP="00434918">
      <w:pPr>
        <w:pStyle w:val="Call"/>
      </w:pPr>
      <w:proofErr w:type="gramStart"/>
      <w:r w:rsidRPr="00AA1DF1">
        <w:t>est</w:t>
      </w:r>
      <w:proofErr w:type="gramEnd"/>
      <w:r w:rsidRPr="00AA1DF1">
        <w:t xml:space="preserve"> d'avis</w:t>
      </w:r>
    </w:p>
    <w:p w14:paraId="65E4C0A0"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w:t>
      </w:r>
      <w:r w:rsidRPr="00AA1DF1">
        <w:rPr>
          <w:szCs w:val="24"/>
        </w:rPr>
        <w:tab/>
        <w:t xml:space="preserve">que des infrastructures publiques numériques résilientes, sûres, inclusives et interopérables facilitent la connectivité universelle et efficace et favorisent l'inclusion sociale et </w:t>
      </w:r>
      <w:proofErr w:type="gramStart"/>
      <w:r w:rsidRPr="00AA1DF1">
        <w:rPr>
          <w:szCs w:val="24"/>
        </w:rPr>
        <w:t>financière;</w:t>
      </w:r>
      <w:proofErr w:type="gramEnd"/>
    </w:p>
    <w:p w14:paraId="13BEA2E1" w14:textId="77777777" w:rsidR="00495100" w:rsidRPr="00AA1DF1" w:rsidRDefault="00495100" w:rsidP="001528C8">
      <w:pPr>
        <w:jc w:val="both"/>
        <w:rPr>
          <w:rFonts w:eastAsiaTheme="minorEastAsia"/>
        </w:rPr>
      </w:pPr>
      <w:r w:rsidRPr="00AA1DF1">
        <w:t>2</w:t>
      </w:r>
      <w:r w:rsidRPr="00AA1DF1">
        <w:tab/>
        <w:t>qu'il convient d'encourager les pouvoirs publics à donner la priorité aux investissements visant à étendre les infrastructures large bande de dernière génération aux zones non desservies ou mal desservies, afin de garantir l'accès universel à l'Internet haut débit à un prix abordable; en améliorant les infrastructures et en actualisant la réglementation, ces investissements contribuent à réduire la fracture numérique, permettant ainsi à davantage de personnes de participer à l'économie numérique, d'accéder aux services essentiels et d'améliorer leur qualité de vie;</w:t>
      </w:r>
    </w:p>
    <w:p w14:paraId="137B42AB"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3</w:t>
      </w:r>
      <w:r w:rsidRPr="00AA1DF1">
        <w:rPr>
          <w:szCs w:val="24"/>
        </w:rPr>
        <w:tab/>
        <w:t xml:space="preserve">que la mise en œuvre de programmes ciblés de formation aux compétences numériques et à la maîtrise des outils numériques peut contribuer à combler le déficit de compétences et à lever les obstacles à l'adoption et à l'utilisation de l'Internet, en particulier pour les femmes, les personnes </w:t>
      </w:r>
      <w:r w:rsidRPr="00AA1DF1">
        <w:rPr>
          <w:szCs w:val="24"/>
        </w:rPr>
        <w:lastRenderedPageBreak/>
        <w:t>handicapées, les jeunes et les personnes âgées; ces programmes relatifs aux compétences numériques et la maîtrise des outils numériques peuvent viser à doter les individus des compétences essentielles pour appréhender et utiliser efficacement les applications et services de télécommunication/TIC; ces programmes peuvent porter sur les compétences informatiques et d'autres compétences numériques et la sensibilisation à la cybersécurité; les avantages de ces programmes comprennent l'amélioration de l'employabilité, l'inclusion sociale, la sensibilisation à la cybersécurité et la formation continue;</w:t>
      </w:r>
    </w:p>
    <w:p w14:paraId="7AB9650C"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4</w:t>
      </w:r>
      <w:r w:rsidRPr="00AA1DF1">
        <w:rPr>
          <w:szCs w:val="24"/>
        </w:rPr>
        <w:tab/>
        <w:t>que la mise en place de politiques visant à promouvoir l'égalité au sein des communautés confrontées à des obstacles systémiques et à favoriser l'inclusion des groupes marginalisés de la société dans l'économie numérique peut contribuer à surmonter les barrières culturelles; ces politiques devraient inclure un accès équitable et abordable pour tous à des programmes de maîtrise des technologies cibles, des carrières dans les STEM pour les femmes et des technologies accessibles aux personnes âgées;</w:t>
      </w:r>
    </w:p>
    <w:p w14:paraId="35666FC7"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5</w:t>
      </w:r>
      <w:r w:rsidRPr="00AA1DF1">
        <w:rPr>
          <w:szCs w:val="24"/>
        </w:rPr>
        <w:tab/>
        <w:t xml:space="preserve">que les compétences numériques peuvent contribuer à exploiter le potentiel des applications et services de télécommunication/TIC en faveur du développement </w:t>
      </w:r>
      <w:proofErr w:type="gramStart"/>
      <w:r w:rsidRPr="00AA1DF1">
        <w:rPr>
          <w:szCs w:val="24"/>
        </w:rPr>
        <w:t>durable;</w:t>
      </w:r>
      <w:proofErr w:type="gramEnd"/>
    </w:p>
    <w:p w14:paraId="35DAE6DB"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6</w:t>
      </w:r>
      <w:r w:rsidRPr="00AA1DF1">
        <w:rPr>
          <w:szCs w:val="24"/>
        </w:rPr>
        <w:tab/>
        <w:t xml:space="preserve">que la société civile et les groupes communautaires peuvent apporter une contribution importante en aidant les groupes marginalisés de la société, notamment les femmes et les personnes âgées, à avoir accès aux télécommunications/TIC et à les </w:t>
      </w:r>
      <w:proofErr w:type="gramStart"/>
      <w:r w:rsidRPr="00AA1DF1">
        <w:rPr>
          <w:szCs w:val="24"/>
        </w:rPr>
        <w:t>utiliser;</w:t>
      </w:r>
      <w:proofErr w:type="gramEnd"/>
    </w:p>
    <w:p w14:paraId="29D736ED"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7</w:t>
      </w:r>
      <w:r w:rsidRPr="00AA1DF1">
        <w:rPr>
          <w:szCs w:val="24"/>
        </w:rPr>
        <w:tab/>
        <w:t xml:space="preserve">que les parties prenantes devraient œuvrer ensemble pour progresser vers l'accès universel à l'Internet haut </w:t>
      </w:r>
      <w:proofErr w:type="gramStart"/>
      <w:r w:rsidRPr="00AA1DF1">
        <w:rPr>
          <w:szCs w:val="24"/>
        </w:rPr>
        <w:t>débit;</w:t>
      </w:r>
      <w:proofErr w:type="gramEnd"/>
    </w:p>
    <w:p w14:paraId="4062F3FF"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8</w:t>
      </w:r>
      <w:r w:rsidRPr="00AA1DF1">
        <w:rPr>
          <w:szCs w:val="24"/>
        </w:rPr>
        <w:tab/>
        <w:t xml:space="preserve">que l'UIT, dans le cadre de son mandat, devrait continuer de collaborer étroitement avec d'autres institutions des Nations Unies, des organisations internationales et d'autres parties prenantes dans les domaines de la connectivité et de la réduction de la fracture numérique, en particulier s'agissant des questions liées à l'égalité hommes-femmes et à </w:t>
      </w:r>
      <w:proofErr w:type="gramStart"/>
      <w:r w:rsidRPr="00AA1DF1">
        <w:rPr>
          <w:szCs w:val="24"/>
        </w:rPr>
        <w:t>l'âge;</w:t>
      </w:r>
      <w:proofErr w:type="gramEnd"/>
    </w:p>
    <w:p w14:paraId="2F374592"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9</w:t>
      </w:r>
      <w:r w:rsidRPr="00AA1DF1">
        <w:rPr>
          <w:szCs w:val="24"/>
        </w:rPr>
        <w:tab/>
        <w:t xml:space="preserve">que des approches réglementaires et de gouvernance inclusives, telles que les feuilles de route multipartites en matière de connectivité universelle et les stratégies réglementaires fondées sur les communautés, sont essentielles pour garantir une prise en compte des besoins des populations mal </w:t>
      </w:r>
      <w:proofErr w:type="gramStart"/>
      <w:r w:rsidRPr="00AA1DF1">
        <w:rPr>
          <w:szCs w:val="24"/>
        </w:rPr>
        <w:t>desservies;</w:t>
      </w:r>
      <w:proofErr w:type="gramEnd"/>
    </w:p>
    <w:p w14:paraId="7674B3E6"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10</w:t>
      </w:r>
      <w:r w:rsidRPr="00AA1DF1">
        <w:rPr>
          <w:szCs w:val="24"/>
        </w:rPr>
        <w:tab/>
        <w:t>que les gouvernements qui s'engagent dans la voie d'une transformation numérique en adoptant des services et des technologies de télécommunication/TIC nouveaux et émergents devraient également tenir compte des besoins en matière d'accessibilité ainsi que des considérations liées à l'âge et à l'égalité hommes-</w:t>
      </w:r>
      <w:proofErr w:type="gramStart"/>
      <w:r w:rsidRPr="00AA1DF1">
        <w:rPr>
          <w:szCs w:val="24"/>
        </w:rPr>
        <w:t>femmes;</w:t>
      </w:r>
      <w:proofErr w:type="gramEnd"/>
    </w:p>
    <w:p w14:paraId="762671CB"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11</w:t>
      </w:r>
      <w:r w:rsidRPr="00AA1DF1">
        <w:rPr>
          <w:szCs w:val="24"/>
        </w:rPr>
        <w:tab/>
        <w:t>que la collaboration entre les pouvoirs publics, le secteur privé et la société civile peut être à l'origine d'initiatives visant à fournir un accès numérique financièrement abordable; les partenariats public-privé peuvent tirer parti des atouts des organismes publics, des entreprises privées et de la société civile pour fournir un accès et une formation numériques financièrement abordables; ces collaborations peuvent inclure la mise en commun des ressources, la combinaison de l'innovation technologique et du soutien réglementaire, et la mise à l'échelle efficace des initiatives; des mesures d'incitation pour le secteur privé, des politiques et des réglementations favorables ainsi qu'une réglementation actualisée peuvent renforcer l'efficacité des partenariats public-privé dans la réduction de la fracture numérique;</w:t>
      </w:r>
    </w:p>
    <w:p w14:paraId="3BE860AC"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12</w:t>
      </w:r>
      <w:r w:rsidRPr="00AA1DF1">
        <w:rPr>
          <w:szCs w:val="24"/>
        </w:rPr>
        <w:tab/>
        <w:t xml:space="preserve">que l'UIT joue un rôle déterminant dans la réduction de la fracture numérique en facilitant l'interopérabilité, et en optimisant la connectivité mondiale des réseaux et services de </w:t>
      </w:r>
      <w:proofErr w:type="gramStart"/>
      <w:r w:rsidRPr="00AA1DF1">
        <w:rPr>
          <w:szCs w:val="24"/>
        </w:rPr>
        <w:t>télécommunication;</w:t>
      </w:r>
      <w:proofErr w:type="gramEnd"/>
    </w:p>
    <w:p w14:paraId="5CD17DED"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lastRenderedPageBreak/>
        <w:t>13</w:t>
      </w:r>
      <w:r w:rsidRPr="00AA1DF1">
        <w:rPr>
          <w:szCs w:val="24"/>
        </w:rPr>
        <w:tab/>
        <w:t xml:space="preserve">qu'il est urgent de réduire les fractures numériques entre les pays et au sein même des pays et que la collaboration internationale, par exemple en matière de renforcement des capacités, joue un rôle important dans ces </w:t>
      </w:r>
      <w:proofErr w:type="gramStart"/>
      <w:r w:rsidRPr="00AA1DF1">
        <w:rPr>
          <w:szCs w:val="24"/>
        </w:rPr>
        <w:t>efforts;</w:t>
      </w:r>
      <w:proofErr w:type="gramEnd"/>
    </w:p>
    <w:p w14:paraId="6BD8C5F6"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14</w:t>
      </w:r>
      <w:r w:rsidRPr="00AA1DF1">
        <w:rPr>
          <w:szCs w:val="24"/>
        </w:rPr>
        <w:tab/>
        <w:t xml:space="preserve">qu'il est essentiel de promouvoir des applications, des services et des outils de télécommunication/TIC financièrement abordables, accessibles et inclusifs pour les jeunes, les personnes âgées et les personnes handicapées, ainsi que de tenir compte de leurs besoins durant le processus de transformation </w:t>
      </w:r>
      <w:proofErr w:type="gramStart"/>
      <w:r w:rsidRPr="00AA1DF1">
        <w:rPr>
          <w:szCs w:val="24"/>
        </w:rPr>
        <w:t>numérique;</w:t>
      </w:r>
      <w:proofErr w:type="gramEnd"/>
    </w:p>
    <w:p w14:paraId="762F588A"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15</w:t>
      </w:r>
      <w:r w:rsidRPr="00AA1DF1">
        <w:rPr>
          <w:szCs w:val="24"/>
        </w:rPr>
        <w:tab/>
        <w:t xml:space="preserve">qu'il est important de formuler des stratégies d'inclusion numérique fondées sur des données ventilées et des analyses adaptées au contexte local afin d'identifier les groupes en situation d'exclusion numérique dans chaque pays ou </w:t>
      </w:r>
      <w:proofErr w:type="gramStart"/>
      <w:r w:rsidRPr="00AA1DF1">
        <w:rPr>
          <w:szCs w:val="24"/>
        </w:rPr>
        <w:t>région;</w:t>
      </w:r>
      <w:proofErr w:type="gramEnd"/>
    </w:p>
    <w:p w14:paraId="11648ED0"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16</w:t>
      </w:r>
      <w:r w:rsidRPr="00AA1DF1">
        <w:rPr>
          <w:szCs w:val="24"/>
        </w:rPr>
        <w:tab/>
        <w:t>que les décideurs devraient aller au-delà de la conception réglementaire et veiller à ce que des mécanismes soient mis en place pour suivre la mise en œuvre effective et les incidences des réglementations au fil du temps, grâce à des dispositifs tels que des audits indépendants, des rapports périodiques et des boucles de retour d'information avec les communautés,</w:t>
      </w:r>
    </w:p>
    <w:p w14:paraId="59C76B99" w14:textId="77777777" w:rsidR="00495100" w:rsidRPr="00AA1DF1" w:rsidRDefault="00495100" w:rsidP="00434918">
      <w:pPr>
        <w:pStyle w:val="Call"/>
      </w:pPr>
      <w:proofErr w:type="gramStart"/>
      <w:r w:rsidRPr="00AA1DF1">
        <w:t>invite</w:t>
      </w:r>
      <w:proofErr w:type="gramEnd"/>
      <w:r w:rsidRPr="00AA1DF1">
        <w:t xml:space="preserve"> les États Membres</w:t>
      </w:r>
    </w:p>
    <w:p w14:paraId="5277A299"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w:t>
      </w:r>
      <w:r w:rsidRPr="00AA1DF1">
        <w:rPr>
          <w:szCs w:val="24"/>
        </w:rPr>
        <w:tab/>
        <w:t xml:space="preserve">à envisager la mise en place de réseaux et d'applications de télécommunication/TIC résilients, sécurisés, inclusifs et interopérables, y compris ceux qui permettent la mise en place d'infrastructures publiques numériques, adaptés aux contextes nationaux, qui favorisent une connectivité universelle et efficace, et qui comblent les fractures </w:t>
      </w:r>
      <w:proofErr w:type="gramStart"/>
      <w:r w:rsidRPr="00AA1DF1">
        <w:rPr>
          <w:szCs w:val="24"/>
        </w:rPr>
        <w:t>numériques;</w:t>
      </w:r>
      <w:proofErr w:type="gramEnd"/>
    </w:p>
    <w:p w14:paraId="52A5B580"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bCs/>
          <w:szCs w:val="24"/>
          <w:shd w:val="clear" w:color="auto" w:fill="F2DBDB" w:themeFill="accent2" w:themeFillTint="33"/>
        </w:rPr>
      </w:pPr>
      <w:r w:rsidRPr="00AA1DF1">
        <w:rPr>
          <w:szCs w:val="24"/>
        </w:rPr>
        <w:t>2</w:t>
      </w:r>
      <w:r w:rsidRPr="00AA1DF1">
        <w:rPr>
          <w:szCs w:val="24"/>
        </w:rPr>
        <w:tab/>
        <w:t>à continuer d'examiner et, le cas échéant, à revoir la portée des cadres politiques et réglementaires pertinents et à envisager de créer des environnements propices aux investissements visant à étendre les technologies mobiles les plus récentes, telles que les IMT-2020, les infrastructures spatiales et d'autres infrastructures large bande aux zones non desservies ou mal desservies, y compris les zones rurales, isolées et maritimes, dans l'intérêt des communautés concernées; à mettre en place des mesures incitatives à l'intention des opérateurs de télécommunication afin qu'ils proposent des services mobiles et large bande dans les zones mal desservies ou non desservies;</w:t>
      </w:r>
    </w:p>
    <w:p w14:paraId="3A30DB3F"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3</w:t>
      </w:r>
      <w:r w:rsidRPr="00AA1DF1">
        <w:rPr>
          <w:szCs w:val="24"/>
        </w:rPr>
        <w:tab/>
        <w:t>à élaborer des politiques inclusives qui favorisent un accès équitable et financièrement abordable pour tous, l'égalité hommes-femmes et soutiennent l'inclusion numérique des personnes âgées et des personnes handicapées en s'attaquant aux obstacles culturels, structurels et liés à l'accessibilité; ces efforts devraient tenir compte de la diversité nationale et régionale et en refléter la réalité, garantir l'accès de tous aux technologies, prévoir des programmes ciblés d'acquisition de compétences numériques, encourager la participation des femmes dans les STEM, et donner la priorité à la conception de technologies accessibles aux personnes âgées et aux personnes handicapées; en outre, les États sont encouragés à intégrer les considérations liées à l'égalité hommes-femmes et à l'âge dans les stratégies en matière de TIC, de STEM et de télécommunication afin de bâtir un monde numérique plus inclusif et équitable;</w:t>
      </w:r>
    </w:p>
    <w:p w14:paraId="7F57E15D"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4</w:t>
      </w:r>
      <w:r w:rsidRPr="00AA1DF1">
        <w:rPr>
          <w:szCs w:val="24"/>
        </w:rPr>
        <w:tab/>
        <w:t xml:space="preserve">à appuyer les travaux de recherche sur les obstacles à l'accès aux télécommunications/TIC et à l'utilisation efficace de l'Internet, en mettant l'accent sur les considérations liées à l'égalité hommes-femmes et à </w:t>
      </w:r>
      <w:proofErr w:type="gramStart"/>
      <w:r w:rsidRPr="00AA1DF1">
        <w:rPr>
          <w:szCs w:val="24"/>
        </w:rPr>
        <w:t>l'âge;</w:t>
      </w:r>
      <w:proofErr w:type="gramEnd"/>
    </w:p>
    <w:p w14:paraId="696DB90C"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5</w:t>
      </w:r>
      <w:r w:rsidRPr="00AA1DF1">
        <w:rPr>
          <w:szCs w:val="24"/>
        </w:rPr>
        <w:tab/>
        <w:t xml:space="preserve">à recueillir des données ventilées de qualité par sexe, âge, situation géographique, situation socio-économique, accès à l'Internet et utilisation de l'Internet, et participation dans le secteur des </w:t>
      </w:r>
      <w:r w:rsidRPr="00AA1DF1">
        <w:rPr>
          <w:szCs w:val="24"/>
        </w:rPr>
        <w:lastRenderedPageBreak/>
        <w:t xml:space="preserve">télécommunications/TIC, afin de pouvoir mesurer la fracture numérique et d'étayer l'élaboration de mesures politiques inclusives et des programmes de </w:t>
      </w:r>
      <w:proofErr w:type="gramStart"/>
      <w:r w:rsidRPr="00AA1DF1">
        <w:rPr>
          <w:szCs w:val="24"/>
        </w:rPr>
        <w:t>développement;</w:t>
      </w:r>
      <w:proofErr w:type="gramEnd"/>
    </w:p>
    <w:p w14:paraId="316102C3"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6</w:t>
      </w:r>
      <w:r w:rsidRPr="00AA1DF1">
        <w:rPr>
          <w:szCs w:val="24"/>
        </w:rPr>
        <w:tab/>
        <w:t xml:space="preserve">à collaborer avec les parties prenantes du secteur privé, de la société civile, des milieux techniques et des milieux universitaires, afin d'examiner les meilleurs moyens de développer une connectivité efficace et financièrement abordable ainsi que des perspectives d'emploi dans le secteur des télécommunications/TIC, de dispenser des compétences numériques et de réduire la fracture numérique entre les hommes et les </w:t>
      </w:r>
      <w:proofErr w:type="gramStart"/>
      <w:r w:rsidRPr="00AA1DF1">
        <w:rPr>
          <w:szCs w:val="24"/>
        </w:rPr>
        <w:t>femmes;</w:t>
      </w:r>
      <w:proofErr w:type="gramEnd"/>
    </w:p>
    <w:p w14:paraId="71B3C0EA"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7</w:t>
      </w:r>
      <w:r w:rsidRPr="00AA1DF1">
        <w:rPr>
          <w:szCs w:val="24"/>
        </w:rPr>
        <w:tab/>
        <w:t xml:space="preserve">à adopter des stratégies régionales, locales et nationales, en consultation avec les parties prenantes, visant à lutter contre les fractures numériques en garantissant l'accès à l'Internet pour tous et en promouvant des solutions numériques adaptées au contexte et pertinentes au niveau local, qui répondent aux besoins spécifiques des communautés et des groupes vulnérables et qui stimulent la demande et les investissements dans les infrastructures </w:t>
      </w:r>
      <w:proofErr w:type="gramStart"/>
      <w:r w:rsidRPr="00AA1DF1">
        <w:rPr>
          <w:szCs w:val="24"/>
        </w:rPr>
        <w:t>numériques;</w:t>
      </w:r>
      <w:proofErr w:type="gramEnd"/>
    </w:p>
    <w:p w14:paraId="17FCB531"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8</w:t>
      </w:r>
      <w:r w:rsidRPr="00AA1DF1">
        <w:rPr>
          <w:szCs w:val="24"/>
        </w:rPr>
        <w:tab/>
        <w:t>à promouvoir et à renforcer les politiques, programmes et mécanismes relatifs à la maîtrise des compétences numériques et à intégrer des approches tenant compte de l'égalité hommes</w:t>
      </w:r>
      <w:r w:rsidRPr="00AA1DF1">
        <w:rPr>
          <w:szCs w:val="24"/>
        </w:rPr>
        <w:noBreakHyphen/>
        <w:t>femmes dans les politiques, stratégies et cadres réglementaires nationaux relatifs aux TIC, afin de contribuer à réduire les fractures numériques, à garantir un accès équitable et financièrement abordable pour tous, le développement des compétences et une participation significative des femmes et des jeunes filles à l'économie numérique, notamment moyennant leur participation active à des forums de collaboration régionaux et mondiaux;</w:t>
      </w:r>
    </w:p>
    <w:p w14:paraId="54BFC6BB"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9</w:t>
      </w:r>
      <w:r w:rsidRPr="00AA1DF1">
        <w:rPr>
          <w:szCs w:val="24"/>
        </w:rPr>
        <w:tab/>
        <w:t>à envisager de recenser les lacunes dans les programmes d'acquisition des compétences numériques dans l'éducation, l'apprentissage et d'autres programmes de développement des compétences professionnelles destinés aux jeunes et aux adultes, et à étudier les méthodes appropriées pour remédier à ces lacunes, telles que des mécanismes de financement, tout en promouvant des parcours professionnels et des programmes de mentorat adaptés aux besoins futurs du marché du travail et aux télécommunications/TIC émergentes;</w:t>
      </w:r>
    </w:p>
    <w:p w14:paraId="5C37DB09"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10</w:t>
      </w:r>
      <w:r w:rsidRPr="00AA1DF1">
        <w:rPr>
          <w:szCs w:val="24"/>
        </w:rPr>
        <w:tab/>
        <w:t xml:space="preserve">à envisager d'adopter des mesures politiques et réglementaires propres à faciliter le déploiement et le partage des infrastructures de télécommunication/TIC, en particulier dans les zones rurales et </w:t>
      </w:r>
      <w:proofErr w:type="gramStart"/>
      <w:r w:rsidRPr="00AA1DF1">
        <w:rPr>
          <w:szCs w:val="24"/>
        </w:rPr>
        <w:t>isolées;</w:t>
      </w:r>
      <w:proofErr w:type="gramEnd"/>
    </w:p>
    <w:p w14:paraId="65DABFB5"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11</w:t>
      </w:r>
      <w:r w:rsidRPr="00AA1DF1">
        <w:rPr>
          <w:szCs w:val="24"/>
        </w:rPr>
        <w:tab/>
        <w:t xml:space="preserve">à créer un environnement propice au déploiement et à l'adoption de télécommunications/TIC nouvelles et émergentes en tirant parti de leur potentiel pour réduire les fractures </w:t>
      </w:r>
      <w:proofErr w:type="gramStart"/>
      <w:r w:rsidRPr="00AA1DF1">
        <w:rPr>
          <w:szCs w:val="24"/>
        </w:rPr>
        <w:t>numériques;</w:t>
      </w:r>
      <w:proofErr w:type="gramEnd"/>
    </w:p>
    <w:p w14:paraId="13F981FC"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12</w:t>
      </w:r>
      <w:r w:rsidRPr="00AA1DF1">
        <w:rPr>
          <w:szCs w:val="24"/>
        </w:rPr>
        <w:tab/>
        <w:t xml:space="preserve">à renforcer la coopération internationale, notamment par le biais du renforcement des capacités et de l'échange de bonnes pratiques, afin d'aider les pays en développement à tirer parti des technologies nouvelles et émergentes pour améliorer les télécommunications/TIC et relever les défis complexes liés aux fractures </w:t>
      </w:r>
      <w:proofErr w:type="gramStart"/>
      <w:r w:rsidRPr="00AA1DF1">
        <w:rPr>
          <w:szCs w:val="24"/>
        </w:rPr>
        <w:t>numériques;</w:t>
      </w:r>
      <w:proofErr w:type="gramEnd"/>
    </w:p>
    <w:p w14:paraId="65FC645B"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13</w:t>
      </w:r>
      <w:r w:rsidRPr="00AA1DF1">
        <w:rPr>
          <w:szCs w:val="24"/>
        </w:rPr>
        <w:tab/>
        <w:t xml:space="preserve">à élaborer des politiques, des stratégies et des normes, et à dispenser des cours de formation et des conseils pour améliorer les compétences numériques et la maîtrise des outils numériques des enfants, tout en assurant la protection en ligne des </w:t>
      </w:r>
      <w:proofErr w:type="gramStart"/>
      <w:r w:rsidRPr="00AA1DF1">
        <w:rPr>
          <w:szCs w:val="24"/>
        </w:rPr>
        <w:t>enfants;</w:t>
      </w:r>
      <w:proofErr w:type="gramEnd"/>
    </w:p>
    <w:p w14:paraId="1EA2DFA9"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14</w:t>
      </w:r>
      <w:r w:rsidRPr="00AA1DF1">
        <w:rPr>
          <w:szCs w:val="24"/>
        </w:rPr>
        <w:tab/>
        <w:t xml:space="preserve">à élaborer des plans et des politiques, à mettre en œuvre des technologies et des produits de télécommunication/TIC qui répondent aux besoins des personnes âgées et des personnes handicapées, et à créer un environnement accessible et adapté aux </w:t>
      </w:r>
      <w:proofErr w:type="gramStart"/>
      <w:r w:rsidRPr="00AA1DF1">
        <w:rPr>
          <w:szCs w:val="24"/>
        </w:rPr>
        <w:t>aînés;</w:t>
      </w:r>
      <w:proofErr w:type="gramEnd"/>
    </w:p>
    <w:p w14:paraId="696B1FBF"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15</w:t>
      </w:r>
      <w:r w:rsidRPr="00AA1DF1">
        <w:rPr>
          <w:szCs w:val="24"/>
        </w:rPr>
        <w:tab/>
        <w:t xml:space="preserve">à poursuivre la mise en œuvre de politiques facilitant le déploiement non discriminatoire des télécommunications/TIC nouvelles et émergentes qui soient financièrement abordables et accessibles à tous, en mettant en place des mesures incitatives visant à promouvoir les </w:t>
      </w:r>
      <w:r w:rsidRPr="00AA1DF1">
        <w:rPr>
          <w:szCs w:val="24"/>
        </w:rPr>
        <w:lastRenderedPageBreak/>
        <w:t xml:space="preserve">infrastructures et les services de télécommunication/TIC dans les zones non desservies ou mal </w:t>
      </w:r>
      <w:proofErr w:type="gramStart"/>
      <w:r w:rsidRPr="00AA1DF1">
        <w:rPr>
          <w:szCs w:val="24"/>
        </w:rPr>
        <w:t>desservies;</w:t>
      </w:r>
      <w:proofErr w:type="gramEnd"/>
    </w:p>
    <w:p w14:paraId="4DADDBEB"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pacing w:val="-2"/>
          <w:szCs w:val="24"/>
        </w:rPr>
      </w:pPr>
      <w:r w:rsidRPr="00AA1DF1">
        <w:rPr>
          <w:szCs w:val="24"/>
        </w:rPr>
        <w:t>16</w:t>
      </w:r>
      <w:r w:rsidRPr="00AA1DF1">
        <w:rPr>
          <w:szCs w:val="24"/>
        </w:rPr>
        <w:tab/>
        <w:t>à renforcer les partenariats entre les pouvoirs publics et les parties prenantes du secteur privé, de la société civile, des milieux techniques, des établissements universitaires et des partenaires de développement, afin de coordonner efficacement les interventions en matière de renforcement des compétences, d'élargir une connectivité efficace et financièrement abordable et les possibilités d'emploi dans le secteur des télécommunications/TIC, de fournir des compétences numériques, de réduire la fracture numérique entre les hommes et les femmes et de faire en sorte que tous les groupes de la société bénéficient d'un accès équitable à la formation, l'éducation et l'emploi dans le secteur des télécommunications/TIC, comme moyen de réduire la fracture numérique;</w:t>
      </w:r>
    </w:p>
    <w:p w14:paraId="21DAB80A"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17</w:t>
      </w:r>
      <w:r w:rsidRPr="00AA1DF1">
        <w:rPr>
          <w:szCs w:val="24"/>
        </w:rPr>
        <w:tab/>
        <w:t xml:space="preserve">à envisager d'adopter des politiques visant à répondre aux besoins de compétences spécialisées dans les télécommunications/TIC nouvelles et émergentes, ainsi que les technologies nouvelles et </w:t>
      </w:r>
      <w:proofErr w:type="gramStart"/>
      <w:r w:rsidRPr="00AA1DF1">
        <w:rPr>
          <w:szCs w:val="24"/>
        </w:rPr>
        <w:t>émergentes;</w:t>
      </w:r>
      <w:proofErr w:type="gramEnd"/>
    </w:p>
    <w:p w14:paraId="5ED32029"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18</w:t>
      </w:r>
      <w:r w:rsidRPr="00AA1DF1">
        <w:rPr>
          <w:szCs w:val="24"/>
        </w:rPr>
        <w:tab/>
        <w:t xml:space="preserve">à promouvoir le recyclage et la redistribution des dispositifs aux communautés en situation d'exclusion </w:t>
      </w:r>
      <w:proofErr w:type="gramStart"/>
      <w:r w:rsidRPr="00AA1DF1">
        <w:rPr>
          <w:szCs w:val="24"/>
        </w:rPr>
        <w:t>numérique;</w:t>
      </w:r>
      <w:proofErr w:type="gramEnd"/>
    </w:p>
    <w:p w14:paraId="6485BE80"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19</w:t>
      </w:r>
      <w:r w:rsidRPr="00AA1DF1">
        <w:rPr>
          <w:szCs w:val="24"/>
        </w:rPr>
        <w:tab/>
        <w:t xml:space="preserve">à promouvoir l'infrastructure des télécommunications/TIC et les réseaux/systèmes large bande, en particulier dans les zones isolées et mal desservies, y compris au moyen de réseaux et de solutions à accès complémentaire, conformément à la réglementation </w:t>
      </w:r>
      <w:proofErr w:type="gramStart"/>
      <w:r w:rsidRPr="00AA1DF1">
        <w:rPr>
          <w:szCs w:val="24"/>
        </w:rPr>
        <w:t>nationale;</w:t>
      </w:r>
      <w:proofErr w:type="gramEnd"/>
    </w:p>
    <w:p w14:paraId="79EA2D22"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20</w:t>
      </w:r>
      <w:r w:rsidRPr="00AA1DF1">
        <w:rPr>
          <w:szCs w:val="24"/>
        </w:rPr>
        <w:tab/>
        <w:t xml:space="preserve">à renforcer les compétences des travailleurs des secteurs privé et public afin qu'ils puissent fournir des services numériques inclusifs, notamment grâce à des formations professionnelles, afin de renforcer les efforts en matière d'inclusion numérique au niveau local, y compris par le biais de formations aux compétences </w:t>
      </w:r>
      <w:proofErr w:type="gramStart"/>
      <w:r w:rsidRPr="00AA1DF1">
        <w:rPr>
          <w:szCs w:val="24"/>
        </w:rPr>
        <w:t>numériques;</w:t>
      </w:r>
      <w:proofErr w:type="gramEnd"/>
    </w:p>
    <w:p w14:paraId="27D25C20"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21</w:t>
      </w:r>
      <w:r w:rsidRPr="00AA1DF1">
        <w:rPr>
          <w:szCs w:val="24"/>
        </w:rPr>
        <w:tab/>
        <w:t>à encourager les décideurs et les régulateurs à adopter des modèles de gouvernance adaptatifs, à mettre en œuvre un suivi axé sur les résultats et à promouvoir une politique fondée sur la communauté pour réduire la fracture numérique,</w:t>
      </w:r>
    </w:p>
    <w:p w14:paraId="4C250B52" w14:textId="77777777" w:rsidR="00495100" w:rsidRPr="00AA1DF1" w:rsidRDefault="00495100" w:rsidP="00434918">
      <w:pPr>
        <w:pStyle w:val="Call"/>
      </w:pPr>
      <w:proofErr w:type="gramStart"/>
      <w:r w:rsidRPr="00AA1DF1">
        <w:t>invite</w:t>
      </w:r>
      <w:proofErr w:type="gramEnd"/>
      <w:r w:rsidRPr="00AA1DF1">
        <w:t xml:space="preserve"> la Secrétaire générale</w:t>
      </w:r>
    </w:p>
    <w:p w14:paraId="44301E82"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w:t>
      </w:r>
      <w:r w:rsidRPr="00AA1DF1">
        <w:rPr>
          <w:szCs w:val="24"/>
        </w:rPr>
        <w:tab/>
        <w:t>à continuer d'intensifier les efforts déployés par l'UIT, dans le cadre de son mandat et en collaboration avec les États Membres, les parties prenantes et les organisations partenaires, pour réduire les fractures numériques, en particulier en ce qui concerne les hommes et les femmes, l'âge, les compétences et la connectivité, tout en veillant à ce que les initiatives soient adaptées à la situation particulière des pays en développement, conformément aux données et aux conclusions de l'UIT sur la connectivité universelle et efficace;</w:t>
      </w:r>
    </w:p>
    <w:p w14:paraId="050F3347" w14:textId="77777777" w:rsidR="00495100" w:rsidRPr="00AA1DF1" w:rsidRDefault="00495100" w:rsidP="001528C8">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2</w:t>
      </w:r>
      <w:r w:rsidRPr="00AA1DF1">
        <w:rPr>
          <w:szCs w:val="24"/>
        </w:rPr>
        <w:tab/>
        <w:t>à faciliter et à échanger des bonnes pratiques, des lignes directrices et des kits pratiques entre les États Membres en développement en vue d'intégrer les considérations relatives à l'égalité entre les hommes et les femmes dans leurs politiques et stratégies relatives aux TIC.</w:t>
      </w:r>
    </w:p>
    <w:p w14:paraId="332EDA4C" w14:textId="77777777" w:rsidR="00495100" w:rsidRPr="00AA1DF1" w:rsidRDefault="00495100" w:rsidP="00495100">
      <w:pPr>
        <w:tabs>
          <w:tab w:val="clear" w:pos="1134"/>
          <w:tab w:val="clear" w:pos="1701"/>
          <w:tab w:val="clear" w:pos="2268"/>
          <w:tab w:val="clear" w:pos="2835"/>
        </w:tabs>
        <w:overflowPunct/>
        <w:autoSpaceDE/>
        <w:autoSpaceDN/>
        <w:adjustRightInd/>
        <w:spacing w:before="0"/>
        <w:textAlignment w:val="auto"/>
        <w:rPr>
          <w:rFonts w:asciiTheme="minorHAnsi" w:hAnsiTheme="minorHAnsi" w:cstheme="minorHAnsi"/>
          <w:b/>
          <w:sz w:val="22"/>
          <w:szCs w:val="22"/>
        </w:rPr>
      </w:pPr>
      <w:r w:rsidRPr="00AA1DF1">
        <w:rPr>
          <w:rFonts w:asciiTheme="minorHAnsi" w:hAnsiTheme="minorHAnsi" w:cstheme="minorHAnsi"/>
          <w:b/>
          <w:sz w:val="22"/>
          <w:szCs w:val="22"/>
        </w:rPr>
        <w:br w:type="page"/>
      </w:r>
    </w:p>
    <w:p w14:paraId="27797598" w14:textId="77777777" w:rsidR="00495100" w:rsidRPr="00AA1DF1" w:rsidRDefault="00495100" w:rsidP="005641B0">
      <w:pPr>
        <w:pStyle w:val="OpNo"/>
      </w:pPr>
      <w:r w:rsidRPr="00AA1DF1">
        <w:lastRenderedPageBreak/>
        <w:t>PROJET D'AVIS 2</w:t>
      </w:r>
    </w:p>
    <w:p w14:paraId="79A115D7" w14:textId="77777777" w:rsidR="00495100" w:rsidRPr="00AA1DF1" w:rsidRDefault="00495100" w:rsidP="005641B0">
      <w:pPr>
        <w:pStyle w:val="Optitle"/>
      </w:pPr>
      <w:r w:rsidRPr="00AA1DF1">
        <w:t>Transformation numérique écologique: changements</w:t>
      </w:r>
      <w:r w:rsidRPr="00AA1DF1">
        <w:br/>
        <w:t>climatiques et durabilité environnementale</w:t>
      </w:r>
    </w:p>
    <w:p w14:paraId="33CFE034" w14:textId="77777777" w:rsidR="00495100" w:rsidRPr="00AA1DF1" w:rsidRDefault="00495100" w:rsidP="005641B0">
      <w:pPr>
        <w:pStyle w:val="Normalaftertitle"/>
        <w:jc w:val="both"/>
        <w:rPr>
          <w:rFonts w:eastAsiaTheme="minorEastAsia"/>
        </w:rPr>
      </w:pPr>
      <w:r w:rsidRPr="00AA1DF1">
        <w:t>Le septième Forum mondial des politiques de télécommunication et des technologies de l'information et de la communication (Nassau, 2026),</w:t>
      </w:r>
    </w:p>
    <w:p w14:paraId="48D8F18C" w14:textId="77777777" w:rsidR="00495100" w:rsidRPr="00AA1DF1" w:rsidRDefault="00495100" w:rsidP="00434918">
      <w:pPr>
        <w:pStyle w:val="Call"/>
        <w:rPr>
          <w:rFonts w:asciiTheme="minorHAnsi" w:eastAsiaTheme="minorEastAsia" w:hAnsiTheme="minorHAnsi" w:cstheme="minorHAnsi"/>
        </w:rPr>
      </w:pPr>
      <w:proofErr w:type="gramStart"/>
      <w:r w:rsidRPr="00AA1DF1">
        <w:t>rappelant</w:t>
      </w:r>
      <w:proofErr w:type="gramEnd"/>
    </w:p>
    <w:p w14:paraId="45B76CB6" w14:textId="77777777" w:rsidR="00495100" w:rsidRPr="00AA1DF1" w:rsidRDefault="00495100" w:rsidP="005641B0">
      <w:pPr>
        <w:jc w:val="both"/>
        <w:rPr>
          <w:rFonts w:asciiTheme="minorHAnsi" w:eastAsiaTheme="minorEastAsia" w:hAnsiTheme="minorHAnsi" w:cstheme="minorHAnsi"/>
        </w:rPr>
      </w:pPr>
      <w:r w:rsidRPr="00AA1DF1">
        <w:rPr>
          <w:i/>
          <w:iCs/>
        </w:rPr>
        <w:t>a)</w:t>
      </w:r>
      <w:r w:rsidRPr="00AA1DF1">
        <w:tab/>
        <w:t xml:space="preserve">la Résolution 70/1 de l'Assemblée générale des Nations Unies, intitulée "Transformer notre </w:t>
      </w:r>
      <w:proofErr w:type="gramStart"/>
      <w:r w:rsidRPr="00AA1DF1">
        <w:t>monde:</w:t>
      </w:r>
      <w:proofErr w:type="gramEnd"/>
      <w:r w:rsidRPr="00AA1DF1">
        <w:t xml:space="preserve"> le Programme de développement durable à l'horizon 2030", en particulier l'Objectif de développement durable 12 qui vise à établir des modes de consommation et de production durables et l'Objectif de développement durable 13 qui vise à prendre d'urgence des mesures pour lutter contre les changements climatiques et leurs </w:t>
      </w:r>
      <w:proofErr w:type="gramStart"/>
      <w:r w:rsidRPr="00AA1DF1">
        <w:t>répercussions;</w:t>
      </w:r>
      <w:proofErr w:type="gramEnd"/>
    </w:p>
    <w:p w14:paraId="28D26EB1" w14:textId="77777777" w:rsidR="00495100" w:rsidRPr="00AA1DF1" w:rsidRDefault="00495100" w:rsidP="005641B0">
      <w:pPr>
        <w:jc w:val="both"/>
        <w:rPr>
          <w:rFonts w:asciiTheme="minorHAnsi" w:eastAsiaTheme="minorEastAsia" w:hAnsiTheme="minorHAnsi" w:cstheme="minorHAnsi"/>
        </w:rPr>
      </w:pPr>
      <w:r w:rsidRPr="00AA1DF1">
        <w:rPr>
          <w:i/>
          <w:iCs/>
        </w:rPr>
        <w:t>b)</w:t>
      </w:r>
      <w:r w:rsidRPr="00AA1DF1">
        <w:tab/>
        <w:t>la Résolution 80/173 de l'Assemblée générale des Nations Unies, intitulée "Document final de la réunion de haut niveau de l'Assemblée générale sur l'examen d'ensemble de la mise en œuvre des textes issus du Sommet mondial sur la société de l'information" (SMSI+20</w:t>
      </w:r>
      <w:proofErr w:type="gramStart"/>
      <w:r w:rsidRPr="00AA1DF1">
        <w:t>);</w:t>
      </w:r>
      <w:proofErr w:type="gramEnd"/>
    </w:p>
    <w:p w14:paraId="2BED3759" w14:textId="77777777" w:rsidR="00495100" w:rsidRPr="00AA1DF1" w:rsidRDefault="00495100" w:rsidP="005641B0">
      <w:pPr>
        <w:jc w:val="both"/>
        <w:rPr>
          <w:rFonts w:asciiTheme="minorHAnsi" w:eastAsiaTheme="minorEastAsia" w:hAnsiTheme="minorHAnsi" w:cstheme="minorHAnsi"/>
        </w:rPr>
      </w:pPr>
      <w:r w:rsidRPr="00AA1DF1">
        <w:rPr>
          <w:i/>
          <w:iCs/>
        </w:rPr>
        <w:t>c)</w:t>
      </w:r>
      <w:r w:rsidRPr="00AA1DF1">
        <w:tab/>
        <w:t xml:space="preserve">la Résolution 182 (Rév. Bucarest, 2022) de la Conférence de plénipotentiaires relative au rôle des télécommunications/technologies de l'information et de la communication (TIC) en ce qui concerne les changements climatiques et la protection de </w:t>
      </w:r>
      <w:proofErr w:type="gramStart"/>
      <w:r w:rsidRPr="00AA1DF1">
        <w:t>l'environnement;</w:t>
      </w:r>
      <w:proofErr w:type="gramEnd"/>
    </w:p>
    <w:p w14:paraId="467109E7" w14:textId="77777777" w:rsidR="00495100" w:rsidRPr="00AA1DF1" w:rsidRDefault="00495100" w:rsidP="005641B0">
      <w:pPr>
        <w:jc w:val="both"/>
        <w:rPr>
          <w:rFonts w:asciiTheme="minorHAnsi" w:eastAsiaTheme="minorEastAsia" w:hAnsiTheme="minorHAnsi" w:cstheme="minorHAnsi"/>
        </w:rPr>
      </w:pPr>
      <w:r w:rsidRPr="00AA1DF1">
        <w:rPr>
          <w:i/>
          <w:iCs/>
        </w:rPr>
        <w:t>d)</w:t>
      </w:r>
      <w:r w:rsidRPr="00AA1DF1">
        <w:tab/>
        <w:t xml:space="preserve">la Résolution 1429, adoptée par le Conseil de l'UIT à sa session de 2024, sur le rôle de l'UIT dans l'exploitation des technologies de l'information et de la communication au service de la durabilité environnementale et de l'action </w:t>
      </w:r>
      <w:proofErr w:type="gramStart"/>
      <w:r w:rsidRPr="00AA1DF1">
        <w:t>climatique;</w:t>
      </w:r>
      <w:proofErr w:type="gramEnd"/>
    </w:p>
    <w:p w14:paraId="7995C213" w14:textId="77777777" w:rsidR="00495100" w:rsidRPr="00AA1DF1" w:rsidRDefault="00495100" w:rsidP="005641B0">
      <w:pPr>
        <w:jc w:val="both"/>
        <w:rPr>
          <w:rFonts w:asciiTheme="minorHAnsi" w:eastAsiaTheme="minorEastAsia" w:hAnsiTheme="minorHAnsi" w:cstheme="minorHAnsi"/>
        </w:rPr>
      </w:pPr>
      <w:r w:rsidRPr="00AA1DF1">
        <w:rPr>
          <w:i/>
          <w:iCs/>
        </w:rPr>
        <w:t>e)</w:t>
      </w:r>
      <w:r w:rsidRPr="00AA1DF1">
        <w:tab/>
        <w:t xml:space="preserve">la Résolution 73 (Rév. New Delhi, 2024) de l'Assemblée mondiale de normalisation des télécommunications (AMNT), sur les TIC, l'environnement, les changements climatiques et l'économie </w:t>
      </w:r>
      <w:proofErr w:type="gramStart"/>
      <w:r w:rsidRPr="00AA1DF1">
        <w:t>circulaire;</w:t>
      </w:r>
      <w:proofErr w:type="gramEnd"/>
    </w:p>
    <w:p w14:paraId="014346F8" w14:textId="77777777" w:rsidR="00495100" w:rsidRPr="00AA1DF1" w:rsidRDefault="00495100" w:rsidP="005641B0">
      <w:pPr>
        <w:jc w:val="both"/>
        <w:rPr>
          <w:rFonts w:asciiTheme="minorHAnsi" w:eastAsiaTheme="minorEastAsia" w:hAnsiTheme="minorHAnsi" w:cstheme="minorHAnsi"/>
        </w:rPr>
      </w:pPr>
      <w:r w:rsidRPr="00AA1DF1">
        <w:rPr>
          <w:i/>
          <w:iCs/>
        </w:rPr>
        <w:t>f)</w:t>
      </w:r>
      <w:r w:rsidRPr="00AA1DF1">
        <w:tab/>
        <w:t xml:space="preserve">la Résolution 79 (Rév. New Delhi, 2024) de l'AMNT, relative au rôle des télécommunications/TIC dans la gestion et le contrôle des déchets d'équipements électriques et électroniques provenant d'équipements de télécommunication et des technologies de l'information et les méthodes de traitement </w:t>
      </w:r>
      <w:proofErr w:type="gramStart"/>
      <w:r w:rsidRPr="00AA1DF1">
        <w:t>associées;</w:t>
      </w:r>
      <w:proofErr w:type="gramEnd"/>
    </w:p>
    <w:p w14:paraId="0D065982" w14:textId="77777777" w:rsidR="00495100" w:rsidRPr="00AA1DF1" w:rsidRDefault="00495100" w:rsidP="005641B0">
      <w:pPr>
        <w:jc w:val="both"/>
        <w:rPr>
          <w:rFonts w:asciiTheme="minorHAnsi" w:eastAsiaTheme="minorEastAsia" w:hAnsiTheme="minorHAnsi" w:cstheme="minorHAnsi"/>
        </w:rPr>
      </w:pPr>
      <w:r w:rsidRPr="00AA1DF1">
        <w:rPr>
          <w:i/>
          <w:iCs/>
        </w:rPr>
        <w:t>g)</w:t>
      </w:r>
      <w:r w:rsidRPr="00AA1DF1">
        <w:tab/>
        <w:t>la Résolution 66 (Rév. Bakou, 2025) de la Conférence mondiale de développement des télécommunications sur les TIC, l'environnement, les changements climatiques et l'économie circulaire,</w:t>
      </w:r>
    </w:p>
    <w:p w14:paraId="47A499A8" w14:textId="77777777" w:rsidR="00495100" w:rsidRPr="00AA1DF1" w:rsidRDefault="00495100" w:rsidP="00434918">
      <w:pPr>
        <w:pStyle w:val="Call"/>
      </w:pPr>
      <w:proofErr w:type="gramStart"/>
      <w:r w:rsidRPr="00AA1DF1">
        <w:t>soulignant</w:t>
      </w:r>
      <w:proofErr w:type="gramEnd"/>
    </w:p>
    <w:p w14:paraId="10A7A7AD" w14:textId="77777777" w:rsidR="00495100" w:rsidRPr="00AA1DF1" w:rsidRDefault="00495100" w:rsidP="005641B0">
      <w:pPr>
        <w:jc w:val="both"/>
        <w:rPr>
          <w:rFonts w:asciiTheme="minorHAnsi" w:eastAsiaTheme="minorEastAsia" w:hAnsiTheme="minorHAnsi" w:cstheme="minorHAnsi"/>
          <w:szCs w:val="24"/>
        </w:rPr>
      </w:pPr>
      <w:r w:rsidRPr="00AA1DF1">
        <w:rPr>
          <w:i/>
          <w:iCs/>
          <w:szCs w:val="24"/>
        </w:rPr>
        <w:t>a)</w:t>
      </w:r>
      <w:r w:rsidRPr="00AA1DF1">
        <w:rPr>
          <w:szCs w:val="24"/>
        </w:rPr>
        <w:tab/>
        <w:t xml:space="preserve">que les changements climatiques, l'appauvrissement de la biodiversité et la pollution représentent des problèmes importants de notre époque et qu'il faut progresser sur la voie du développement durable si l'on veut y </w:t>
      </w:r>
      <w:proofErr w:type="gramStart"/>
      <w:r w:rsidRPr="00AA1DF1">
        <w:rPr>
          <w:szCs w:val="24"/>
        </w:rPr>
        <w:t>remédier;</w:t>
      </w:r>
      <w:proofErr w:type="gramEnd"/>
    </w:p>
    <w:p w14:paraId="0AD8475B" w14:textId="77777777" w:rsidR="00495100" w:rsidRPr="00AA1DF1" w:rsidRDefault="00495100" w:rsidP="005641B0">
      <w:pPr>
        <w:tabs>
          <w:tab w:val="clear" w:pos="1134"/>
          <w:tab w:val="clear" w:pos="1701"/>
          <w:tab w:val="clear" w:pos="2268"/>
          <w:tab w:val="clear" w:pos="2835"/>
        </w:tabs>
        <w:jc w:val="both"/>
        <w:rPr>
          <w:rFonts w:asciiTheme="minorHAnsi" w:eastAsiaTheme="minorEastAsia" w:hAnsiTheme="minorHAnsi" w:cstheme="minorHAnsi"/>
          <w:szCs w:val="24"/>
        </w:rPr>
      </w:pPr>
      <w:r w:rsidRPr="00AA1DF1">
        <w:rPr>
          <w:i/>
          <w:iCs/>
          <w:szCs w:val="24"/>
        </w:rPr>
        <w:t>b)</w:t>
      </w:r>
      <w:r w:rsidRPr="00AA1DF1">
        <w:rPr>
          <w:szCs w:val="24"/>
        </w:rPr>
        <w:tab/>
        <w:t>que pour limiter le réchauffement de la planète, il faut réduire rapidement, nettement et durablement les émissions mondiales de gaz à effet de serre, conformément aux principes et aux engagements énoncés dans la Convention-cadre des Nations Unies sur les changements climatiques et l'Accord de Paris, eu égard aux différentes situations nationales,</w:t>
      </w:r>
    </w:p>
    <w:p w14:paraId="263627AE" w14:textId="77777777" w:rsidR="00495100" w:rsidRPr="00AA1DF1" w:rsidRDefault="00495100" w:rsidP="00434918">
      <w:pPr>
        <w:pStyle w:val="Call"/>
      </w:pPr>
      <w:proofErr w:type="gramStart"/>
      <w:r w:rsidRPr="00AA1DF1">
        <w:lastRenderedPageBreak/>
        <w:t>tenant</w:t>
      </w:r>
      <w:proofErr w:type="gramEnd"/>
      <w:r w:rsidRPr="00AA1DF1">
        <w:t xml:space="preserve"> compte du fait</w:t>
      </w:r>
    </w:p>
    <w:p w14:paraId="069D0BD7" w14:textId="77777777" w:rsidR="00495100" w:rsidRPr="00AA1DF1" w:rsidRDefault="00495100" w:rsidP="005641B0">
      <w:pPr>
        <w:jc w:val="both"/>
        <w:rPr>
          <w:rFonts w:asciiTheme="minorHAnsi" w:eastAsiaTheme="minorEastAsia" w:hAnsiTheme="minorHAnsi" w:cstheme="minorHAnsi"/>
          <w:szCs w:val="24"/>
        </w:rPr>
      </w:pPr>
      <w:r w:rsidRPr="00AA1DF1">
        <w:rPr>
          <w:i/>
          <w:iCs/>
          <w:szCs w:val="24"/>
        </w:rPr>
        <w:t>a)</w:t>
      </w:r>
      <w:r w:rsidRPr="00AA1DF1">
        <w:rPr>
          <w:szCs w:val="24"/>
        </w:rPr>
        <w:tab/>
        <w:t xml:space="preserve">que les télécommunications/TIC contribuent aux changements climatiques tout au long de leur cycle de </w:t>
      </w:r>
      <w:proofErr w:type="gramStart"/>
      <w:r w:rsidRPr="00AA1DF1">
        <w:rPr>
          <w:szCs w:val="24"/>
        </w:rPr>
        <w:t>vie;</w:t>
      </w:r>
      <w:proofErr w:type="gramEnd"/>
    </w:p>
    <w:p w14:paraId="51DBF179" w14:textId="77777777" w:rsidR="00495100" w:rsidRPr="00AA1DF1" w:rsidRDefault="00495100" w:rsidP="005641B0">
      <w:pPr>
        <w:jc w:val="both"/>
        <w:rPr>
          <w:rFonts w:asciiTheme="minorHAnsi" w:eastAsiaTheme="minorEastAsia" w:hAnsiTheme="minorHAnsi" w:cstheme="minorHAnsi"/>
          <w:szCs w:val="24"/>
        </w:rPr>
      </w:pPr>
      <w:r w:rsidRPr="00AA1DF1">
        <w:rPr>
          <w:i/>
          <w:iCs/>
          <w:szCs w:val="24"/>
        </w:rPr>
        <w:t>b)</w:t>
      </w:r>
      <w:r w:rsidRPr="00AA1DF1">
        <w:rPr>
          <w:szCs w:val="24"/>
        </w:rPr>
        <w:tab/>
        <w:t xml:space="preserve">qu'une transformation numérique écologique permet de lutter contre les changements climatiques grâce au développement, au déploiement et à l'élimination des télécommunications/TIC de manière écologiquement </w:t>
      </w:r>
      <w:proofErr w:type="gramStart"/>
      <w:r w:rsidRPr="00AA1DF1">
        <w:rPr>
          <w:szCs w:val="24"/>
        </w:rPr>
        <w:t>durable;</w:t>
      </w:r>
      <w:proofErr w:type="gramEnd"/>
    </w:p>
    <w:p w14:paraId="7DCB9BE6" w14:textId="77777777" w:rsidR="00495100" w:rsidRPr="00AA1DF1" w:rsidRDefault="00495100" w:rsidP="005641B0">
      <w:pPr>
        <w:jc w:val="both"/>
        <w:rPr>
          <w:rFonts w:asciiTheme="minorHAnsi" w:eastAsiaTheme="minorEastAsia" w:hAnsiTheme="minorHAnsi" w:cstheme="minorHAnsi"/>
          <w:szCs w:val="24"/>
        </w:rPr>
      </w:pPr>
      <w:r w:rsidRPr="00AA1DF1">
        <w:rPr>
          <w:i/>
          <w:iCs/>
          <w:szCs w:val="24"/>
        </w:rPr>
        <w:t>c)</w:t>
      </w:r>
      <w:r w:rsidRPr="00AA1DF1">
        <w:rPr>
          <w:szCs w:val="24"/>
        </w:rPr>
        <w:tab/>
        <w:t xml:space="preserve">qu'une transformation numérique écologique réduit l'empreinte environnementale des télécommunications/TIC en favorisant la circularité tout au long de leur cycle de vie, en prolongeant la durée de vie des équipements, en luttant contre l'obsolescence des logiciels, en encourageant la réparation et le reconditionnement des dispositifs et en améliorant la récupération et la réutilisation des ressources matérielles issues des déchets </w:t>
      </w:r>
      <w:proofErr w:type="gramStart"/>
      <w:r w:rsidRPr="00AA1DF1">
        <w:rPr>
          <w:szCs w:val="24"/>
        </w:rPr>
        <w:t>connexes;</w:t>
      </w:r>
      <w:proofErr w:type="gramEnd"/>
    </w:p>
    <w:p w14:paraId="0728CACF" w14:textId="77777777" w:rsidR="00495100" w:rsidRPr="00AA1DF1" w:rsidRDefault="00495100" w:rsidP="005641B0">
      <w:pPr>
        <w:jc w:val="both"/>
        <w:rPr>
          <w:rFonts w:asciiTheme="minorHAnsi" w:eastAsiaTheme="minorEastAsia" w:hAnsiTheme="minorHAnsi" w:cstheme="minorHAnsi"/>
          <w:szCs w:val="24"/>
        </w:rPr>
      </w:pPr>
      <w:r w:rsidRPr="00AA1DF1">
        <w:rPr>
          <w:i/>
          <w:iCs/>
          <w:szCs w:val="24"/>
        </w:rPr>
        <w:t>d)</w:t>
      </w:r>
      <w:r w:rsidRPr="00AA1DF1">
        <w:rPr>
          <w:szCs w:val="24"/>
        </w:rPr>
        <w:tab/>
        <w:t>que de nouvelles initiatives stratégiques, telles qu'une transformation numérique écologique, sont essentielles pour atteindre les objectifs convenus en matière de changements climatiques tels qu'ils sont définis dans l'Accord de Paris signé lors de la 21ème Conférence des Nations Unies sur les changements climatiques (COP21), le Programme des Nations Unies pour l'environnement indiquant qu'il est impossible de limiter le réchauffement climatique à 1,5 °C dans le cadre des contributions déterminées au niveau national (CDN) actuelles,</w:t>
      </w:r>
    </w:p>
    <w:p w14:paraId="42F90B3D" w14:textId="77777777" w:rsidR="00495100" w:rsidRPr="00AA1DF1" w:rsidRDefault="00495100" w:rsidP="00434918">
      <w:pPr>
        <w:pStyle w:val="Call"/>
      </w:pPr>
      <w:proofErr w:type="gramStart"/>
      <w:r w:rsidRPr="00AA1DF1">
        <w:t>considérant</w:t>
      </w:r>
      <w:proofErr w:type="gramEnd"/>
    </w:p>
    <w:p w14:paraId="67310B29" w14:textId="77777777" w:rsidR="00495100" w:rsidRPr="00AA1DF1" w:rsidRDefault="00495100" w:rsidP="005641B0">
      <w:pPr>
        <w:tabs>
          <w:tab w:val="clear" w:pos="1134"/>
          <w:tab w:val="clear" w:pos="1701"/>
          <w:tab w:val="clear" w:pos="2268"/>
          <w:tab w:val="clear" w:pos="2835"/>
        </w:tabs>
        <w:jc w:val="both"/>
        <w:rPr>
          <w:rFonts w:asciiTheme="minorHAnsi" w:eastAsiaTheme="minorEastAsia" w:hAnsiTheme="minorHAnsi" w:cstheme="minorHAnsi"/>
          <w:szCs w:val="24"/>
        </w:rPr>
      </w:pPr>
      <w:r w:rsidRPr="00AA1DF1">
        <w:rPr>
          <w:i/>
          <w:iCs/>
          <w:szCs w:val="24"/>
        </w:rPr>
        <w:t>a)</w:t>
      </w:r>
      <w:r w:rsidRPr="00AA1DF1">
        <w:rPr>
          <w:szCs w:val="24"/>
        </w:rPr>
        <w:tab/>
        <w:t xml:space="preserve">le rapport de l'UIT intitulé "Greening Digital Companies" </w:t>
      </w:r>
      <w:r w:rsidRPr="00AA1DF1">
        <w:rPr>
          <w:i/>
          <w:iCs/>
          <w:szCs w:val="24"/>
        </w:rPr>
        <w:t>(Pour des entreprises numériques plus écologiques)</w:t>
      </w:r>
      <w:r w:rsidRPr="00AA1DF1">
        <w:rPr>
          <w:szCs w:val="24"/>
        </w:rPr>
        <w:t xml:space="preserve">, élaboré en collaboration avec la World Benchmarking Alliance, qui a révélé que la course au développement de l'intelligence artificielle et à l'expansion des centres de données entraîne une croissance sans précédent du secteur numérique et alimente une forte hausse des émissions de gaz à effet de serre et de la consommation </w:t>
      </w:r>
      <w:proofErr w:type="gramStart"/>
      <w:r w:rsidRPr="00AA1DF1">
        <w:rPr>
          <w:szCs w:val="24"/>
        </w:rPr>
        <w:t>d'énergie;</w:t>
      </w:r>
      <w:proofErr w:type="gramEnd"/>
    </w:p>
    <w:p w14:paraId="5F86023A" w14:textId="77777777" w:rsidR="00495100" w:rsidRPr="00AA1DF1" w:rsidRDefault="00495100" w:rsidP="005641B0">
      <w:pPr>
        <w:jc w:val="both"/>
        <w:rPr>
          <w:rFonts w:asciiTheme="minorHAnsi" w:eastAsiaTheme="minorEastAsia" w:hAnsiTheme="minorHAnsi" w:cstheme="minorHAnsi"/>
          <w:spacing w:val="-2"/>
          <w:szCs w:val="24"/>
        </w:rPr>
      </w:pPr>
      <w:r w:rsidRPr="00AA1DF1">
        <w:rPr>
          <w:i/>
          <w:iCs/>
          <w:szCs w:val="24"/>
        </w:rPr>
        <w:t>b)</w:t>
      </w:r>
      <w:r w:rsidRPr="00AA1DF1">
        <w:rPr>
          <w:szCs w:val="24"/>
        </w:rPr>
        <w:tab/>
        <w:t>qu'il importe de tirer parti des technologies du numérique pour atteindre les grands objectifs de la Convention-cadre des Nations Unies sur les changements climatiques, dans le contexte du développement durable, et de l'Accord de Paris signé à la COP</w:t>
      </w:r>
      <w:proofErr w:type="gramStart"/>
      <w:r w:rsidRPr="00AA1DF1">
        <w:rPr>
          <w:szCs w:val="24"/>
        </w:rPr>
        <w:t>21;</w:t>
      </w:r>
      <w:proofErr w:type="gramEnd"/>
    </w:p>
    <w:p w14:paraId="33105F36" w14:textId="77777777" w:rsidR="00495100" w:rsidRPr="00AA1DF1" w:rsidRDefault="00495100" w:rsidP="005641B0">
      <w:pPr>
        <w:jc w:val="both"/>
        <w:rPr>
          <w:rFonts w:asciiTheme="minorHAnsi" w:eastAsiaTheme="minorEastAsia" w:hAnsiTheme="minorHAnsi" w:cstheme="minorHAnsi"/>
          <w:szCs w:val="24"/>
        </w:rPr>
      </w:pPr>
      <w:r w:rsidRPr="00AA1DF1">
        <w:rPr>
          <w:i/>
          <w:iCs/>
          <w:szCs w:val="24"/>
        </w:rPr>
        <w:t>c)</w:t>
      </w:r>
      <w:r w:rsidRPr="00AA1DF1">
        <w:rPr>
          <w:szCs w:val="24"/>
        </w:rPr>
        <w:tab/>
        <w:t>que les cadres de passation de marchés publics et les mécanismes de marché peuvent encourager le déploiement de télécommunications/TIC écologiquement durables,</w:t>
      </w:r>
    </w:p>
    <w:p w14:paraId="162162ED" w14:textId="77777777" w:rsidR="00495100" w:rsidRPr="00AA1DF1" w:rsidRDefault="00495100" w:rsidP="00434918">
      <w:pPr>
        <w:pStyle w:val="Call"/>
      </w:pPr>
      <w:proofErr w:type="gramStart"/>
      <w:r w:rsidRPr="00AA1DF1">
        <w:t>reconnaissant</w:t>
      </w:r>
      <w:proofErr w:type="gramEnd"/>
    </w:p>
    <w:p w14:paraId="19DCDC71" w14:textId="77777777" w:rsidR="00495100" w:rsidRPr="00AA1DF1" w:rsidRDefault="00495100" w:rsidP="005641B0">
      <w:pPr>
        <w:jc w:val="both"/>
        <w:rPr>
          <w:rFonts w:asciiTheme="minorHAnsi" w:eastAsiaTheme="minorEastAsia" w:hAnsiTheme="minorHAnsi" w:cstheme="minorHAnsi"/>
          <w:szCs w:val="24"/>
        </w:rPr>
      </w:pPr>
      <w:r w:rsidRPr="00AA1DF1">
        <w:rPr>
          <w:i/>
          <w:iCs/>
          <w:szCs w:val="24"/>
        </w:rPr>
        <w:t>a)</w:t>
      </w:r>
      <w:r w:rsidRPr="00AA1DF1">
        <w:rPr>
          <w:szCs w:val="24"/>
        </w:rPr>
        <w:tab/>
        <w:t xml:space="preserve">que les avantages et les inconvénients des télécommunications/TIC pour l'environnement ne sont pas répartis de manière égale et que de nombreux pays en développement pâtissent des risques environnementaux dus aux déchets d'équipements électriques et </w:t>
      </w:r>
      <w:proofErr w:type="gramStart"/>
      <w:r w:rsidRPr="00AA1DF1">
        <w:rPr>
          <w:szCs w:val="24"/>
        </w:rPr>
        <w:t>électroniques;</w:t>
      </w:r>
      <w:proofErr w:type="gramEnd"/>
    </w:p>
    <w:p w14:paraId="49019352" w14:textId="77777777" w:rsidR="00495100" w:rsidRPr="00AA1DF1" w:rsidRDefault="00495100" w:rsidP="005641B0">
      <w:pPr>
        <w:jc w:val="both"/>
        <w:rPr>
          <w:rFonts w:asciiTheme="minorHAnsi" w:eastAsiaTheme="minorEastAsia" w:hAnsiTheme="minorHAnsi" w:cstheme="minorHAnsi"/>
          <w:szCs w:val="24"/>
        </w:rPr>
      </w:pPr>
      <w:r w:rsidRPr="00AA1DF1">
        <w:rPr>
          <w:i/>
          <w:iCs/>
          <w:szCs w:val="24"/>
        </w:rPr>
        <w:t>b)</w:t>
      </w:r>
      <w:r w:rsidRPr="00AA1DF1">
        <w:rPr>
          <w:szCs w:val="24"/>
        </w:rPr>
        <w:tab/>
        <w:t xml:space="preserve">que, selon le rapport 2024 des Nations Unies sur l'économie numérique, en termes de production par habitant, les pays développés ont généré en moyenne 3,25 kg de déchets liés au numérique, contre moins de 1 kg dans les pays en développement et 0,21 kg dans les pays les moins </w:t>
      </w:r>
      <w:proofErr w:type="gramStart"/>
      <w:r w:rsidRPr="00AA1DF1">
        <w:rPr>
          <w:szCs w:val="24"/>
        </w:rPr>
        <w:t>avancés;</w:t>
      </w:r>
      <w:proofErr w:type="gramEnd"/>
    </w:p>
    <w:p w14:paraId="5C7D9A70" w14:textId="77777777" w:rsidR="00495100" w:rsidRPr="00AA1DF1" w:rsidRDefault="00495100" w:rsidP="005641B0">
      <w:pPr>
        <w:jc w:val="both"/>
        <w:rPr>
          <w:rFonts w:asciiTheme="minorHAnsi" w:eastAsiaTheme="minorEastAsia" w:hAnsiTheme="minorHAnsi" w:cstheme="minorHAnsi"/>
          <w:spacing w:val="-2"/>
          <w:szCs w:val="24"/>
        </w:rPr>
      </w:pPr>
      <w:r w:rsidRPr="00AA1DF1">
        <w:rPr>
          <w:i/>
          <w:iCs/>
          <w:szCs w:val="24"/>
        </w:rPr>
        <w:t>c)</w:t>
      </w:r>
      <w:r w:rsidRPr="00AA1DF1">
        <w:rPr>
          <w:szCs w:val="24"/>
        </w:rPr>
        <w:tab/>
        <w:t xml:space="preserve">que les pratiques du secteur devraient favoriser les possibilités et les mesures incitatives permettant aux consommateurs de réutiliser, de réparer et de recycler les produits TIC, dans le but de réduire les déchets électroniques, en particulier dans les pays en </w:t>
      </w:r>
      <w:proofErr w:type="gramStart"/>
      <w:r w:rsidRPr="00AA1DF1">
        <w:rPr>
          <w:szCs w:val="24"/>
        </w:rPr>
        <w:t>développement;</w:t>
      </w:r>
      <w:proofErr w:type="gramEnd"/>
    </w:p>
    <w:p w14:paraId="599A98DF" w14:textId="6C660893" w:rsidR="00495100" w:rsidRPr="00AA1DF1" w:rsidRDefault="00495100" w:rsidP="005641B0">
      <w:pPr>
        <w:jc w:val="both"/>
        <w:rPr>
          <w:szCs w:val="24"/>
        </w:rPr>
      </w:pPr>
      <w:r w:rsidRPr="00AA1DF1">
        <w:rPr>
          <w:i/>
          <w:iCs/>
          <w:szCs w:val="24"/>
        </w:rPr>
        <w:t>d)</w:t>
      </w:r>
      <w:r w:rsidRPr="00AA1DF1">
        <w:rPr>
          <w:szCs w:val="24"/>
        </w:rPr>
        <w:tab/>
        <w:t xml:space="preserve">que les infrastructures de télécommunication/TIC, y compris les centres de données, peuvent entraîner une forte consommation d'énergie et des émissions de carbone élevées si elles ne sont pas gérées de manière </w:t>
      </w:r>
      <w:proofErr w:type="gramStart"/>
      <w:r w:rsidRPr="00AA1DF1">
        <w:rPr>
          <w:szCs w:val="24"/>
        </w:rPr>
        <w:t>durable;</w:t>
      </w:r>
      <w:proofErr w:type="gramEnd"/>
    </w:p>
    <w:p w14:paraId="267D7F3D" w14:textId="77777777" w:rsidR="00B119C6" w:rsidRPr="00AA1DF1" w:rsidRDefault="00B119C6" w:rsidP="005641B0">
      <w:pPr>
        <w:jc w:val="both"/>
        <w:rPr>
          <w:rFonts w:asciiTheme="minorHAnsi" w:eastAsiaTheme="minorEastAsia" w:hAnsiTheme="minorHAnsi" w:cstheme="minorHAnsi"/>
        </w:rPr>
      </w:pPr>
      <w:r w:rsidRPr="00AA1DF1">
        <w:rPr>
          <w:i/>
          <w:iCs/>
        </w:rPr>
        <w:lastRenderedPageBreak/>
        <w:t>e)</w:t>
      </w:r>
      <w:r w:rsidRPr="00AA1DF1">
        <w:tab/>
        <w:t xml:space="preserve">que le développement rapide des télécommunications/TIC peut entraîner une augmentation des déchets d'équipements électriques et électroniques, ce qui présente des risques pour </w:t>
      </w:r>
      <w:proofErr w:type="gramStart"/>
      <w:r w:rsidRPr="00AA1DF1">
        <w:t>l'environnement;</w:t>
      </w:r>
      <w:proofErr w:type="gramEnd"/>
    </w:p>
    <w:p w14:paraId="37871888" w14:textId="77777777" w:rsidR="00B119C6" w:rsidRPr="00AA1DF1" w:rsidRDefault="00B119C6" w:rsidP="005641B0">
      <w:pPr>
        <w:jc w:val="both"/>
      </w:pPr>
      <w:r w:rsidRPr="00AA1DF1">
        <w:rPr>
          <w:i/>
          <w:iCs/>
        </w:rPr>
        <w:t>f)</w:t>
      </w:r>
      <w:r w:rsidRPr="00AA1DF1">
        <w:tab/>
        <w:t xml:space="preserve">que les petits États insulaires en développement et d'autres pays peu peuplés peuvent rencontrer des difficultés à mettre en œuvre des programmes de transformation numérique écologique sans partenariats leur permettant d'étendre leurs </w:t>
      </w:r>
      <w:proofErr w:type="gramStart"/>
      <w:r w:rsidRPr="00AA1DF1">
        <w:t>activités;</w:t>
      </w:r>
      <w:proofErr w:type="gramEnd"/>
    </w:p>
    <w:p w14:paraId="54C4FD49" w14:textId="77777777" w:rsidR="00B119C6" w:rsidRPr="00AA1DF1" w:rsidRDefault="00B119C6" w:rsidP="005641B0">
      <w:pPr>
        <w:jc w:val="both"/>
      </w:pPr>
      <w:r w:rsidRPr="00AA1DF1">
        <w:rPr>
          <w:i/>
          <w:iCs/>
        </w:rPr>
        <w:t>g)</w:t>
      </w:r>
      <w:r w:rsidRPr="00AA1DF1">
        <w:tab/>
        <w:t xml:space="preserve">que les pays en développement pourraient rencontrer des difficultés à atteindre les objectifs de l'Accord de Paris et faciliter la transformation numérique écologique sans soutien financier et </w:t>
      </w:r>
      <w:proofErr w:type="gramStart"/>
      <w:r w:rsidRPr="00AA1DF1">
        <w:t>technique;</w:t>
      </w:r>
      <w:proofErr w:type="gramEnd"/>
    </w:p>
    <w:p w14:paraId="2435B83B" w14:textId="77777777" w:rsidR="00B119C6" w:rsidRPr="00AA1DF1" w:rsidRDefault="00B119C6" w:rsidP="005641B0">
      <w:pPr>
        <w:jc w:val="both"/>
      </w:pPr>
      <w:r w:rsidRPr="00AA1DF1">
        <w:rPr>
          <w:i/>
          <w:iCs/>
        </w:rPr>
        <w:t>h)</w:t>
      </w:r>
      <w:r w:rsidRPr="00AA1DF1">
        <w:tab/>
        <w:t xml:space="preserve">qu'une transformation numérique écologique doit tenir compte du fait que de nombreux pays en développement doivent encore poursuivre leur transition numérique afin de participer pleinement à l'économie et à la société </w:t>
      </w:r>
      <w:proofErr w:type="gramStart"/>
      <w:r w:rsidRPr="00AA1DF1">
        <w:t>mondiales;</w:t>
      </w:r>
      <w:proofErr w:type="gramEnd"/>
    </w:p>
    <w:p w14:paraId="3BE979B0" w14:textId="77777777" w:rsidR="00B119C6" w:rsidRPr="00AA1DF1" w:rsidRDefault="00B119C6" w:rsidP="005641B0">
      <w:pPr>
        <w:jc w:val="both"/>
      </w:pPr>
      <w:r w:rsidRPr="00AA1DF1">
        <w:rPr>
          <w:i/>
          <w:iCs/>
        </w:rPr>
        <w:t>i)</w:t>
      </w:r>
      <w:r w:rsidRPr="00AA1DF1">
        <w:tab/>
        <w:t>les contributions apportées par les commissions d'études compétentes de l'UIT dans les trois Secteurs, par exemple la Commission d'études 5 de l'UIT-T, la Commission d'études 7 de l'UIT</w:t>
      </w:r>
      <w:r w:rsidRPr="00AA1DF1">
        <w:noBreakHyphen/>
        <w:t>R et la Commission d'études 2 de l'UIT-D,</w:t>
      </w:r>
    </w:p>
    <w:p w14:paraId="06EE2F01" w14:textId="77777777" w:rsidR="00B119C6" w:rsidRPr="00AA1DF1" w:rsidRDefault="00B119C6" w:rsidP="00434918">
      <w:pPr>
        <w:pStyle w:val="Call"/>
        <w:rPr>
          <w:rFonts w:eastAsiaTheme="minorEastAsia"/>
        </w:rPr>
      </w:pPr>
      <w:proofErr w:type="gramStart"/>
      <w:r w:rsidRPr="00AA1DF1">
        <w:t>est</w:t>
      </w:r>
      <w:proofErr w:type="gramEnd"/>
      <w:r w:rsidRPr="00AA1DF1">
        <w:t xml:space="preserve"> d'avis</w:t>
      </w:r>
    </w:p>
    <w:p w14:paraId="7A8DF993" w14:textId="77777777" w:rsidR="00B119C6" w:rsidRPr="00AA1DF1" w:rsidRDefault="00B119C6" w:rsidP="005641B0">
      <w:pPr>
        <w:spacing w:before="110"/>
        <w:jc w:val="both"/>
      </w:pPr>
      <w:r w:rsidRPr="00AA1DF1">
        <w:rPr>
          <w:szCs w:val="24"/>
        </w:rPr>
        <w:t>1</w:t>
      </w:r>
      <w:r w:rsidRPr="00AA1DF1">
        <w:rPr>
          <w:szCs w:val="24"/>
        </w:rPr>
        <w:tab/>
      </w:r>
      <w:r w:rsidRPr="00AA1DF1">
        <w:t xml:space="preserve">que des réductions rapides, profondes et durables des émissions mondiales de gaz à effet de serre sont nécessaires pour opérer une transformation numérique écologique et </w:t>
      </w:r>
      <w:proofErr w:type="gramStart"/>
      <w:r w:rsidRPr="00AA1DF1">
        <w:t>durable;</w:t>
      </w:r>
      <w:proofErr w:type="gramEnd"/>
    </w:p>
    <w:p w14:paraId="33AC6FCB" w14:textId="77777777" w:rsidR="00B119C6" w:rsidRPr="00AA1DF1" w:rsidRDefault="00B119C6" w:rsidP="005641B0">
      <w:pPr>
        <w:spacing w:before="110"/>
        <w:jc w:val="both"/>
      </w:pPr>
      <w:r w:rsidRPr="00AA1DF1">
        <w:t>2</w:t>
      </w:r>
      <w:r w:rsidRPr="00AA1DF1">
        <w:tab/>
        <w:t xml:space="preserve">que les pouvoirs publics nationaux, régionaux et locaux, le secteur privé, la société civile, les milieux techniques et les établissements universitaires devraient s'associer et œuvrer en faveur d'une transformation numérique </w:t>
      </w:r>
      <w:proofErr w:type="gramStart"/>
      <w:r w:rsidRPr="00AA1DF1">
        <w:t>écologique;</w:t>
      </w:r>
      <w:proofErr w:type="gramEnd"/>
    </w:p>
    <w:p w14:paraId="79498E18" w14:textId="77777777" w:rsidR="00B119C6" w:rsidRPr="00AA1DF1" w:rsidRDefault="00B119C6" w:rsidP="005641B0">
      <w:pPr>
        <w:widowControl w:val="0"/>
        <w:spacing w:before="110"/>
        <w:jc w:val="both"/>
        <w:rPr>
          <w:rFonts w:asciiTheme="minorHAnsi" w:eastAsiaTheme="minorEastAsia" w:hAnsiTheme="minorHAnsi" w:cstheme="minorHAnsi"/>
          <w:szCs w:val="24"/>
        </w:rPr>
      </w:pPr>
      <w:r w:rsidRPr="00AA1DF1">
        <w:t>3</w:t>
      </w:r>
      <w:r w:rsidRPr="00AA1DF1">
        <w:tab/>
        <w:t>que, même si les télécommunications/TIC contribuent largement aux émissions mondiales de</w:t>
      </w:r>
      <w:r w:rsidRPr="00AA1DF1">
        <w:rPr>
          <w:szCs w:val="24"/>
        </w:rPr>
        <w:t xml:space="preserve"> gaz à effet de serre, leur pouvoir de transformation peut être mis à profit pour lutter contre les changements </w:t>
      </w:r>
      <w:proofErr w:type="gramStart"/>
      <w:r w:rsidRPr="00AA1DF1">
        <w:rPr>
          <w:szCs w:val="24"/>
        </w:rPr>
        <w:t>climatiques;</w:t>
      </w:r>
      <w:proofErr w:type="gramEnd"/>
    </w:p>
    <w:p w14:paraId="15DD1646" w14:textId="77777777" w:rsidR="00B119C6" w:rsidRPr="00AA1DF1" w:rsidRDefault="00B119C6" w:rsidP="005641B0">
      <w:pPr>
        <w:spacing w:before="110"/>
        <w:jc w:val="both"/>
      </w:pPr>
      <w:r w:rsidRPr="00AA1DF1">
        <w:t>4</w:t>
      </w:r>
      <w:r w:rsidRPr="00AA1DF1">
        <w:tab/>
        <w:t xml:space="preserve">que l'accélération du rythme dynamique du secteur des télécommunications/TIC devrait aller de pair avec une transformation numérique écologique et offre des perspectives de croissance économique, d'amélioration de la compétitivité et de développement durable dans tous les secteurs économiques, tout en réduisant simultanément les émissions de gaz à effet de serre émanant d'autres </w:t>
      </w:r>
      <w:proofErr w:type="gramStart"/>
      <w:r w:rsidRPr="00AA1DF1">
        <w:t>secteurs;</w:t>
      </w:r>
      <w:proofErr w:type="gramEnd"/>
    </w:p>
    <w:p w14:paraId="5DAC301A" w14:textId="77777777" w:rsidR="00B119C6" w:rsidRPr="00AA1DF1" w:rsidRDefault="00B119C6" w:rsidP="005641B0">
      <w:pPr>
        <w:spacing w:before="110"/>
        <w:jc w:val="both"/>
      </w:pPr>
      <w:r w:rsidRPr="00AA1DF1">
        <w:t>5</w:t>
      </w:r>
      <w:r w:rsidRPr="00AA1DF1">
        <w:tab/>
        <w:t xml:space="preserve">que les télécommunications/TIC pourraient contribuer à atténuer les incidences d'autres secteurs sur l'environnement de bien des manières, par exemple en recensant des informations exploitables issues de l'analyse des </w:t>
      </w:r>
      <w:proofErr w:type="gramStart"/>
      <w:r w:rsidRPr="00AA1DF1">
        <w:t>données;</w:t>
      </w:r>
      <w:proofErr w:type="gramEnd"/>
    </w:p>
    <w:p w14:paraId="31BE49E3" w14:textId="77777777" w:rsidR="00B119C6" w:rsidRPr="00AA1DF1" w:rsidRDefault="00B119C6" w:rsidP="005641B0">
      <w:pPr>
        <w:spacing w:before="110"/>
        <w:jc w:val="both"/>
      </w:pPr>
      <w:r w:rsidRPr="00AA1DF1">
        <w:t>6</w:t>
      </w:r>
      <w:r w:rsidRPr="00AA1DF1">
        <w:tab/>
        <w:t xml:space="preserve">que le passage à une économie </w:t>
      </w:r>
      <w:proofErr w:type="gramStart"/>
      <w:r w:rsidRPr="00AA1DF1">
        <w:t>plus circulaire</w:t>
      </w:r>
      <w:proofErr w:type="gramEnd"/>
      <w:r w:rsidRPr="00AA1DF1">
        <w:t xml:space="preserve"> permettrait d'optimiser les incidences économiques et environnementales des télécommunications/TIC, notamment en favorisant des débouchés commerciaux et la création </w:t>
      </w:r>
      <w:proofErr w:type="gramStart"/>
      <w:r w:rsidRPr="00AA1DF1">
        <w:t>d'emplois;</w:t>
      </w:r>
      <w:proofErr w:type="gramEnd"/>
    </w:p>
    <w:p w14:paraId="6C254747" w14:textId="77777777" w:rsidR="00B119C6" w:rsidRPr="00AA1DF1" w:rsidRDefault="00B119C6" w:rsidP="005641B0">
      <w:pPr>
        <w:spacing w:before="110"/>
        <w:jc w:val="both"/>
      </w:pPr>
      <w:r w:rsidRPr="00AA1DF1">
        <w:t>7</w:t>
      </w:r>
      <w:r w:rsidRPr="00AA1DF1">
        <w:tab/>
        <w:t>que la durabilité, l'efficacité énergétique, notamment, le partage volontaire des infrastructures et la réduction des déchets d'équipements électriques et électroniques devraient faire partie intégrante des considérations relatives au développement, au déploiement et à l'utilisation des télécommunications/TIC,</w:t>
      </w:r>
    </w:p>
    <w:p w14:paraId="6D2C6960" w14:textId="77777777" w:rsidR="00B119C6" w:rsidRPr="00AA1DF1" w:rsidRDefault="00B119C6" w:rsidP="00434918">
      <w:pPr>
        <w:pStyle w:val="Call"/>
        <w:keepNext w:val="0"/>
        <w:keepLines w:val="0"/>
        <w:widowControl w:val="0"/>
      </w:pPr>
      <w:proofErr w:type="gramStart"/>
      <w:r w:rsidRPr="00AA1DF1">
        <w:t>invite</w:t>
      </w:r>
      <w:proofErr w:type="gramEnd"/>
      <w:r w:rsidRPr="00AA1DF1">
        <w:t xml:space="preserve"> les États Membres</w:t>
      </w:r>
    </w:p>
    <w:p w14:paraId="5BD36802" w14:textId="77777777" w:rsidR="00B119C6" w:rsidRPr="00AA1DF1" w:rsidRDefault="00B119C6" w:rsidP="005641B0">
      <w:pPr>
        <w:widowControl w:val="0"/>
        <w:spacing w:before="80"/>
        <w:jc w:val="both"/>
      </w:pPr>
      <w:r w:rsidRPr="00AA1DF1">
        <w:t>1</w:t>
      </w:r>
      <w:r w:rsidRPr="00AA1DF1">
        <w:tab/>
        <w:t xml:space="preserve">à utiliser les télécommunications/TIC comme un moyen efficace de réduire les émissions de gaz à effet de serre dans de multiples secteurs </w:t>
      </w:r>
      <w:proofErr w:type="gramStart"/>
      <w:r w:rsidRPr="00AA1DF1">
        <w:t>économiques;</w:t>
      </w:r>
      <w:proofErr w:type="gramEnd"/>
    </w:p>
    <w:p w14:paraId="5849F05D" w14:textId="77777777" w:rsidR="00B119C6" w:rsidRPr="00AA1DF1" w:rsidRDefault="00B119C6" w:rsidP="005641B0">
      <w:pPr>
        <w:jc w:val="both"/>
      </w:pPr>
      <w:r w:rsidRPr="00AA1DF1">
        <w:lastRenderedPageBreak/>
        <w:t>2</w:t>
      </w:r>
      <w:r w:rsidRPr="00AA1DF1">
        <w:tab/>
        <w:t xml:space="preserve">à élaborer, aux niveaux régional, national et local, des stratégies et des politiques adaptées visant à promouvoir la circularité des équipements de télécommunication/TIC au sein du secteur public, auprès des consommateurs et dans le secteur </w:t>
      </w:r>
      <w:proofErr w:type="gramStart"/>
      <w:r w:rsidRPr="00AA1DF1">
        <w:t>privé;</w:t>
      </w:r>
      <w:proofErr w:type="gramEnd"/>
    </w:p>
    <w:p w14:paraId="2796FF3F" w14:textId="77777777" w:rsidR="00B119C6" w:rsidRPr="00AA1DF1" w:rsidRDefault="00B119C6" w:rsidP="005641B0">
      <w:pPr>
        <w:jc w:val="both"/>
      </w:pPr>
      <w:r w:rsidRPr="00AA1DF1">
        <w:t>3</w:t>
      </w:r>
      <w:r w:rsidRPr="00AA1DF1">
        <w:tab/>
        <w:t xml:space="preserve">à promouvoir la mise au point de solutions peu onéreuses, sûres et durables dès la conception, ayant une empreinte carbone réduite tout au long de leur cycle de </w:t>
      </w:r>
      <w:proofErr w:type="gramStart"/>
      <w:r w:rsidRPr="00AA1DF1">
        <w:t>vie;</w:t>
      </w:r>
      <w:proofErr w:type="gramEnd"/>
    </w:p>
    <w:p w14:paraId="66CAD718" w14:textId="77777777" w:rsidR="00B119C6" w:rsidRPr="00AA1DF1" w:rsidRDefault="00B119C6" w:rsidP="005641B0">
      <w:pPr>
        <w:jc w:val="both"/>
      </w:pPr>
      <w:r w:rsidRPr="00AA1DF1">
        <w:t>4</w:t>
      </w:r>
      <w:r w:rsidRPr="00AA1DF1">
        <w:tab/>
        <w:t xml:space="preserve">à favoriser un environnement propice aux investissements dans des télécommunications/TIC écologiquement </w:t>
      </w:r>
      <w:proofErr w:type="gramStart"/>
      <w:r w:rsidRPr="00AA1DF1">
        <w:t>viables;</w:t>
      </w:r>
      <w:proofErr w:type="gramEnd"/>
    </w:p>
    <w:p w14:paraId="0EAAB14D" w14:textId="77777777" w:rsidR="00B119C6" w:rsidRPr="00AA1DF1" w:rsidRDefault="00B119C6" w:rsidP="005641B0">
      <w:pPr>
        <w:jc w:val="both"/>
      </w:pPr>
      <w:r w:rsidRPr="00AA1DF1">
        <w:t>5</w:t>
      </w:r>
      <w:r w:rsidRPr="00AA1DF1">
        <w:tab/>
        <w:t xml:space="preserve">à investir dans la recherche-développement de télécommunications/TIC respectueuses de </w:t>
      </w:r>
      <w:proofErr w:type="gramStart"/>
      <w:r w:rsidRPr="00AA1DF1">
        <w:t>l'environnement;</w:t>
      </w:r>
      <w:proofErr w:type="gramEnd"/>
    </w:p>
    <w:p w14:paraId="45609AEF" w14:textId="77777777" w:rsidR="00B119C6" w:rsidRPr="00AA1DF1" w:rsidRDefault="00B119C6" w:rsidP="005641B0">
      <w:pPr>
        <w:jc w:val="both"/>
      </w:pPr>
      <w:r w:rsidRPr="00AA1DF1">
        <w:t>6</w:t>
      </w:r>
      <w:r w:rsidRPr="00AA1DF1">
        <w:tab/>
        <w:t xml:space="preserve">à envisager de recourir à des prescriptions en matière de marchés publics pour encourager le déploiement de systèmes de télécommunication/TIC durables au sein des organisations concernées, le cas </w:t>
      </w:r>
      <w:proofErr w:type="gramStart"/>
      <w:r w:rsidRPr="00AA1DF1">
        <w:t>échéant;</w:t>
      </w:r>
      <w:proofErr w:type="gramEnd"/>
    </w:p>
    <w:p w14:paraId="26249300" w14:textId="77777777" w:rsidR="00B119C6" w:rsidRPr="00AA1DF1" w:rsidRDefault="00B119C6" w:rsidP="005641B0">
      <w:pPr>
        <w:jc w:val="both"/>
      </w:pPr>
      <w:r w:rsidRPr="00AA1DF1">
        <w:t>7</w:t>
      </w:r>
      <w:r w:rsidRPr="00AA1DF1">
        <w:tab/>
        <w:t xml:space="preserve">à encourager l'évaluation de l'ensemble des effets sur l'environnement des télécommunications/TIC au cours de leur cycle de vie, de la planification à l'élimination, afin d'éclairer les pratiques en matière de politiques, d'innovation et de conception </w:t>
      </w:r>
      <w:proofErr w:type="gramStart"/>
      <w:r w:rsidRPr="00AA1DF1">
        <w:t>durable;</w:t>
      </w:r>
      <w:proofErr w:type="gramEnd"/>
    </w:p>
    <w:p w14:paraId="6428281C" w14:textId="77777777" w:rsidR="00B119C6" w:rsidRPr="00AA1DF1" w:rsidRDefault="00B119C6" w:rsidP="005641B0">
      <w:pPr>
        <w:jc w:val="both"/>
      </w:pPr>
      <w:r w:rsidRPr="00AA1DF1">
        <w:t>8</w:t>
      </w:r>
      <w:r w:rsidRPr="00AA1DF1">
        <w:tab/>
        <w:t xml:space="preserve">à mettre en œuvre des campagnes de sensibilisation du public à l'élimination et au recyclage des déchets d'équipements électriques et électroniques, afin de mieux faire comprendre aux consommateurs les incidences de leurs appareils en termes de </w:t>
      </w:r>
      <w:proofErr w:type="gramStart"/>
      <w:r w:rsidRPr="00AA1DF1">
        <w:t>déchets;</w:t>
      </w:r>
      <w:proofErr w:type="gramEnd"/>
    </w:p>
    <w:p w14:paraId="7397B474" w14:textId="77777777" w:rsidR="00B119C6" w:rsidRPr="00AA1DF1" w:rsidRDefault="00B119C6" w:rsidP="005641B0">
      <w:pPr>
        <w:jc w:val="both"/>
      </w:pPr>
      <w:r w:rsidRPr="00AA1DF1">
        <w:t>9</w:t>
      </w:r>
      <w:r w:rsidRPr="00AA1DF1">
        <w:tab/>
        <w:t xml:space="preserve">à encourager l'utilisation de sources d'énergie renouvelables et de dispositifs économes en énergie à faible émission de gaz à effet de serre, en tenant compte de la situation et des capacités de chaque État </w:t>
      </w:r>
      <w:proofErr w:type="gramStart"/>
      <w:r w:rsidRPr="00AA1DF1">
        <w:t>Membre;</w:t>
      </w:r>
      <w:bookmarkStart w:id="5" w:name="_Hlk211347167"/>
      <w:bookmarkEnd w:id="5"/>
      <w:proofErr w:type="gramEnd"/>
    </w:p>
    <w:p w14:paraId="1DF2B0C4" w14:textId="77777777" w:rsidR="00B119C6" w:rsidRPr="00AA1DF1" w:rsidRDefault="00B119C6" w:rsidP="005641B0">
      <w:pPr>
        <w:jc w:val="both"/>
      </w:pPr>
      <w:r w:rsidRPr="00AA1DF1">
        <w:t>10</w:t>
      </w:r>
      <w:r w:rsidRPr="00AA1DF1">
        <w:tab/>
        <w:t>à renforcer les cadres de gestion de l'élimination des déchets d'équipements électriques et électroniques, en élaborant des politiques, des réglementations, des cadres et des stratégies en la matière,</w:t>
      </w:r>
    </w:p>
    <w:p w14:paraId="027414F7" w14:textId="77777777" w:rsidR="00B119C6" w:rsidRPr="00AA1DF1" w:rsidRDefault="00B119C6" w:rsidP="00434918">
      <w:pPr>
        <w:pStyle w:val="Call"/>
      </w:pPr>
      <w:proofErr w:type="gramStart"/>
      <w:r w:rsidRPr="00AA1DF1">
        <w:t>invite</w:t>
      </w:r>
      <w:proofErr w:type="gramEnd"/>
      <w:r w:rsidRPr="00AA1DF1">
        <w:t xml:space="preserve"> les États Membres, les Membres de Secteur et les autres parties prenantes</w:t>
      </w:r>
    </w:p>
    <w:p w14:paraId="3A54FF54" w14:textId="77777777" w:rsidR="00B119C6" w:rsidRPr="00AA1DF1" w:rsidRDefault="00B119C6" w:rsidP="005641B0">
      <w:pPr>
        <w:spacing w:before="110"/>
        <w:jc w:val="both"/>
      </w:pPr>
      <w:r w:rsidRPr="00AA1DF1">
        <w:t>1</w:t>
      </w:r>
      <w:r w:rsidRPr="00AA1DF1">
        <w:tab/>
        <w:t xml:space="preserve">à prendre d'urgence des mesures immédiates pour réduire les répercussions négatives sur l'environnement et les risques liés aux télécommunications/TIC et à toutes les infrastructures </w:t>
      </w:r>
      <w:proofErr w:type="gramStart"/>
      <w:r w:rsidRPr="00AA1DF1">
        <w:t>concernées;</w:t>
      </w:r>
      <w:proofErr w:type="gramEnd"/>
    </w:p>
    <w:p w14:paraId="69D40AD0" w14:textId="77777777" w:rsidR="00B119C6" w:rsidRPr="00AA1DF1" w:rsidRDefault="00B119C6" w:rsidP="005641B0">
      <w:pPr>
        <w:spacing w:before="110"/>
        <w:jc w:val="both"/>
      </w:pPr>
      <w:r w:rsidRPr="00AA1DF1">
        <w:t>2</w:t>
      </w:r>
      <w:r w:rsidRPr="00AA1DF1">
        <w:tab/>
        <w:t xml:space="preserve">à renforcer leur engagement à lutter contre la prolifération des déchets d'équipements électriques et électroniques, en planifiant le recyclage futur au stade de la conception des TIC futures, afin d'encourager l'utilisation et le développement d'équipements de télécommunication/TIC robustes et durables, ainsi que de matériaux recyclables, dans le cadre de l'économie </w:t>
      </w:r>
      <w:proofErr w:type="gramStart"/>
      <w:r w:rsidRPr="00AA1DF1">
        <w:t>circulaire;</w:t>
      </w:r>
      <w:proofErr w:type="gramEnd"/>
    </w:p>
    <w:p w14:paraId="06AFC17B" w14:textId="77777777" w:rsidR="00B119C6" w:rsidRPr="00AA1DF1" w:rsidRDefault="00B119C6" w:rsidP="005641B0">
      <w:pPr>
        <w:spacing w:before="110"/>
        <w:jc w:val="both"/>
      </w:pPr>
      <w:r w:rsidRPr="00AA1DF1">
        <w:t>3</w:t>
      </w:r>
      <w:r w:rsidRPr="00AA1DF1">
        <w:tab/>
        <w:t xml:space="preserve">à promouvoir des modes de consommation et de production durables, en participant à l'économie circulaire des télécommunications/TIC, en encourageant la réparation, la réutilisation et la revente des appareils correspondants et en sensibilisant le public à l'élimination et au recyclage des déchets d'équipements électriques et </w:t>
      </w:r>
      <w:proofErr w:type="gramStart"/>
      <w:r w:rsidRPr="00AA1DF1">
        <w:t>électroniques;</w:t>
      </w:r>
      <w:proofErr w:type="gramEnd"/>
    </w:p>
    <w:p w14:paraId="1F9E3F16" w14:textId="77777777" w:rsidR="00B119C6" w:rsidRPr="00AA1DF1" w:rsidRDefault="00B119C6" w:rsidP="005641B0">
      <w:pPr>
        <w:spacing w:before="110"/>
        <w:jc w:val="both"/>
      </w:pPr>
      <w:r w:rsidRPr="00AA1DF1">
        <w:t>4</w:t>
      </w:r>
      <w:r w:rsidRPr="00AA1DF1">
        <w:tab/>
        <w:t xml:space="preserve">à élaborer des politiques qui favorisent l'utilisation de technologies économes en énergie, susceptibles de contribuer à réduire l'empreinte carbone du </w:t>
      </w:r>
      <w:proofErr w:type="gramStart"/>
      <w:r w:rsidRPr="00AA1DF1">
        <w:t>secteur;</w:t>
      </w:r>
      <w:proofErr w:type="gramEnd"/>
    </w:p>
    <w:p w14:paraId="14E6F9B3" w14:textId="77777777" w:rsidR="00B119C6" w:rsidRPr="00AA1DF1" w:rsidRDefault="00B119C6" w:rsidP="005641B0">
      <w:pPr>
        <w:widowControl w:val="0"/>
        <w:spacing w:before="110"/>
        <w:jc w:val="both"/>
      </w:pPr>
      <w:r w:rsidRPr="00AA1DF1">
        <w:t>5</w:t>
      </w:r>
      <w:r w:rsidRPr="00AA1DF1">
        <w:tab/>
        <w:t xml:space="preserve">à adopter des politiques de gestion des déchets d'équipements électriques et électroniques, notamment des programmes de recyclage et d'élimination responsable des vieux appareils </w:t>
      </w:r>
      <w:proofErr w:type="gramStart"/>
      <w:r w:rsidRPr="00AA1DF1">
        <w:t>électroniques;</w:t>
      </w:r>
      <w:proofErr w:type="gramEnd"/>
    </w:p>
    <w:p w14:paraId="7C05FF2C" w14:textId="77777777" w:rsidR="00B119C6" w:rsidRPr="00AA1DF1" w:rsidRDefault="00B119C6" w:rsidP="005641B0">
      <w:pPr>
        <w:jc w:val="both"/>
      </w:pPr>
      <w:r w:rsidRPr="00AA1DF1">
        <w:lastRenderedPageBreak/>
        <w:t>6</w:t>
      </w:r>
      <w:r w:rsidRPr="00AA1DF1">
        <w:tab/>
        <w:t xml:space="preserve">à exploiter le potentiel de la transformation numérique pour promouvoir un développement inclusif et durable, tout en atténuant ses conséquences négatives pour l'environnement grâce à la transition vers une économie numérique circulaire, caractérisée par une consommation et </w:t>
      </w:r>
      <w:proofErr w:type="gramStart"/>
      <w:r w:rsidRPr="00AA1DF1">
        <w:t>une production responsables</w:t>
      </w:r>
      <w:proofErr w:type="gramEnd"/>
      <w:r w:rsidRPr="00AA1DF1">
        <w:t xml:space="preserve">, l'utilisation d'énergies renouvelables et une gestion globale des déchets d'équipements électriques et </w:t>
      </w:r>
      <w:proofErr w:type="gramStart"/>
      <w:r w:rsidRPr="00AA1DF1">
        <w:t>électroniques;</w:t>
      </w:r>
      <w:proofErr w:type="gramEnd"/>
    </w:p>
    <w:p w14:paraId="0D1B2F34" w14:textId="77777777" w:rsidR="00B119C6" w:rsidRPr="00AA1DF1" w:rsidRDefault="00B119C6" w:rsidP="005641B0">
      <w:pPr>
        <w:jc w:val="both"/>
      </w:pPr>
      <w:r w:rsidRPr="00AA1DF1">
        <w:t>7</w:t>
      </w:r>
      <w:r w:rsidRPr="00AA1DF1">
        <w:tab/>
        <w:t xml:space="preserve">à encourager la réduction des émissions de carbone afin de promouvoir des pratiques durables dans le secteur du </w:t>
      </w:r>
      <w:proofErr w:type="gramStart"/>
      <w:r w:rsidRPr="00AA1DF1">
        <w:t>numérique;</w:t>
      </w:r>
      <w:proofErr w:type="gramEnd"/>
    </w:p>
    <w:p w14:paraId="66EE86E0" w14:textId="77777777" w:rsidR="00B119C6" w:rsidRPr="00AA1DF1" w:rsidRDefault="00B119C6" w:rsidP="005641B0">
      <w:pPr>
        <w:jc w:val="both"/>
      </w:pPr>
      <w:r w:rsidRPr="00AA1DF1">
        <w:t>8</w:t>
      </w:r>
      <w:r w:rsidRPr="00AA1DF1">
        <w:tab/>
        <w:t xml:space="preserve">à utiliser les télécommunications/TIC pour lutter contre les changements climatiques et promouvoir la circularité dans d'autres secteurs, tels que l'énergie, l'industrie manufacturière, les transports, le bâtiment et l'agriculture, en vue d'atteindre les objectifs de développement </w:t>
      </w:r>
      <w:proofErr w:type="gramStart"/>
      <w:r w:rsidRPr="00AA1DF1">
        <w:t>durable;</w:t>
      </w:r>
      <w:proofErr w:type="gramEnd"/>
    </w:p>
    <w:p w14:paraId="67B926EC" w14:textId="77777777" w:rsidR="00B119C6" w:rsidRPr="00AA1DF1" w:rsidRDefault="00B119C6" w:rsidP="005641B0">
      <w:pPr>
        <w:jc w:val="both"/>
      </w:pPr>
      <w:r w:rsidRPr="00AA1DF1">
        <w:t>9</w:t>
      </w:r>
      <w:r w:rsidRPr="00AA1DF1">
        <w:tab/>
        <w:t xml:space="preserve">à reconnaître l'importance de la collaboration internationale pour assurer une transformation numérique écologique, y compris le transfert et le développement volontaires et convenus d'un commun accord des technologies, entre tous les acteurs de la société, tous les secteurs et toutes les régions, pour contribuer à la réalisation des objectifs des CCNUCC et de l'Accord de </w:t>
      </w:r>
      <w:proofErr w:type="gramStart"/>
      <w:r w:rsidRPr="00AA1DF1">
        <w:t>Paris;</w:t>
      </w:r>
      <w:proofErr w:type="gramEnd"/>
    </w:p>
    <w:p w14:paraId="45172CFC" w14:textId="77777777" w:rsidR="00B119C6" w:rsidRPr="00AA1DF1" w:rsidRDefault="00B119C6" w:rsidP="005641B0">
      <w:pPr>
        <w:jc w:val="both"/>
      </w:pPr>
      <w:r w:rsidRPr="00AA1DF1">
        <w:t>10</w:t>
      </w:r>
      <w:r w:rsidRPr="00AA1DF1">
        <w:tab/>
        <w:t xml:space="preserve">à envisager d'adopter des recommandations UIT-T pertinentes sur les déchets d'équipements électriques et électroniques et </w:t>
      </w:r>
      <w:proofErr w:type="gramStart"/>
      <w:r w:rsidRPr="00AA1DF1">
        <w:t>l'environnement;</w:t>
      </w:r>
      <w:proofErr w:type="gramEnd"/>
    </w:p>
    <w:p w14:paraId="2525A60D" w14:textId="77777777" w:rsidR="00B119C6" w:rsidRPr="00AA1DF1" w:rsidRDefault="00B119C6" w:rsidP="005641B0">
      <w:pPr>
        <w:jc w:val="both"/>
      </w:pPr>
      <w:r w:rsidRPr="00AA1DF1">
        <w:t>11</w:t>
      </w:r>
      <w:r w:rsidRPr="00AA1DF1">
        <w:tab/>
        <w:t xml:space="preserve">à participer activement aux activités de l'UIT relatives au développement durable et aux initiatives intersectorielles </w:t>
      </w:r>
      <w:proofErr w:type="gramStart"/>
      <w:r w:rsidRPr="00AA1DF1">
        <w:t>connexes;</w:t>
      </w:r>
      <w:proofErr w:type="gramEnd"/>
    </w:p>
    <w:p w14:paraId="306006C8" w14:textId="77777777" w:rsidR="00B119C6" w:rsidRPr="00AA1DF1" w:rsidRDefault="00B119C6" w:rsidP="005641B0">
      <w:pPr>
        <w:jc w:val="both"/>
      </w:pPr>
      <w:r w:rsidRPr="00AA1DF1">
        <w:t>12</w:t>
      </w:r>
      <w:r w:rsidRPr="00AA1DF1">
        <w:tab/>
        <w:t>à promouvoir le partage des infrastructures et des ressources (et, dans la mesure du possible, le partage intersectoriel des infrastructures) afin de réduire le nombre d'infrastructures redondantes, de réduire au minimum la consommation de ressources, de diminuer la consommation d'énergie et de mettre à profit les actifs dans des secteurs tels que l'énergie, les transports et les télécommunications/</w:t>
      </w:r>
      <w:proofErr w:type="gramStart"/>
      <w:r w:rsidRPr="00AA1DF1">
        <w:t>TIC;</w:t>
      </w:r>
      <w:proofErr w:type="gramEnd"/>
    </w:p>
    <w:p w14:paraId="6EF0FA20" w14:textId="77777777" w:rsidR="00B119C6" w:rsidRPr="00AA1DF1" w:rsidRDefault="00B119C6" w:rsidP="005641B0">
      <w:pPr>
        <w:jc w:val="both"/>
      </w:pPr>
      <w:r w:rsidRPr="00AA1DF1">
        <w:t>13</w:t>
      </w:r>
      <w:r w:rsidRPr="00AA1DF1">
        <w:tab/>
        <w:t>à intégrer les télécommunications/TIC dans les stratégies de protection de l'environnement, afin de créer un écosystème global permettant d'évoluer vers un avenir durable,</w:t>
      </w:r>
    </w:p>
    <w:p w14:paraId="2DB884CD" w14:textId="77777777" w:rsidR="00B119C6" w:rsidRPr="00AA1DF1" w:rsidRDefault="00B119C6" w:rsidP="00434918">
      <w:pPr>
        <w:pStyle w:val="Call"/>
      </w:pPr>
      <w:proofErr w:type="gramStart"/>
      <w:r w:rsidRPr="00AA1DF1">
        <w:t>invite</w:t>
      </w:r>
      <w:proofErr w:type="gramEnd"/>
      <w:r w:rsidRPr="00AA1DF1">
        <w:t xml:space="preserve"> la Secrétaire générale</w:t>
      </w:r>
    </w:p>
    <w:p w14:paraId="1ACB8AF6" w14:textId="77777777" w:rsidR="00B119C6" w:rsidRPr="00AA1DF1" w:rsidRDefault="00B119C6" w:rsidP="005641B0">
      <w:pPr>
        <w:jc w:val="both"/>
      </w:pPr>
      <w:r w:rsidRPr="00AA1DF1">
        <w:t>1</w:t>
      </w:r>
      <w:r w:rsidRPr="00AA1DF1">
        <w:tab/>
        <w:t xml:space="preserve">à œuvrer au renforcement des capacités de toutes les parties prenantes concernées, en particulier celles qui sont les plus touchées par les changements climatiques, compte tenu de leurs plans de développement, sur les questions liées aux TIC et à la protection de l'environnement, pour le bien-être de la </w:t>
      </w:r>
      <w:proofErr w:type="gramStart"/>
      <w:r w:rsidRPr="00AA1DF1">
        <w:t>population;</w:t>
      </w:r>
      <w:proofErr w:type="gramEnd"/>
    </w:p>
    <w:p w14:paraId="0D9EB4B8" w14:textId="77777777" w:rsidR="00B119C6" w:rsidRPr="00AA1DF1" w:rsidRDefault="00B119C6" w:rsidP="005641B0">
      <w:pPr>
        <w:jc w:val="both"/>
      </w:pPr>
      <w:r w:rsidRPr="00AA1DF1">
        <w:t>2</w:t>
      </w:r>
      <w:r w:rsidRPr="00AA1DF1">
        <w:tab/>
        <w:t xml:space="preserve">à promouvoir des partenariats internationaux en faveur d'une transformation numérique écologique, qui permettent aux pays, en particulier aux pays en développement, de participer à l'économie </w:t>
      </w:r>
      <w:proofErr w:type="gramStart"/>
      <w:r w:rsidRPr="00AA1DF1">
        <w:t>numérique;</w:t>
      </w:r>
      <w:proofErr w:type="gramEnd"/>
    </w:p>
    <w:p w14:paraId="1C87B6E9" w14:textId="77777777" w:rsidR="00B119C6" w:rsidRPr="00AA1DF1" w:rsidRDefault="00B119C6" w:rsidP="005641B0">
      <w:pPr>
        <w:jc w:val="both"/>
      </w:pPr>
      <w:r w:rsidRPr="00AA1DF1">
        <w:t>3</w:t>
      </w:r>
      <w:r w:rsidRPr="00AA1DF1">
        <w:tab/>
        <w:t xml:space="preserve">à renforcer davantage la coordination entre les trois Secteurs dans le cadre de leurs travaux consacrés à la transformation numérique </w:t>
      </w:r>
      <w:proofErr w:type="gramStart"/>
      <w:r w:rsidRPr="00AA1DF1">
        <w:t>écologique;</w:t>
      </w:r>
      <w:proofErr w:type="gramEnd"/>
    </w:p>
    <w:p w14:paraId="1D80C7BD" w14:textId="77777777" w:rsidR="00B119C6" w:rsidRPr="00AA1DF1" w:rsidRDefault="00B119C6" w:rsidP="005641B0">
      <w:pPr>
        <w:widowControl w:val="0"/>
        <w:jc w:val="both"/>
      </w:pPr>
      <w:r w:rsidRPr="00AA1DF1">
        <w:t>4</w:t>
      </w:r>
      <w:r w:rsidRPr="00AA1DF1">
        <w:tab/>
        <w:t>à faciliter la collaboration entre les États Membres, les entités régionales et d'autres parties prenantes de premier plan, afin d'échanger des connaissances et des bonnes pratiques pour appuyer le renforcement des capacités institutionnelles des États Membres, dans le but de faire progresser les initiatives de transformation numérique écologique.</w:t>
      </w:r>
      <w:r w:rsidRPr="00AA1DF1">
        <w:br w:type="page"/>
      </w:r>
    </w:p>
    <w:p w14:paraId="707B4EE3" w14:textId="77777777" w:rsidR="00B119C6" w:rsidRPr="00AA1DF1" w:rsidRDefault="00B119C6" w:rsidP="005641B0">
      <w:pPr>
        <w:pStyle w:val="OpNo"/>
      </w:pPr>
      <w:r w:rsidRPr="00AA1DF1">
        <w:lastRenderedPageBreak/>
        <w:t>PROJET D'AVIS 3</w:t>
      </w:r>
    </w:p>
    <w:p w14:paraId="458E4144" w14:textId="77777777" w:rsidR="00B119C6" w:rsidRPr="00AA1DF1" w:rsidRDefault="00B119C6" w:rsidP="005641B0">
      <w:pPr>
        <w:pStyle w:val="Optitle"/>
      </w:pPr>
      <w:r w:rsidRPr="00AA1DF1">
        <w:t>Résilience des télécommunications/TIC</w:t>
      </w:r>
    </w:p>
    <w:p w14:paraId="7D6AAFA2" w14:textId="77777777" w:rsidR="00B119C6" w:rsidRPr="00AA1DF1" w:rsidRDefault="00B119C6" w:rsidP="00434918">
      <w:pPr>
        <w:pStyle w:val="Normalaftertitle"/>
      </w:pPr>
      <w:r w:rsidRPr="00AA1DF1">
        <w:t>Le septième Forum mondial des politiques de télécommunication/technologies de l'information et de la communication (Nassau, 2026),</w:t>
      </w:r>
    </w:p>
    <w:p w14:paraId="00E0C334" w14:textId="77777777" w:rsidR="00B119C6" w:rsidRPr="00AA1DF1" w:rsidRDefault="00B119C6" w:rsidP="00434918">
      <w:pPr>
        <w:pStyle w:val="Call"/>
      </w:pPr>
      <w:proofErr w:type="gramStart"/>
      <w:r w:rsidRPr="00AA1DF1">
        <w:t>rappelant</w:t>
      </w:r>
      <w:proofErr w:type="gramEnd"/>
    </w:p>
    <w:p w14:paraId="49AD645A" w14:textId="77777777" w:rsidR="00B119C6" w:rsidRPr="00AA1DF1" w:rsidRDefault="00B119C6" w:rsidP="00056CCA">
      <w:pPr>
        <w:jc w:val="both"/>
      </w:pPr>
      <w:r w:rsidRPr="00AA1DF1">
        <w:rPr>
          <w:i/>
          <w:iCs/>
        </w:rPr>
        <w:t>a)</w:t>
      </w:r>
      <w:r w:rsidRPr="00AA1DF1">
        <w:tab/>
        <w:t xml:space="preserve">la Résolution 79/1 de l'Assemblée générale des Nations Unies relative au Pacte pour </w:t>
      </w:r>
      <w:proofErr w:type="gramStart"/>
      <w:r w:rsidRPr="00AA1DF1">
        <w:t>l'avenir;</w:t>
      </w:r>
      <w:proofErr w:type="gramEnd"/>
    </w:p>
    <w:p w14:paraId="1BEFAEF5" w14:textId="77777777" w:rsidR="00B119C6" w:rsidRPr="00AA1DF1" w:rsidRDefault="00B119C6" w:rsidP="00056CCA">
      <w:pPr>
        <w:jc w:val="both"/>
      </w:pPr>
      <w:r w:rsidRPr="00AA1DF1">
        <w:rPr>
          <w:i/>
          <w:iCs/>
        </w:rPr>
        <w:t>b)</w:t>
      </w:r>
      <w:r w:rsidRPr="00AA1DF1">
        <w:tab/>
        <w:t xml:space="preserve">la Résolution 70/1 de l'Assemblée générale des Nations Unies, intitulée "Transformer notre </w:t>
      </w:r>
      <w:proofErr w:type="gramStart"/>
      <w:r w:rsidRPr="00AA1DF1">
        <w:t>monde:</w:t>
      </w:r>
      <w:proofErr w:type="gramEnd"/>
      <w:r w:rsidRPr="00AA1DF1">
        <w:t xml:space="preserve"> le Programme de développement durable à l'horizon 2030", en particulier les Objectifs de développement durable 12 (Établir des modes de consommation et de production durables) et 13 (Prendre d'urgence des mesures pour lutter contre les changements climatiques et leurs répercussions</w:t>
      </w:r>
      <w:proofErr w:type="gramStart"/>
      <w:r w:rsidRPr="00AA1DF1">
        <w:t>);</w:t>
      </w:r>
      <w:proofErr w:type="gramEnd"/>
    </w:p>
    <w:p w14:paraId="5517BF46" w14:textId="77777777" w:rsidR="00B119C6" w:rsidRPr="00AA1DF1" w:rsidRDefault="00B119C6" w:rsidP="00056C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c)</w:t>
      </w:r>
      <w:r w:rsidRPr="00AA1DF1">
        <w:rPr>
          <w:szCs w:val="24"/>
        </w:rPr>
        <w:tab/>
        <w:t>la Résolution 80/173 de l'Assemblée générale des Nations Unies, intitulée "Document final de la réunion de haut niveau de l'Assemblée générale sur l'examen d'ensemble de la mise en œuvre des textes issus du Sommet mondial sur la société de l'information" (SMSI+20</w:t>
      </w:r>
      <w:proofErr w:type="gramStart"/>
      <w:r w:rsidRPr="00AA1DF1">
        <w:rPr>
          <w:szCs w:val="24"/>
        </w:rPr>
        <w:t>);</w:t>
      </w:r>
      <w:proofErr w:type="gramEnd"/>
    </w:p>
    <w:p w14:paraId="0B11CB35" w14:textId="77777777" w:rsidR="00B119C6" w:rsidRPr="00AA1DF1" w:rsidRDefault="00B119C6" w:rsidP="00056C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d)</w:t>
      </w:r>
      <w:r w:rsidRPr="00AA1DF1">
        <w:rPr>
          <w:szCs w:val="24"/>
        </w:rPr>
        <w:tab/>
        <w:t>la Résolution 130 (Rév. Bucarest, 2022) de la Conférence de plénipotentiaires sur le renforcement du rôle de l'UIT dans l'instauration de la confiance et de la sécurité dans l'utilisation des technologies de l'information et de la communication (TIC</w:t>
      </w:r>
      <w:proofErr w:type="gramStart"/>
      <w:r w:rsidRPr="00AA1DF1">
        <w:rPr>
          <w:szCs w:val="24"/>
        </w:rPr>
        <w:t>);</w:t>
      </w:r>
      <w:proofErr w:type="gramEnd"/>
    </w:p>
    <w:p w14:paraId="44AD5D83" w14:textId="77777777" w:rsidR="00B119C6" w:rsidRPr="00AA1DF1" w:rsidRDefault="00B119C6" w:rsidP="00056C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e)</w:t>
      </w:r>
      <w:r w:rsidRPr="00AA1DF1">
        <w:rPr>
          <w:szCs w:val="24"/>
        </w:rPr>
        <w:tab/>
        <w:t xml:space="preserve">la Résolution 136 (Rév. Bucarest, 2022) de la Conférence de plénipotentiaires sur l'utilisation des télécommunications/TIC pour l'aide humanitaire, pour le contrôle et la gestion des situations d'urgence et de catastrophe, y compris des urgences sanitaires, et pour l'alerte avancée, la prévention, l'atténuation des effets des catastrophes et les opérations de </w:t>
      </w:r>
      <w:proofErr w:type="gramStart"/>
      <w:r w:rsidRPr="00AA1DF1">
        <w:rPr>
          <w:szCs w:val="24"/>
        </w:rPr>
        <w:t>secours;</w:t>
      </w:r>
      <w:proofErr w:type="gramEnd"/>
    </w:p>
    <w:p w14:paraId="49E93957" w14:textId="77777777" w:rsidR="00B119C6" w:rsidRPr="00AA1DF1" w:rsidRDefault="00B119C6" w:rsidP="00056C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f)</w:t>
      </w:r>
      <w:r w:rsidRPr="00AA1DF1">
        <w:rPr>
          <w:szCs w:val="24"/>
        </w:rPr>
        <w:tab/>
        <w:t xml:space="preserve">la Résolution 139 (Rév. Bucarest, 2022) de la Conférence de plénipotentiaires sur l'utilisation des télécommunications/TIC pour réduire la fracture numérique et édifier une société de l'information </w:t>
      </w:r>
      <w:proofErr w:type="gramStart"/>
      <w:r w:rsidRPr="00AA1DF1">
        <w:rPr>
          <w:szCs w:val="24"/>
        </w:rPr>
        <w:t>inclusive;</w:t>
      </w:r>
      <w:proofErr w:type="gramEnd"/>
    </w:p>
    <w:p w14:paraId="134994C7" w14:textId="77777777" w:rsidR="00B119C6" w:rsidRPr="00AA1DF1" w:rsidRDefault="00B119C6" w:rsidP="00056C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g)</w:t>
      </w:r>
      <w:r w:rsidRPr="00AA1DF1">
        <w:rPr>
          <w:szCs w:val="24"/>
        </w:rPr>
        <w:tab/>
        <w:t xml:space="preserve">la Résolution 182 (Rév. Bucarest, 2022) de la Conférence de plénipotentiaires sur le rôle des télécommunications/TIC en ce qui concerne les changements climatiques et la protection de </w:t>
      </w:r>
      <w:proofErr w:type="gramStart"/>
      <w:r w:rsidRPr="00AA1DF1">
        <w:rPr>
          <w:szCs w:val="24"/>
        </w:rPr>
        <w:t>l'environnement;</w:t>
      </w:r>
      <w:proofErr w:type="gramEnd"/>
    </w:p>
    <w:p w14:paraId="08DD456D" w14:textId="77777777" w:rsidR="00B119C6" w:rsidRPr="00AA1DF1" w:rsidRDefault="00B119C6" w:rsidP="00056C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h)</w:t>
      </w:r>
      <w:r w:rsidRPr="00AA1DF1">
        <w:rPr>
          <w:szCs w:val="24"/>
        </w:rPr>
        <w:tab/>
        <w:t xml:space="preserve">la Résolution 200 (Rév. Bucarest, 2022) de la Conférence de plénipotentiaires sur le Programme Connect 2030 pour le développement des télécommunications/TIC dans le monde, y compris le large bande, en faveur du développement </w:t>
      </w:r>
      <w:proofErr w:type="gramStart"/>
      <w:r w:rsidRPr="00AA1DF1">
        <w:rPr>
          <w:szCs w:val="24"/>
        </w:rPr>
        <w:t>durable;</w:t>
      </w:r>
      <w:proofErr w:type="gramEnd"/>
    </w:p>
    <w:p w14:paraId="2BBD23BE" w14:textId="77777777" w:rsidR="00B119C6" w:rsidRPr="00AA1DF1" w:rsidRDefault="00B119C6" w:rsidP="00056C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i)</w:t>
      </w:r>
      <w:r w:rsidRPr="00AA1DF1">
        <w:rPr>
          <w:szCs w:val="24"/>
        </w:rPr>
        <w:tab/>
        <w:t xml:space="preserve">la Résolution 11 (Rév. Bakou, 2025) de la Conférence mondiale de développement des télécommunications (CMDT) relative aux services issus des télécommunications/TIC dans les zones rurales, isolées, non desservies et mal </w:t>
      </w:r>
      <w:proofErr w:type="gramStart"/>
      <w:r w:rsidRPr="00AA1DF1">
        <w:rPr>
          <w:szCs w:val="24"/>
        </w:rPr>
        <w:t>desservies;</w:t>
      </w:r>
      <w:proofErr w:type="gramEnd"/>
    </w:p>
    <w:p w14:paraId="1210EBE5" w14:textId="77777777" w:rsidR="00B119C6" w:rsidRPr="00AA1DF1" w:rsidRDefault="00B119C6" w:rsidP="00056C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j)</w:t>
      </w:r>
      <w:r w:rsidRPr="00AA1DF1">
        <w:rPr>
          <w:szCs w:val="24"/>
        </w:rPr>
        <w:tab/>
        <w:t xml:space="preserve">la Résolution 34 (Rév. Bakou, 2025) de la CMDT sur le rôle des télécommunications et des TIC dans la préparation en prévision des catastrophes, l'alerte avancée, l'atténuation des effets des catastrophes, les interventions et les opérations de </w:t>
      </w:r>
      <w:proofErr w:type="gramStart"/>
      <w:r w:rsidRPr="00AA1DF1">
        <w:rPr>
          <w:szCs w:val="24"/>
        </w:rPr>
        <w:t>secours;</w:t>
      </w:r>
      <w:proofErr w:type="gramEnd"/>
    </w:p>
    <w:p w14:paraId="2E3668B0" w14:textId="77777777" w:rsidR="00B119C6" w:rsidRPr="00AA1DF1" w:rsidRDefault="00B119C6" w:rsidP="00056C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k)</w:t>
      </w:r>
      <w:r w:rsidRPr="00AA1DF1">
        <w:rPr>
          <w:szCs w:val="24"/>
        </w:rPr>
        <w:tab/>
        <w:t xml:space="preserve">la Résolution 37 (Rév. Bakou, 2025) de la CMDT sur la réduction de la fracture </w:t>
      </w:r>
      <w:proofErr w:type="gramStart"/>
      <w:r w:rsidRPr="00AA1DF1">
        <w:rPr>
          <w:szCs w:val="24"/>
        </w:rPr>
        <w:t>numérique;</w:t>
      </w:r>
      <w:proofErr w:type="gramEnd"/>
    </w:p>
    <w:p w14:paraId="785B0020" w14:textId="77777777" w:rsidR="00B119C6" w:rsidRPr="00AA1DF1" w:rsidRDefault="00B119C6" w:rsidP="00056C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l)</w:t>
      </w:r>
      <w:r w:rsidRPr="00AA1DF1">
        <w:rPr>
          <w:szCs w:val="24"/>
        </w:rPr>
        <w:tab/>
        <w:t>la Résolution 45 (Rév. Bakou, 2025) de la CMDT sur les mécanismes propres à améliorer la coopération en matière de cybersécurité,</w:t>
      </w:r>
      <w:r w:rsidRPr="00AA1DF1">
        <w:rPr>
          <w:rFonts w:ascii="Segoe UI" w:hAnsi="Segoe UI" w:cs="Segoe UI"/>
          <w:color w:val="000000"/>
          <w:sz w:val="20"/>
          <w:shd w:val="clear" w:color="auto" w:fill="FFFFFF"/>
        </w:rPr>
        <w:t xml:space="preserve"> </w:t>
      </w:r>
      <w:r w:rsidRPr="00AA1DF1">
        <w:rPr>
          <w:szCs w:val="24"/>
        </w:rPr>
        <w:t>y compris dans la lutte contre le spam,</w:t>
      </w:r>
    </w:p>
    <w:p w14:paraId="5620C3CF" w14:textId="77777777" w:rsidR="00B119C6" w:rsidRPr="00AA1DF1" w:rsidRDefault="00B119C6" w:rsidP="00434918">
      <w:pPr>
        <w:pStyle w:val="Call"/>
      </w:pPr>
      <w:proofErr w:type="gramStart"/>
      <w:r w:rsidRPr="00AA1DF1">
        <w:lastRenderedPageBreak/>
        <w:t>notant</w:t>
      </w:r>
      <w:proofErr w:type="gramEnd"/>
    </w:p>
    <w:p w14:paraId="4204C387" w14:textId="77777777" w:rsidR="00B119C6" w:rsidRPr="00AA1DF1" w:rsidRDefault="00B119C6" w:rsidP="00056CCA">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bCs/>
          <w:szCs w:val="24"/>
        </w:rPr>
      </w:pPr>
      <w:proofErr w:type="gramStart"/>
      <w:r w:rsidRPr="00AA1DF1">
        <w:rPr>
          <w:szCs w:val="24"/>
        </w:rPr>
        <w:t>que</w:t>
      </w:r>
      <w:proofErr w:type="gramEnd"/>
      <w:r w:rsidRPr="00AA1DF1">
        <w:rPr>
          <w:szCs w:val="24"/>
        </w:rPr>
        <w:t xml:space="preserve"> les télécommunications/TIC résilientes sont capables de prévoir diverses situations d'urgence, notamment mais non exclusivement les urgences liées au climat, les cyberincidents, les catastrophes ou les dangers naturels, de répondre à ces situations et d'y faire face,</w:t>
      </w:r>
    </w:p>
    <w:p w14:paraId="4BCDD807" w14:textId="77777777" w:rsidR="00B119C6" w:rsidRPr="00AA1DF1" w:rsidRDefault="00B119C6" w:rsidP="00434918">
      <w:pPr>
        <w:pStyle w:val="Call"/>
      </w:pPr>
      <w:proofErr w:type="gramStart"/>
      <w:r w:rsidRPr="00AA1DF1">
        <w:t>ayant</w:t>
      </w:r>
      <w:proofErr w:type="gramEnd"/>
      <w:r w:rsidRPr="00AA1DF1">
        <w:t xml:space="preserve"> à l'esprit</w:t>
      </w:r>
    </w:p>
    <w:p w14:paraId="32E5510C" w14:textId="77777777" w:rsidR="00B119C6" w:rsidRPr="00AA1DF1" w:rsidRDefault="00B119C6" w:rsidP="00056C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a)</w:t>
      </w:r>
      <w:r w:rsidRPr="00AA1DF1">
        <w:rPr>
          <w:szCs w:val="24"/>
        </w:rPr>
        <w:tab/>
        <w:t xml:space="preserve">qu'il est vital de mettre en place des infrastructures de télécommunication/TIC résilientes, capables de faire face aux catastrophes ou aux dangers naturels, aux différentes cybermenaces et aux pannes techniques non malveillantes, à une époque où l'accès aux services et renseignements essentiels, ainsi que leur fourniture, dépendent de </w:t>
      </w:r>
      <w:proofErr w:type="gramStart"/>
      <w:r w:rsidRPr="00AA1DF1">
        <w:rPr>
          <w:szCs w:val="24"/>
        </w:rPr>
        <w:t>l'Internet;</w:t>
      </w:r>
      <w:proofErr w:type="gramEnd"/>
    </w:p>
    <w:p w14:paraId="2262FE4C" w14:textId="77777777" w:rsidR="00B119C6" w:rsidRPr="00AA1DF1" w:rsidRDefault="00B119C6" w:rsidP="00056C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b)</w:t>
      </w:r>
      <w:r w:rsidRPr="00AA1DF1">
        <w:rPr>
          <w:szCs w:val="24"/>
        </w:rPr>
        <w:tab/>
        <w:t>que les initiatives en matière de résilience revêtent de plus en plus d'importance car les changements climatiques contribuent à un nombre croissant de catastrophes qui affectent les télécommunications/</w:t>
      </w:r>
      <w:proofErr w:type="gramStart"/>
      <w:r w:rsidRPr="00AA1DF1">
        <w:rPr>
          <w:szCs w:val="24"/>
        </w:rPr>
        <w:t>TIC;</w:t>
      </w:r>
      <w:proofErr w:type="gramEnd"/>
    </w:p>
    <w:p w14:paraId="4AC26148" w14:textId="77777777" w:rsidR="00B119C6" w:rsidRPr="00AA1DF1" w:rsidRDefault="00B119C6" w:rsidP="00056C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c)</w:t>
      </w:r>
      <w:r w:rsidRPr="00AA1DF1">
        <w:rPr>
          <w:szCs w:val="24"/>
        </w:rPr>
        <w:tab/>
        <w:t xml:space="preserve">qu'il importe de veiller à ce que des télécommunications/TIC résilientes soient accessibles à tous, en particulier aux groupes non desservis ou mal desservis, étant donné que les crises peuvent aggraver les inégalités et les fractures numériques </w:t>
      </w:r>
      <w:proofErr w:type="gramStart"/>
      <w:r w:rsidRPr="00AA1DF1">
        <w:rPr>
          <w:szCs w:val="24"/>
        </w:rPr>
        <w:t>préexistantes;</w:t>
      </w:r>
      <w:proofErr w:type="gramEnd"/>
    </w:p>
    <w:p w14:paraId="1E1ADF6D" w14:textId="77777777" w:rsidR="00B119C6" w:rsidRPr="00AA1DF1" w:rsidRDefault="00B119C6" w:rsidP="00056C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d)</w:t>
      </w:r>
      <w:r w:rsidRPr="00AA1DF1">
        <w:rPr>
          <w:szCs w:val="24"/>
        </w:rPr>
        <w:tab/>
        <w:t>que des problèmes multiples et interdépendants découlent de la fracture numérique géographique lors de la conception et du déploiement de systèmes de télécommunication/TIC résilients dans les pays les moins avancés (PMA), les pays en développement sans littoral (PDSL) et les petits États insulaires en développement (PEID), où la capacité limitée pour ce qui est de renforcer la résilience et la vulnérabilité géographique aggravent les conséquences des situations d'urgence pour leur économie et leurs infrastructures;</w:t>
      </w:r>
    </w:p>
    <w:p w14:paraId="07FA0B07" w14:textId="77777777" w:rsidR="00B119C6" w:rsidRPr="00AA1DF1" w:rsidRDefault="00B119C6" w:rsidP="00056C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e)</w:t>
      </w:r>
      <w:r w:rsidRPr="00AA1DF1">
        <w:rPr>
          <w:szCs w:val="24"/>
        </w:rPr>
        <w:tab/>
        <w:t xml:space="preserve">qu'il importe de mettre au point des systèmes de télécommunication/TIC résilients capables de faire face à différentes menaces, tout en répondant aux besoins divers des utilisateurs, en particulier les personnes en situation de handicap et les personnes ayant des besoins particuliers, pour garantir le déploiement équitable de télécommunications/TIC </w:t>
      </w:r>
      <w:proofErr w:type="gramStart"/>
      <w:r w:rsidRPr="00AA1DF1">
        <w:rPr>
          <w:szCs w:val="24"/>
        </w:rPr>
        <w:t>résilientes;</w:t>
      </w:r>
      <w:proofErr w:type="gramEnd"/>
    </w:p>
    <w:p w14:paraId="1E85C863" w14:textId="77777777" w:rsidR="00B119C6" w:rsidRPr="00AA1DF1" w:rsidRDefault="00B119C6" w:rsidP="00056CC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rPr>
        <w:t>f)</w:t>
      </w:r>
      <w:r w:rsidRPr="00AA1DF1">
        <w:rPr>
          <w:szCs w:val="24"/>
        </w:rPr>
        <w:tab/>
        <w:t>que le Comité des Nations Unies pour l'élimination de la discrimination à l'égard des femmes a relevé, dans sa Recommandation générale N° 37, que l'absence de participation active des femmes aux programmes relatifs à la réduction des risques de catastrophe et à la résilience face aux changements climatiques pouvait nuire au développement et à l'efficacité de ces programmes,</w:t>
      </w:r>
    </w:p>
    <w:p w14:paraId="0D654453" w14:textId="77777777" w:rsidR="00B119C6" w:rsidRPr="00AA1DF1" w:rsidRDefault="00B119C6" w:rsidP="00434918">
      <w:pPr>
        <w:pStyle w:val="Call"/>
      </w:pPr>
      <w:proofErr w:type="gramStart"/>
      <w:r w:rsidRPr="00AA1DF1">
        <w:t>considérant</w:t>
      </w:r>
      <w:proofErr w:type="gramEnd"/>
    </w:p>
    <w:p w14:paraId="00FAED23" w14:textId="77777777" w:rsidR="00B119C6" w:rsidRPr="00AA1DF1" w:rsidRDefault="00B119C6" w:rsidP="00056CCA">
      <w:pPr>
        <w:jc w:val="both"/>
        <w:rPr>
          <w:rFonts w:asciiTheme="minorHAnsi" w:hAnsiTheme="minorHAnsi" w:cstheme="minorHAnsi"/>
          <w:szCs w:val="24"/>
        </w:rPr>
      </w:pPr>
      <w:r w:rsidRPr="00AA1DF1">
        <w:rPr>
          <w:i/>
          <w:iCs/>
        </w:rPr>
        <w:t>a)</w:t>
      </w:r>
      <w:r w:rsidRPr="00AA1DF1">
        <w:rPr>
          <w:szCs w:val="24"/>
        </w:rPr>
        <w:tab/>
        <w:t xml:space="preserve">que des infrastructures de télécommunication/TIC résilientes sont essentielles pour soutenir l'économie numérique mondiale, encourager l'innovation et stimuler la croissance, d'autant plus que les économies sont de plus en plus tributaires de systèmes de TIC </w:t>
      </w:r>
      <w:proofErr w:type="gramStart"/>
      <w:r w:rsidRPr="00AA1DF1">
        <w:rPr>
          <w:szCs w:val="24"/>
        </w:rPr>
        <w:t>robustes;</w:t>
      </w:r>
      <w:proofErr w:type="gramEnd"/>
    </w:p>
    <w:p w14:paraId="3568080B" w14:textId="77777777" w:rsidR="00B119C6" w:rsidRPr="00AA1DF1" w:rsidRDefault="00B119C6" w:rsidP="00056CCA">
      <w:pPr>
        <w:jc w:val="both"/>
        <w:rPr>
          <w:rFonts w:asciiTheme="minorHAnsi" w:hAnsiTheme="minorHAnsi" w:cstheme="minorHAnsi"/>
          <w:szCs w:val="24"/>
        </w:rPr>
      </w:pPr>
      <w:r w:rsidRPr="00AA1DF1">
        <w:rPr>
          <w:i/>
          <w:iCs/>
        </w:rPr>
        <w:t>b)</w:t>
      </w:r>
      <w:r w:rsidRPr="00AA1DF1">
        <w:rPr>
          <w:szCs w:val="24"/>
        </w:rPr>
        <w:tab/>
        <w:t xml:space="preserve">que la promotion d'une connectivité fiable et sûre et de l'accessibilité des systèmes de télécommunication/TIC pour tous les segments de la société peut améliorer les débouchés économiques, l'éducation, les soins de santé et d'autres secteurs essentiels, contribuant ainsi au développement économique </w:t>
      </w:r>
      <w:proofErr w:type="gramStart"/>
      <w:r w:rsidRPr="00AA1DF1">
        <w:rPr>
          <w:szCs w:val="24"/>
        </w:rPr>
        <w:t>durable;</w:t>
      </w:r>
      <w:proofErr w:type="gramEnd"/>
    </w:p>
    <w:p w14:paraId="73096DE7" w14:textId="77777777" w:rsidR="00B119C6" w:rsidRPr="00AA1DF1" w:rsidRDefault="00B119C6" w:rsidP="00056CCA">
      <w:pPr>
        <w:jc w:val="both"/>
        <w:rPr>
          <w:rFonts w:asciiTheme="minorHAnsi" w:hAnsiTheme="minorHAnsi" w:cstheme="minorHAnsi"/>
          <w:szCs w:val="24"/>
        </w:rPr>
      </w:pPr>
      <w:r w:rsidRPr="00AA1DF1">
        <w:rPr>
          <w:i/>
          <w:iCs/>
        </w:rPr>
        <w:t>c)</w:t>
      </w:r>
      <w:r w:rsidRPr="00AA1DF1">
        <w:rPr>
          <w:szCs w:val="24"/>
        </w:rPr>
        <w:tab/>
        <w:t xml:space="preserve">que le renforcement de l'infrastructure des télécommunications/TIC dans les zones mal desservies et isolées, grâce à des solutions innovantes, contribuerait à la résilience des économies </w:t>
      </w:r>
      <w:proofErr w:type="gramStart"/>
      <w:r w:rsidRPr="00AA1DF1">
        <w:rPr>
          <w:szCs w:val="24"/>
        </w:rPr>
        <w:t>numériques;</w:t>
      </w:r>
      <w:proofErr w:type="gramEnd"/>
    </w:p>
    <w:p w14:paraId="4BCA2F67" w14:textId="77777777" w:rsidR="00B119C6" w:rsidRPr="00AA1DF1" w:rsidRDefault="00B119C6" w:rsidP="00056CCA">
      <w:pPr>
        <w:jc w:val="both"/>
        <w:rPr>
          <w:rFonts w:asciiTheme="minorHAnsi" w:hAnsiTheme="minorHAnsi" w:cstheme="minorHAnsi"/>
          <w:szCs w:val="24"/>
        </w:rPr>
      </w:pPr>
      <w:r w:rsidRPr="00AA1DF1">
        <w:rPr>
          <w:i/>
          <w:iCs/>
        </w:rPr>
        <w:t>d)</w:t>
      </w:r>
      <w:r w:rsidRPr="00AA1DF1">
        <w:rPr>
          <w:szCs w:val="24"/>
        </w:rPr>
        <w:tab/>
        <w:t xml:space="preserve">que des systèmes de télécommunication/TIC résilients et sûrs sont indispensables pour assurer la continuité des activités, la fourniture de services publics et l'accès aux services essentiels </w:t>
      </w:r>
      <w:r w:rsidRPr="00AA1DF1">
        <w:rPr>
          <w:szCs w:val="24"/>
        </w:rPr>
        <w:lastRenderedPageBreak/>
        <w:t xml:space="preserve">en temps de crise et en cas de catastrophes naturelles, de cybermenaces diverses, de pannes techniques non malveillantes et d'urgences sanitaires à l'échelle </w:t>
      </w:r>
      <w:proofErr w:type="gramStart"/>
      <w:r w:rsidRPr="00AA1DF1">
        <w:rPr>
          <w:szCs w:val="24"/>
        </w:rPr>
        <w:t>mondiale;</w:t>
      </w:r>
      <w:proofErr w:type="gramEnd"/>
    </w:p>
    <w:p w14:paraId="26895F42" w14:textId="77777777" w:rsidR="00B119C6" w:rsidRPr="00AA1DF1" w:rsidRDefault="00B119C6" w:rsidP="00056CCA">
      <w:pPr>
        <w:jc w:val="both"/>
        <w:rPr>
          <w:rFonts w:asciiTheme="minorHAnsi" w:hAnsiTheme="minorHAnsi" w:cstheme="minorHAnsi"/>
          <w:szCs w:val="24"/>
        </w:rPr>
      </w:pPr>
      <w:r w:rsidRPr="00AA1DF1">
        <w:rPr>
          <w:i/>
          <w:iCs/>
        </w:rPr>
        <w:t>e)</w:t>
      </w:r>
      <w:r w:rsidRPr="00AA1DF1">
        <w:rPr>
          <w:szCs w:val="24"/>
        </w:rPr>
        <w:tab/>
        <w:t>que l'utilisation des télécommunications/TIC pour l'échange d'informations en cas de crise constitue un instrument efficace pour la prise de décisions pour les services de secours et d'intervention et les exploitations et pour la communication avec les personnes et entre elles; que les TIC sont essentielles aux activités liées à la résilience face aux changements climatiques, telles que la surveillance du climat et la protection des écosystèmes naturels, la collecte de données, le transfert rapide d'informations et la gestion des risques liés à ces changements;</w:t>
      </w:r>
    </w:p>
    <w:p w14:paraId="7F181C79" w14:textId="77777777" w:rsidR="00B119C6" w:rsidRPr="00AA1DF1" w:rsidRDefault="00B119C6" w:rsidP="00056CCA">
      <w:pPr>
        <w:jc w:val="both"/>
        <w:rPr>
          <w:rFonts w:asciiTheme="minorHAnsi" w:hAnsiTheme="minorHAnsi" w:cstheme="minorHAnsi"/>
          <w:szCs w:val="24"/>
        </w:rPr>
      </w:pPr>
      <w:r w:rsidRPr="00AA1DF1">
        <w:rPr>
          <w:i/>
          <w:iCs/>
        </w:rPr>
        <w:t>f)</w:t>
      </w:r>
      <w:r w:rsidRPr="00AA1DF1">
        <w:rPr>
          <w:szCs w:val="24"/>
        </w:rPr>
        <w:tab/>
        <w:t xml:space="preserve">que les systèmes de télécommunication/TIC doivent rester résilients et fiables face à toute une série de perturbations externes, telles que les catastrophes ou les risques naturels, les coupures d'électricité et les </w:t>
      </w:r>
      <w:proofErr w:type="gramStart"/>
      <w:r w:rsidRPr="00AA1DF1">
        <w:rPr>
          <w:szCs w:val="24"/>
        </w:rPr>
        <w:t>cyberincidents;</w:t>
      </w:r>
      <w:proofErr w:type="gramEnd"/>
    </w:p>
    <w:p w14:paraId="5B094252" w14:textId="77777777" w:rsidR="00B119C6" w:rsidRPr="00AA1DF1" w:rsidRDefault="00B119C6" w:rsidP="00056CCA">
      <w:pPr>
        <w:jc w:val="both"/>
        <w:rPr>
          <w:rFonts w:asciiTheme="minorHAnsi" w:hAnsiTheme="minorHAnsi" w:cstheme="minorHAnsi"/>
          <w:szCs w:val="24"/>
        </w:rPr>
      </w:pPr>
      <w:r w:rsidRPr="00AA1DF1">
        <w:rPr>
          <w:i/>
          <w:iCs/>
        </w:rPr>
        <w:t>g)</w:t>
      </w:r>
      <w:r w:rsidRPr="00AA1DF1">
        <w:rPr>
          <w:szCs w:val="24"/>
        </w:rPr>
        <w:tab/>
        <w:t xml:space="preserve">qu'il est essentiel de renforcer la cybersécurité des systèmes de télécommunication/TIC pour instaurer la confiance dans les économies numériques, prendre en charge les transactions financières et le commerce électronique et protéger les informations d'identification </w:t>
      </w:r>
      <w:proofErr w:type="gramStart"/>
      <w:r w:rsidRPr="00AA1DF1">
        <w:rPr>
          <w:szCs w:val="24"/>
        </w:rPr>
        <w:t>personnelle;</w:t>
      </w:r>
      <w:proofErr w:type="gramEnd"/>
    </w:p>
    <w:p w14:paraId="0D422114" w14:textId="77777777" w:rsidR="00B119C6" w:rsidRPr="00AA1DF1" w:rsidRDefault="00B119C6" w:rsidP="00056CCA">
      <w:pPr>
        <w:jc w:val="both"/>
        <w:rPr>
          <w:rFonts w:asciiTheme="minorHAnsi" w:hAnsiTheme="minorHAnsi" w:cstheme="minorHAnsi"/>
          <w:szCs w:val="24"/>
        </w:rPr>
      </w:pPr>
      <w:r w:rsidRPr="00AA1DF1">
        <w:rPr>
          <w:i/>
          <w:iCs/>
        </w:rPr>
        <w:t>h)</w:t>
      </w:r>
      <w:r w:rsidRPr="00AA1DF1">
        <w:rPr>
          <w:szCs w:val="24"/>
        </w:rPr>
        <w:tab/>
        <w:t xml:space="preserve">que la résilience devrait être intégrée à toutes les étapes de la conception et du déploiement des télécommunications/TIC pour préserver leur durabilité tout au long de leur cycle de vie, pour leur permettre de s'adapter à des environnements changeants et pour éviter d'aggraver les menaces et les </w:t>
      </w:r>
      <w:proofErr w:type="gramStart"/>
      <w:r w:rsidRPr="00AA1DF1">
        <w:rPr>
          <w:szCs w:val="24"/>
        </w:rPr>
        <w:t>vulnérabilités;</w:t>
      </w:r>
      <w:proofErr w:type="gramEnd"/>
    </w:p>
    <w:p w14:paraId="3CFBB536" w14:textId="77777777" w:rsidR="00B119C6" w:rsidRPr="00AA1DF1" w:rsidRDefault="00B119C6" w:rsidP="00056CCA">
      <w:pPr>
        <w:jc w:val="both"/>
        <w:rPr>
          <w:rFonts w:asciiTheme="minorHAnsi" w:hAnsiTheme="minorHAnsi" w:cstheme="minorHAnsi"/>
          <w:szCs w:val="24"/>
        </w:rPr>
      </w:pPr>
      <w:r w:rsidRPr="00AA1DF1">
        <w:rPr>
          <w:i/>
          <w:iCs/>
        </w:rPr>
        <w:t>i)</w:t>
      </w:r>
      <w:r w:rsidRPr="00AA1DF1">
        <w:rPr>
          <w:szCs w:val="24"/>
        </w:rPr>
        <w:tab/>
        <w:t xml:space="preserve">qu'il convient de sensibiliser davantage le public aux mesures de sécurité élémentaires visant à renforcer la résilience, notamment en matière de cyberhygiène, et de veiller à ce que tous les messages soient accessibles à tous les </w:t>
      </w:r>
      <w:proofErr w:type="gramStart"/>
      <w:r w:rsidRPr="00AA1DF1">
        <w:rPr>
          <w:szCs w:val="24"/>
        </w:rPr>
        <w:t>utilisateurs;</w:t>
      </w:r>
      <w:proofErr w:type="gramEnd"/>
    </w:p>
    <w:p w14:paraId="1F63B442" w14:textId="77777777" w:rsidR="00B119C6" w:rsidRPr="00AA1DF1" w:rsidRDefault="00B119C6" w:rsidP="00056CCA">
      <w:pPr>
        <w:jc w:val="both"/>
        <w:rPr>
          <w:rFonts w:asciiTheme="minorHAnsi" w:hAnsiTheme="minorHAnsi" w:cstheme="minorHAnsi"/>
          <w:szCs w:val="24"/>
        </w:rPr>
      </w:pPr>
      <w:r w:rsidRPr="00AA1DF1">
        <w:rPr>
          <w:i/>
          <w:iCs/>
        </w:rPr>
        <w:t>j)</w:t>
      </w:r>
      <w:r w:rsidRPr="00AA1DF1">
        <w:rPr>
          <w:szCs w:val="24"/>
        </w:rPr>
        <w:tab/>
        <w:t xml:space="preserve">qu'il est crucial de favoriser les partenariats entre les gouvernements, le secteur privé, les autorités de régulation, la société civile, les milieux techniques, les établissements universitaires et les organisations internationales pour garantir le développement d'écosystèmes de télécommunication/TIC résilients, capables de s'adapter à l'évolution des menaces et des possibilités dans l'économie </w:t>
      </w:r>
      <w:proofErr w:type="gramStart"/>
      <w:r w:rsidRPr="00AA1DF1">
        <w:rPr>
          <w:szCs w:val="24"/>
        </w:rPr>
        <w:t>numérique;</w:t>
      </w:r>
      <w:proofErr w:type="gramEnd"/>
    </w:p>
    <w:p w14:paraId="4F070112" w14:textId="77777777" w:rsidR="00B119C6" w:rsidRPr="00AA1DF1" w:rsidRDefault="00B119C6" w:rsidP="00056CCA">
      <w:pPr>
        <w:jc w:val="both"/>
        <w:rPr>
          <w:rFonts w:asciiTheme="minorHAnsi" w:hAnsiTheme="minorHAnsi" w:cstheme="minorHAnsi"/>
          <w:szCs w:val="24"/>
        </w:rPr>
      </w:pPr>
      <w:r w:rsidRPr="00AA1DF1">
        <w:rPr>
          <w:i/>
          <w:iCs/>
        </w:rPr>
        <w:t>k)</w:t>
      </w:r>
      <w:r w:rsidRPr="00AA1DF1">
        <w:rPr>
          <w:szCs w:val="24"/>
        </w:rPr>
        <w:tab/>
        <w:t xml:space="preserve">que la collaboration internationale et l'échange de bonnes pratiques peuvent renforcer les capacités nationales à mettre en place des systèmes de télécommunication/TIC robustes, permettant ainsi à tous les pays de tirer parti des possibilités offertes par l'économie </w:t>
      </w:r>
      <w:proofErr w:type="gramStart"/>
      <w:r w:rsidRPr="00AA1DF1">
        <w:rPr>
          <w:szCs w:val="24"/>
        </w:rPr>
        <w:t>numérique;</w:t>
      </w:r>
      <w:proofErr w:type="gramEnd"/>
    </w:p>
    <w:p w14:paraId="5AC0F91D" w14:textId="77777777" w:rsidR="00B119C6" w:rsidRPr="00AA1DF1" w:rsidRDefault="00B119C6" w:rsidP="00056CCA">
      <w:pPr>
        <w:jc w:val="both"/>
        <w:rPr>
          <w:rFonts w:asciiTheme="minorHAnsi" w:hAnsiTheme="minorHAnsi" w:cstheme="minorHAnsi"/>
          <w:szCs w:val="24"/>
        </w:rPr>
      </w:pPr>
      <w:r w:rsidRPr="00AA1DF1">
        <w:rPr>
          <w:i/>
          <w:iCs/>
        </w:rPr>
        <w:t>l)</w:t>
      </w:r>
      <w:r w:rsidRPr="00AA1DF1">
        <w:rPr>
          <w:szCs w:val="24"/>
        </w:rPr>
        <w:tab/>
        <w:t xml:space="preserve">l'importance de stratégies itératives à long terme et de plans de gestion des risques qui coordonnent la résilience d'un éventail de télécommunications/TIC, qui permettent d'anticiper plus facilement les problèmes et d'y remédier dans différents contextes et de faire face à des menaces et à des vulnérabilités en constante </w:t>
      </w:r>
      <w:proofErr w:type="gramStart"/>
      <w:r w:rsidRPr="00AA1DF1">
        <w:rPr>
          <w:szCs w:val="24"/>
        </w:rPr>
        <w:t>évolution;</w:t>
      </w:r>
      <w:proofErr w:type="gramEnd"/>
    </w:p>
    <w:p w14:paraId="3821A4C1" w14:textId="77777777" w:rsidR="00B119C6" w:rsidRPr="00AA1DF1" w:rsidRDefault="00B119C6" w:rsidP="00056CCA">
      <w:pPr>
        <w:jc w:val="both"/>
        <w:rPr>
          <w:rFonts w:asciiTheme="minorHAnsi" w:hAnsiTheme="minorHAnsi" w:cstheme="minorHAnsi"/>
          <w:szCs w:val="24"/>
        </w:rPr>
      </w:pPr>
      <w:r w:rsidRPr="00AA1DF1">
        <w:rPr>
          <w:i/>
          <w:iCs/>
        </w:rPr>
        <w:t>m)</w:t>
      </w:r>
      <w:r w:rsidRPr="00AA1DF1">
        <w:rPr>
          <w:szCs w:val="24"/>
        </w:rPr>
        <w:tab/>
        <w:t xml:space="preserve">que la promotion et l'utilisation de technologies innovantes peuvent jouer un rôle fondamental dans l'édification d'économies des télécommunications/TIC résilientes, capables de s'adapter aux avancées technologiques et à l'évolution du </w:t>
      </w:r>
      <w:proofErr w:type="gramStart"/>
      <w:r w:rsidRPr="00AA1DF1">
        <w:rPr>
          <w:szCs w:val="24"/>
        </w:rPr>
        <w:t>marché;</w:t>
      </w:r>
      <w:proofErr w:type="gramEnd"/>
    </w:p>
    <w:p w14:paraId="7DBA4412" w14:textId="77777777" w:rsidR="00B119C6" w:rsidRPr="00AA1DF1" w:rsidRDefault="00B119C6" w:rsidP="00056CCA">
      <w:pPr>
        <w:jc w:val="both"/>
        <w:rPr>
          <w:rFonts w:asciiTheme="minorHAnsi" w:hAnsiTheme="minorHAnsi" w:cstheme="minorHAnsi"/>
          <w:szCs w:val="24"/>
        </w:rPr>
      </w:pPr>
      <w:r w:rsidRPr="00AA1DF1">
        <w:rPr>
          <w:i/>
          <w:iCs/>
        </w:rPr>
        <w:t>n)</w:t>
      </w:r>
      <w:r w:rsidRPr="00AA1DF1">
        <w:rPr>
          <w:szCs w:val="24"/>
        </w:rPr>
        <w:tab/>
        <w:t>l'importance de l'infrastructure des câbles sous-marins et de leur résilience, et les résultats des Sommets internationaux sur la résilience de ces câbles qui se sont tenus à Abuja en 2025 et à Porto en 2026,</w:t>
      </w:r>
    </w:p>
    <w:p w14:paraId="6DD25D13" w14:textId="77777777" w:rsidR="00B119C6" w:rsidRPr="00AA1DF1" w:rsidRDefault="00B119C6" w:rsidP="00434918">
      <w:pPr>
        <w:pStyle w:val="Call"/>
      </w:pPr>
      <w:proofErr w:type="gramStart"/>
      <w:r w:rsidRPr="00AA1DF1">
        <w:t>reconnaissant</w:t>
      </w:r>
      <w:proofErr w:type="gramEnd"/>
    </w:p>
    <w:p w14:paraId="3A498987" w14:textId="77777777" w:rsidR="00B119C6" w:rsidRPr="00AA1DF1" w:rsidRDefault="00B119C6" w:rsidP="00056CCA">
      <w:pPr>
        <w:jc w:val="both"/>
        <w:rPr>
          <w:rFonts w:asciiTheme="minorHAnsi" w:hAnsiTheme="minorHAnsi" w:cstheme="minorHAnsi"/>
          <w:szCs w:val="24"/>
        </w:rPr>
      </w:pPr>
      <w:r w:rsidRPr="00AA1DF1">
        <w:rPr>
          <w:i/>
          <w:iCs/>
        </w:rPr>
        <w:t>a)</w:t>
      </w:r>
      <w:r w:rsidRPr="00AA1DF1">
        <w:rPr>
          <w:szCs w:val="24"/>
        </w:rPr>
        <w:tab/>
        <w:t xml:space="preserve">que les systèmes de télécommunication/TIC résilients constituent un pilier essentiel du développement durable et de la réduction de la fracture </w:t>
      </w:r>
      <w:proofErr w:type="gramStart"/>
      <w:r w:rsidRPr="00AA1DF1">
        <w:rPr>
          <w:szCs w:val="24"/>
        </w:rPr>
        <w:t>numérique;</w:t>
      </w:r>
      <w:proofErr w:type="gramEnd"/>
    </w:p>
    <w:p w14:paraId="322DE1FA" w14:textId="77777777" w:rsidR="00B119C6" w:rsidRPr="00AA1DF1" w:rsidRDefault="00B119C6" w:rsidP="00056CCA">
      <w:pPr>
        <w:jc w:val="both"/>
        <w:rPr>
          <w:rFonts w:asciiTheme="minorHAnsi" w:hAnsiTheme="minorHAnsi" w:cstheme="minorHAnsi"/>
          <w:szCs w:val="24"/>
        </w:rPr>
      </w:pPr>
      <w:r w:rsidRPr="00AA1DF1">
        <w:rPr>
          <w:i/>
          <w:iCs/>
        </w:rPr>
        <w:lastRenderedPageBreak/>
        <w:t>b)</w:t>
      </w:r>
      <w:r w:rsidRPr="00AA1DF1">
        <w:rPr>
          <w:szCs w:val="24"/>
        </w:rPr>
        <w:tab/>
        <w:t xml:space="preserve">que l'adoption de technologies évoluées nécessiterait d'importants investissements en capital qui pourraient être hors de portée des pays en développement, ce qui les obligerait à continuer de dépendre d'infrastructures TIC </w:t>
      </w:r>
      <w:proofErr w:type="gramStart"/>
      <w:r w:rsidRPr="00AA1DF1">
        <w:rPr>
          <w:szCs w:val="24"/>
        </w:rPr>
        <w:t>obsolètes;</w:t>
      </w:r>
      <w:proofErr w:type="gramEnd"/>
    </w:p>
    <w:p w14:paraId="2542F6CF" w14:textId="77777777" w:rsidR="00B119C6" w:rsidRPr="00AA1DF1" w:rsidRDefault="00B119C6" w:rsidP="00056CCA">
      <w:pPr>
        <w:jc w:val="both"/>
        <w:rPr>
          <w:rFonts w:asciiTheme="minorHAnsi" w:hAnsiTheme="minorHAnsi" w:cstheme="minorHAnsi"/>
          <w:szCs w:val="24"/>
        </w:rPr>
      </w:pPr>
      <w:r w:rsidRPr="00AA1DF1">
        <w:rPr>
          <w:i/>
          <w:iCs/>
        </w:rPr>
        <w:t>c)</w:t>
      </w:r>
      <w:r w:rsidRPr="00AA1DF1">
        <w:rPr>
          <w:szCs w:val="24"/>
        </w:rPr>
        <w:tab/>
        <w:t xml:space="preserve">que l'absence ou l'instabilité du réseau électrique dans de nombreux pays en développement entrave considérablement l'adoption, le déploiement, l'exploitation et la maintenance d'infrastructures TIC </w:t>
      </w:r>
      <w:proofErr w:type="gramStart"/>
      <w:r w:rsidRPr="00AA1DF1">
        <w:rPr>
          <w:szCs w:val="24"/>
        </w:rPr>
        <w:t>modernes;</w:t>
      </w:r>
      <w:proofErr w:type="gramEnd"/>
    </w:p>
    <w:p w14:paraId="15032584" w14:textId="77777777" w:rsidR="00B119C6" w:rsidRPr="00AA1DF1" w:rsidRDefault="00B119C6" w:rsidP="00056CCA">
      <w:pPr>
        <w:jc w:val="both"/>
        <w:rPr>
          <w:rFonts w:asciiTheme="minorHAnsi" w:hAnsiTheme="minorHAnsi" w:cstheme="minorHAnsi"/>
          <w:szCs w:val="24"/>
        </w:rPr>
      </w:pPr>
      <w:r w:rsidRPr="00AA1DF1">
        <w:rPr>
          <w:i/>
          <w:iCs/>
        </w:rPr>
        <w:t>d)</w:t>
      </w:r>
      <w:r w:rsidRPr="00AA1DF1">
        <w:rPr>
          <w:szCs w:val="24"/>
        </w:rPr>
        <w:tab/>
        <w:t xml:space="preserve">le rôle que jouent le secteur privé, la société civile, les milieux techniques, les établissements universitaires et les organisations régionales et internationales dans la fourniture d'équipements et de services de télécommunication/TIC, de compétences spécialisées et d'aide au renforcement des capacités afin de soutenir les initiatives en matière de </w:t>
      </w:r>
      <w:proofErr w:type="gramStart"/>
      <w:r w:rsidRPr="00AA1DF1">
        <w:rPr>
          <w:szCs w:val="24"/>
        </w:rPr>
        <w:t>résilience;</w:t>
      </w:r>
      <w:proofErr w:type="gramEnd"/>
    </w:p>
    <w:p w14:paraId="34C2E2EA" w14:textId="77777777" w:rsidR="00B119C6" w:rsidRPr="00AA1DF1" w:rsidRDefault="00B119C6" w:rsidP="00056CCA">
      <w:pPr>
        <w:jc w:val="both"/>
        <w:rPr>
          <w:rFonts w:asciiTheme="minorHAnsi" w:hAnsiTheme="minorHAnsi" w:cstheme="minorHAnsi"/>
          <w:szCs w:val="24"/>
        </w:rPr>
      </w:pPr>
      <w:r w:rsidRPr="00AA1DF1">
        <w:rPr>
          <w:i/>
          <w:iCs/>
        </w:rPr>
        <w:t>e)</w:t>
      </w:r>
      <w:r w:rsidRPr="00AA1DF1">
        <w:rPr>
          <w:szCs w:val="24"/>
        </w:rPr>
        <w:tab/>
        <w:t>les travaux de l'UIT dans le cadre d'activités essentielles en matière de résilience, telles que l'Initiative "Alertes précoces pour tous", et les contributions des commissions d'études des trois Secteurs de l'UIT à l'élaboration de recommandations techniques et de bonnes pratiques,</w:t>
      </w:r>
    </w:p>
    <w:p w14:paraId="3387FA0F" w14:textId="77777777" w:rsidR="00B119C6" w:rsidRPr="00AA1DF1" w:rsidRDefault="00B119C6" w:rsidP="00434918">
      <w:pPr>
        <w:pStyle w:val="Call"/>
      </w:pPr>
      <w:proofErr w:type="gramStart"/>
      <w:r w:rsidRPr="00AA1DF1">
        <w:t>est</w:t>
      </w:r>
      <w:proofErr w:type="gramEnd"/>
      <w:r w:rsidRPr="00AA1DF1">
        <w:t xml:space="preserve"> d'avis</w:t>
      </w:r>
    </w:p>
    <w:p w14:paraId="0290DD22" w14:textId="77777777" w:rsidR="00B119C6" w:rsidRPr="00AA1DF1" w:rsidRDefault="00B119C6" w:rsidP="00056CCA">
      <w:pPr>
        <w:jc w:val="both"/>
        <w:rPr>
          <w:rFonts w:asciiTheme="minorHAnsi" w:hAnsiTheme="minorHAnsi" w:cstheme="minorHAnsi"/>
          <w:szCs w:val="24"/>
        </w:rPr>
      </w:pPr>
      <w:r w:rsidRPr="00AA1DF1">
        <w:rPr>
          <w:szCs w:val="24"/>
        </w:rPr>
        <w:t>1</w:t>
      </w:r>
      <w:r w:rsidRPr="00AA1DF1">
        <w:rPr>
          <w:szCs w:val="24"/>
        </w:rPr>
        <w:tab/>
        <w:t xml:space="preserve">que les politiques et initiatives en matière de résilience devraient être globales, comporter de multiples facettes et englober la cybersécurité, des systèmes d'alerte précoce et d'intervention rapide, la modernisation et la maintenance régulières des infrastructures de télécommunication/TIC, la surveillance de l'environnement, des initiatives de réduction des risques de catastrophe et la collaboration entre les secteurs public et </w:t>
      </w:r>
      <w:proofErr w:type="gramStart"/>
      <w:r w:rsidRPr="00AA1DF1">
        <w:rPr>
          <w:szCs w:val="24"/>
        </w:rPr>
        <w:t>privé;</w:t>
      </w:r>
      <w:proofErr w:type="gramEnd"/>
    </w:p>
    <w:p w14:paraId="0A800000" w14:textId="77777777" w:rsidR="00B119C6" w:rsidRPr="00AA1DF1" w:rsidRDefault="00B119C6" w:rsidP="00056CCA">
      <w:pPr>
        <w:jc w:val="both"/>
        <w:rPr>
          <w:szCs w:val="24"/>
        </w:rPr>
      </w:pPr>
      <w:r w:rsidRPr="00AA1DF1">
        <w:rPr>
          <w:szCs w:val="24"/>
        </w:rPr>
        <w:t>2</w:t>
      </w:r>
      <w:r w:rsidRPr="00AA1DF1">
        <w:rPr>
          <w:szCs w:val="24"/>
        </w:rPr>
        <w:tab/>
        <w:t xml:space="preserve">que le renforcement de la résilience exige une action coordonnée entre les gouvernements, les autorités de régulation, le secteur privé, la société civile, les milieux techniques et les établissements universitaires, les autorités nationales jouant un rôle déterminant dans la hiérarchisation de la mise au point de systèmes de télécommunication/TIC résilients, sûrs et adaptables pour appuyer la croissance numérique à long terme et la continuité des services </w:t>
      </w:r>
      <w:proofErr w:type="gramStart"/>
      <w:r w:rsidRPr="00AA1DF1">
        <w:rPr>
          <w:szCs w:val="24"/>
        </w:rPr>
        <w:t>essentiels;</w:t>
      </w:r>
      <w:proofErr w:type="gramEnd"/>
    </w:p>
    <w:p w14:paraId="6B8CBEA4" w14:textId="77777777" w:rsidR="00B119C6" w:rsidRPr="00AA1DF1" w:rsidRDefault="00B119C6" w:rsidP="00056CCA">
      <w:pPr>
        <w:jc w:val="both"/>
        <w:rPr>
          <w:szCs w:val="24"/>
        </w:rPr>
      </w:pPr>
      <w:r w:rsidRPr="00AA1DF1">
        <w:rPr>
          <w:szCs w:val="24"/>
        </w:rPr>
        <w:t>3</w:t>
      </w:r>
      <w:r w:rsidRPr="00AA1DF1">
        <w:rPr>
          <w:szCs w:val="24"/>
        </w:rPr>
        <w:tab/>
        <w:t>qu'il est essentiel de renforcer la résilience à toutes les étapes de la conception, du développement et du déploiement des télécommunications/</w:t>
      </w:r>
      <w:proofErr w:type="gramStart"/>
      <w:r w:rsidRPr="00AA1DF1">
        <w:rPr>
          <w:szCs w:val="24"/>
        </w:rPr>
        <w:t>TIC;</w:t>
      </w:r>
      <w:proofErr w:type="gramEnd"/>
    </w:p>
    <w:p w14:paraId="117A84B8" w14:textId="77777777" w:rsidR="00B119C6" w:rsidRPr="00AA1DF1" w:rsidRDefault="00B119C6" w:rsidP="00056CCA">
      <w:pPr>
        <w:jc w:val="both"/>
        <w:rPr>
          <w:szCs w:val="24"/>
        </w:rPr>
      </w:pPr>
      <w:r w:rsidRPr="00AA1DF1">
        <w:rPr>
          <w:szCs w:val="24"/>
        </w:rPr>
        <w:t>4</w:t>
      </w:r>
      <w:r w:rsidRPr="00AA1DF1">
        <w:rPr>
          <w:szCs w:val="24"/>
        </w:rPr>
        <w:tab/>
        <w:t xml:space="preserve">qu'une infrastructure de télécommunication/TIC résiliente constitue un catalyseur essentiel de la croissance économique, de l'inclusion numérique et de l'innovation et doit pouvoir s'adapter aux nouveaux </w:t>
      </w:r>
      <w:proofErr w:type="gramStart"/>
      <w:r w:rsidRPr="00AA1DF1">
        <w:rPr>
          <w:szCs w:val="24"/>
        </w:rPr>
        <w:t>défis;</w:t>
      </w:r>
      <w:proofErr w:type="gramEnd"/>
    </w:p>
    <w:p w14:paraId="244247CF" w14:textId="77777777" w:rsidR="00B119C6" w:rsidRPr="00AA1DF1" w:rsidRDefault="00B119C6" w:rsidP="00056CCA">
      <w:pPr>
        <w:jc w:val="both"/>
        <w:rPr>
          <w:szCs w:val="24"/>
        </w:rPr>
      </w:pPr>
      <w:r w:rsidRPr="00AA1DF1">
        <w:rPr>
          <w:szCs w:val="24"/>
        </w:rPr>
        <w:t>5</w:t>
      </w:r>
      <w:r w:rsidRPr="00AA1DF1">
        <w:rPr>
          <w:szCs w:val="24"/>
        </w:rPr>
        <w:tab/>
        <w:t xml:space="preserve">que la réduction de la fracture numérique et la garantie d'un accès aux télécommunications/TIC financièrement abordable sont des conditions indispensables au renforcement de la </w:t>
      </w:r>
      <w:proofErr w:type="gramStart"/>
      <w:r w:rsidRPr="00AA1DF1">
        <w:rPr>
          <w:szCs w:val="24"/>
        </w:rPr>
        <w:t>résilience;</w:t>
      </w:r>
      <w:proofErr w:type="gramEnd"/>
    </w:p>
    <w:p w14:paraId="1DC9962F" w14:textId="77777777" w:rsidR="00B119C6" w:rsidRPr="00AA1DF1" w:rsidRDefault="00B119C6" w:rsidP="00056CCA">
      <w:pPr>
        <w:jc w:val="both"/>
        <w:rPr>
          <w:szCs w:val="24"/>
        </w:rPr>
      </w:pPr>
      <w:r w:rsidRPr="00AA1DF1">
        <w:rPr>
          <w:szCs w:val="24"/>
        </w:rPr>
        <w:t>6</w:t>
      </w:r>
      <w:r w:rsidRPr="00AA1DF1">
        <w:rPr>
          <w:szCs w:val="24"/>
        </w:rPr>
        <w:tab/>
        <w:t xml:space="preserve">que la coopération et la collaboration, ainsi que la mise en place de bonnes pratiques, d'environnements propices à l'investissement et de mécanismes de financement novateurs jouent un rôle important dans la mise en œuvre de systèmes de télécommunication/TIC résilients, capables de relever les défis à l'échelle mondiale et de favoriser la stabilité économique, en particulier lors de catastrophes naturelles et dans des situations </w:t>
      </w:r>
      <w:proofErr w:type="gramStart"/>
      <w:r w:rsidRPr="00AA1DF1">
        <w:rPr>
          <w:szCs w:val="24"/>
        </w:rPr>
        <w:t>d'urgence;</w:t>
      </w:r>
      <w:proofErr w:type="gramEnd"/>
    </w:p>
    <w:p w14:paraId="59935593" w14:textId="77777777" w:rsidR="00B119C6" w:rsidRPr="00AA1DF1" w:rsidRDefault="00B119C6" w:rsidP="00056CCA">
      <w:pPr>
        <w:jc w:val="both"/>
        <w:rPr>
          <w:szCs w:val="24"/>
        </w:rPr>
      </w:pPr>
      <w:r w:rsidRPr="00AA1DF1">
        <w:rPr>
          <w:szCs w:val="24"/>
        </w:rPr>
        <w:t>7</w:t>
      </w:r>
      <w:r w:rsidRPr="00AA1DF1">
        <w:rPr>
          <w:szCs w:val="24"/>
        </w:rPr>
        <w:tab/>
        <w:t xml:space="preserve">qu'il convient d'adopter </w:t>
      </w:r>
      <w:proofErr w:type="gramStart"/>
      <w:r w:rsidRPr="00AA1DF1">
        <w:rPr>
          <w:szCs w:val="24"/>
        </w:rPr>
        <w:t>une approche multicanal</w:t>
      </w:r>
      <w:proofErr w:type="gramEnd"/>
      <w:r w:rsidRPr="00AA1DF1">
        <w:rPr>
          <w:szCs w:val="24"/>
        </w:rPr>
        <w:t xml:space="preserve"> de la sensibilisation du public pour faire en sorte que les messages pertinents sur la résilience, tels que les communications d'urgence et les conseils en matière de cyberhygiène, touchent un large public et permettent à chacun d'agir plus tôt et de se </w:t>
      </w:r>
      <w:proofErr w:type="gramStart"/>
      <w:r w:rsidRPr="00AA1DF1">
        <w:rPr>
          <w:szCs w:val="24"/>
        </w:rPr>
        <w:t>protéger;</w:t>
      </w:r>
      <w:proofErr w:type="gramEnd"/>
    </w:p>
    <w:p w14:paraId="0446D3B4" w14:textId="77777777" w:rsidR="00B119C6" w:rsidRPr="00AA1DF1" w:rsidRDefault="00B119C6" w:rsidP="00056CCA">
      <w:pPr>
        <w:jc w:val="both"/>
        <w:rPr>
          <w:szCs w:val="24"/>
        </w:rPr>
      </w:pPr>
      <w:r w:rsidRPr="00AA1DF1">
        <w:rPr>
          <w:szCs w:val="24"/>
        </w:rPr>
        <w:lastRenderedPageBreak/>
        <w:t>8</w:t>
      </w:r>
      <w:r w:rsidRPr="00AA1DF1">
        <w:rPr>
          <w:szCs w:val="24"/>
        </w:rPr>
        <w:tab/>
        <w:t xml:space="preserve">que la protection de l'environnement représente l'un des défis majeurs de notre époque et qu'il est possible de renforcer la résilience face aux catastrophes naturelles grâce à la mise en place de systèmes d'alerte précoce et de plans nationaux de télécommunications </w:t>
      </w:r>
      <w:proofErr w:type="gramStart"/>
      <w:r w:rsidRPr="00AA1DF1">
        <w:rPr>
          <w:szCs w:val="24"/>
        </w:rPr>
        <w:t>d'urgence;</w:t>
      </w:r>
      <w:proofErr w:type="gramEnd"/>
    </w:p>
    <w:p w14:paraId="2C345810" w14:textId="77777777" w:rsidR="00B119C6" w:rsidRPr="00AA1DF1" w:rsidRDefault="00B119C6" w:rsidP="00056CCA">
      <w:pPr>
        <w:jc w:val="both"/>
        <w:rPr>
          <w:szCs w:val="24"/>
        </w:rPr>
      </w:pPr>
      <w:r w:rsidRPr="00AA1DF1">
        <w:rPr>
          <w:szCs w:val="24"/>
        </w:rPr>
        <w:t>9</w:t>
      </w:r>
      <w:r w:rsidRPr="00AA1DF1">
        <w:rPr>
          <w:szCs w:val="24"/>
        </w:rPr>
        <w:tab/>
        <w:t xml:space="preserve">qu'il est essentiel de renforcer la cyberrésilience de l'ensemble de la société pour faire face à l'augmentation des </w:t>
      </w:r>
      <w:proofErr w:type="gramStart"/>
      <w:r w:rsidRPr="00AA1DF1">
        <w:rPr>
          <w:szCs w:val="24"/>
        </w:rPr>
        <w:t>cybermenaces;</w:t>
      </w:r>
      <w:proofErr w:type="gramEnd"/>
    </w:p>
    <w:p w14:paraId="6F233613" w14:textId="77777777" w:rsidR="00B119C6" w:rsidRPr="00AA1DF1" w:rsidRDefault="00B119C6" w:rsidP="00056CCA">
      <w:pPr>
        <w:jc w:val="both"/>
        <w:rPr>
          <w:szCs w:val="24"/>
        </w:rPr>
      </w:pPr>
      <w:r w:rsidRPr="00AA1DF1">
        <w:rPr>
          <w:szCs w:val="24"/>
        </w:rPr>
        <w:t>10</w:t>
      </w:r>
      <w:r w:rsidRPr="00AA1DF1">
        <w:rPr>
          <w:szCs w:val="24"/>
        </w:rPr>
        <w:tab/>
        <w:t xml:space="preserve">qu'il est nécessaire de promouvoir l'innovation et le déploiement de nouvelles technologies pour veiller à ce que les économies des télécommunications/TIC restent compétitives, sûres et </w:t>
      </w:r>
      <w:proofErr w:type="gramStart"/>
      <w:r w:rsidRPr="00AA1DF1">
        <w:rPr>
          <w:szCs w:val="24"/>
        </w:rPr>
        <w:t>résilientes;</w:t>
      </w:r>
      <w:proofErr w:type="gramEnd"/>
    </w:p>
    <w:p w14:paraId="34DE760F" w14:textId="77777777" w:rsidR="00B119C6" w:rsidRPr="00AA1DF1" w:rsidRDefault="00B119C6" w:rsidP="00056CCA">
      <w:pPr>
        <w:jc w:val="both"/>
        <w:rPr>
          <w:szCs w:val="24"/>
        </w:rPr>
      </w:pPr>
      <w:r w:rsidRPr="00AA1DF1">
        <w:rPr>
          <w:szCs w:val="24"/>
        </w:rPr>
        <w:t>11</w:t>
      </w:r>
      <w:r w:rsidRPr="00AA1DF1">
        <w:rPr>
          <w:szCs w:val="24"/>
        </w:rPr>
        <w:tab/>
        <w:t xml:space="preserve">que les innovations en matière de résilience énergétique peuvent contribuer à la résilience des infrastructures, en veillant à ce que les infrastructures de télécommunication/TIC puissent accéder à d'autres sources </w:t>
      </w:r>
      <w:proofErr w:type="gramStart"/>
      <w:r w:rsidRPr="00AA1DF1">
        <w:rPr>
          <w:szCs w:val="24"/>
        </w:rPr>
        <w:t>d'énergie;</w:t>
      </w:r>
      <w:proofErr w:type="gramEnd"/>
    </w:p>
    <w:p w14:paraId="5563DA5D" w14:textId="77777777" w:rsidR="00B119C6" w:rsidRPr="00AA1DF1" w:rsidRDefault="00B119C6" w:rsidP="00056CCA">
      <w:pPr>
        <w:jc w:val="both"/>
        <w:rPr>
          <w:szCs w:val="24"/>
        </w:rPr>
      </w:pPr>
      <w:r w:rsidRPr="00AA1DF1">
        <w:rPr>
          <w:szCs w:val="24"/>
        </w:rPr>
        <w:t>12</w:t>
      </w:r>
      <w:r w:rsidRPr="00AA1DF1">
        <w:rPr>
          <w:szCs w:val="24"/>
        </w:rPr>
        <w:tab/>
        <w:t>que l'UIT devrait continuer d'organiser des programmes de formation, des ateliers et des activités de renforcement des capacités en vue de promouvoir la résilience des télécommunications/TIC,</w:t>
      </w:r>
    </w:p>
    <w:p w14:paraId="72BD1579" w14:textId="77777777" w:rsidR="00B119C6" w:rsidRPr="00AA1DF1" w:rsidRDefault="00B119C6" w:rsidP="00434918">
      <w:pPr>
        <w:pStyle w:val="Call"/>
      </w:pPr>
      <w:proofErr w:type="gramStart"/>
      <w:r w:rsidRPr="00AA1DF1">
        <w:t>invite</w:t>
      </w:r>
      <w:proofErr w:type="gramEnd"/>
      <w:r w:rsidRPr="00AA1DF1">
        <w:t xml:space="preserve"> les États Membres, les Membres de Secteur et les autres parties prenantes à collaborer afin</w:t>
      </w:r>
    </w:p>
    <w:p w14:paraId="5AEDAE2E" w14:textId="77777777" w:rsidR="00B119C6" w:rsidRPr="00AA1DF1" w:rsidRDefault="00B119C6" w:rsidP="00056CCA">
      <w:pPr>
        <w:jc w:val="both"/>
        <w:rPr>
          <w:szCs w:val="24"/>
        </w:rPr>
      </w:pPr>
      <w:r w:rsidRPr="00AA1DF1">
        <w:rPr>
          <w:szCs w:val="24"/>
        </w:rPr>
        <w:t>1</w:t>
      </w:r>
      <w:r w:rsidRPr="00AA1DF1">
        <w:rPr>
          <w:szCs w:val="24"/>
        </w:rPr>
        <w:tab/>
        <w:t xml:space="preserve">d'accorder la priorité à l'échange d'informations sur l'élaboration et la mise en œuvre de politiques propres à promouvoir des infrastructures de télécommunication/TIC résilientes, sûres et robustes, en veillant à leur conformité avec les normes et les bonnes pratiques </w:t>
      </w:r>
      <w:proofErr w:type="gramStart"/>
      <w:r w:rsidRPr="00AA1DF1">
        <w:rPr>
          <w:szCs w:val="24"/>
        </w:rPr>
        <w:t>internationales;</w:t>
      </w:r>
      <w:proofErr w:type="gramEnd"/>
    </w:p>
    <w:p w14:paraId="6B3FF1DA" w14:textId="77777777" w:rsidR="00B119C6" w:rsidRPr="00AA1DF1" w:rsidRDefault="00B119C6" w:rsidP="00056CCA">
      <w:pPr>
        <w:jc w:val="both"/>
        <w:rPr>
          <w:szCs w:val="24"/>
        </w:rPr>
      </w:pPr>
      <w:r w:rsidRPr="00AA1DF1">
        <w:rPr>
          <w:szCs w:val="24"/>
        </w:rPr>
        <w:t>2</w:t>
      </w:r>
      <w:r w:rsidRPr="00AA1DF1">
        <w:rPr>
          <w:szCs w:val="24"/>
        </w:rPr>
        <w:tab/>
        <w:t xml:space="preserve">de continuer de faciliter et d'intensifier les efforts visant à renforcer la résilience des infrastructures de télécommunication/TIC, y compris numériques, en veillant à ce que ces systèmes soient sécurisés, robustes et adaptables aux défis futurs et puissent garantir la continuité des services en cas de </w:t>
      </w:r>
      <w:proofErr w:type="gramStart"/>
      <w:r w:rsidRPr="00AA1DF1">
        <w:rPr>
          <w:szCs w:val="24"/>
        </w:rPr>
        <w:t>panne;</w:t>
      </w:r>
      <w:proofErr w:type="gramEnd"/>
    </w:p>
    <w:p w14:paraId="0F2E1B8E" w14:textId="77777777" w:rsidR="00B119C6" w:rsidRPr="00AA1DF1" w:rsidRDefault="00B119C6" w:rsidP="00056CCA">
      <w:pPr>
        <w:jc w:val="both"/>
        <w:rPr>
          <w:szCs w:val="24"/>
        </w:rPr>
      </w:pPr>
      <w:r w:rsidRPr="00AA1DF1">
        <w:rPr>
          <w:szCs w:val="24"/>
        </w:rPr>
        <w:t>3</w:t>
      </w:r>
      <w:r w:rsidRPr="00AA1DF1">
        <w:rPr>
          <w:szCs w:val="24"/>
        </w:rPr>
        <w:tab/>
        <w:t xml:space="preserve">d'étudier les diverses possibilités et de résoudre les problèmes rencontrés dans la mise en place de systèmes de télécommunication/TIC résilients, en garantissant la continuité des services en cas de </w:t>
      </w:r>
      <w:proofErr w:type="gramStart"/>
      <w:r w:rsidRPr="00AA1DF1">
        <w:rPr>
          <w:szCs w:val="24"/>
        </w:rPr>
        <w:t>panne;</w:t>
      </w:r>
      <w:proofErr w:type="gramEnd"/>
    </w:p>
    <w:p w14:paraId="76E3C4AA" w14:textId="77777777" w:rsidR="00B119C6" w:rsidRPr="00AA1DF1" w:rsidRDefault="00B119C6" w:rsidP="00056CCA">
      <w:pPr>
        <w:jc w:val="both"/>
        <w:rPr>
          <w:szCs w:val="24"/>
        </w:rPr>
      </w:pPr>
      <w:r w:rsidRPr="00AA1DF1">
        <w:rPr>
          <w:szCs w:val="24"/>
        </w:rPr>
        <w:t>4</w:t>
      </w:r>
      <w:r w:rsidRPr="00AA1DF1">
        <w:rPr>
          <w:szCs w:val="24"/>
        </w:rPr>
        <w:tab/>
        <w:t xml:space="preserve">de travailler avec le secteur privé, la société civile, les milieux techniques et les établissements universitaires pour promouvoir des télécommunications/TIC résilientes, en proposant des programmes d'appui technique et de renforcement des </w:t>
      </w:r>
      <w:proofErr w:type="gramStart"/>
      <w:r w:rsidRPr="00AA1DF1">
        <w:rPr>
          <w:szCs w:val="24"/>
        </w:rPr>
        <w:t>capacités;</w:t>
      </w:r>
      <w:proofErr w:type="gramEnd"/>
    </w:p>
    <w:p w14:paraId="1AFCA2CC" w14:textId="77777777" w:rsidR="00B119C6" w:rsidRPr="00AA1DF1" w:rsidRDefault="00B119C6" w:rsidP="00056CCA">
      <w:pPr>
        <w:jc w:val="both"/>
        <w:rPr>
          <w:szCs w:val="24"/>
        </w:rPr>
      </w:pPr>
      <w:r w:rsidRPr="00AA1DF1">
        <w:rPr>
          <w:szCs w:val="24"/>
        </w:rPr>
        <w:t>5</w:t>
      </w:r>
      <w:r w:rsidRPr="00AA1DF1">
        <w:rPr>
          <w:szCs w:val="24"/>
        </w:rPr>
        <w:tab/>
        <w:t xml:space="preserve">de renforcer les partenariats public-privé, dans le but de consolider la résilience de l'écosystème des télécommunications/TIC, de relever les défis émergents et de saisir les opportunités qui se </w:t>
      </w:r>
      <w:proofErr w:type="gramStart"/>
      <w:r w:rsidRPr="00AA1DF1">
        <w:rPr>
          <w:szCs w:val="24"/>
        </w:rPr>
        <w:t>présenteront;</w:t>
      </w:r>
      <w:proofErr w:type="gramEnd"/>
    </w:p>
    <w:p w14:paraId="68FE3B75" w14:textId="77777777" w:rsidR="00B119C6" w:rsidRPr="00AA1DF1" w:rsidRDefault="00B119C6" w:rsidP="00056CCA">
      <w:pPr>
        <w:jc w:val="both"/>
        <w:rPr>
          <w:szCs w:val="24"/>
        </w:rPr>
      </w:pPr>
      <w:r w:rsidRPr="00AA1DF1">
        <w:rPr>
          <w:szCs w:val="24"/>
        </w:rPr>
        <w:t>6</w:t>
      </w:r>
      <w:r w:rsidRPr="00AA1DF1">
        <w:rPr>
          <w:szCs w:val="24"/>
        </w:rPr>
        <w:tab/>
        <w:t xml:space="preserve">d'intégrer le principe de l'égalité hommes-femmes dans les stratégies nationales relatives à la résilience et de veiller à ce que la prise de décision soit </w:t>
      </w:r>
      <w:proofErr w:type="gramStart"/>
      <w:r w:rsidRPr="00AA1DF1">
        <w:rPr>
          <w:szCs w:val="24"/>
        </w:rPr>
        <w:t>inclusive;</w:t>
      </w:r>
      <w:proofErr w:type="gramEnd"/>
    </w:p>
    <w:p w14:paraId="1FE8F6FA" w14:textId="3AA4EDA6" w:rsidR="00B119C6" w:rsidRPr="00AA1DF1" w:rsidRDefault="00B119C6" w:rsidP="00056CCA">
      <w:pPr>
        <w:keepLines/>
        <w:jc w:val="both"/>
        <w:rPr>
          <w:szCs w:val="24"/>
        </w:rPr>
      </w:pPr>
      <w:r w:rsidRPr="00AA1DF1">
        <w:rPr>
          <w:szCs w:val="24"/>
        </w:rPr>
        <w:t>7</w:t>
      </w:r>
      <w:r w:rsidRPr="00AA1DF1">
        <w:rPr>
          <w:szCs w:val="24"/>
        </w:rPr>
        <w:tab/>
        <w:t>de continuer de tout mettre en œuvre pour intégrer les interventions en cas de cyberincident, la réduction des risques de catastrophe, l'atténuation des effets des catastrophes, les opérations de secours et la résilience en cas de catastrophe dans les plans de développement des télécommunications/TIC, en tenant compte des personnes en situation de handicap et des personnes ayant des besoins particuliers, ainsi que de l'importance de la collaboration avec toutes les parties prenantes à toutes les étapes de la catastrophe;</w:t>
      </w:r>
    </w:p>
    <w:p w14:paraId="47579509" w14:textId="77777777" w:rsidR="00B119C6" w:rsidRPr="00AA1DF1" w:rsidRDefault="00B119C6" w:rsidP="00056CCA">
      <w:pPr>
        <w:jc w:val="both"/>
        <w:rPr>
          <w:szCs w:val="24"/>
        </w:rPr>
      </w:pPr>
      <w:r w:rsidRPr="00AA1DF1">
        <w:rPr>
          <w:szCs w:val="24"/>
        </w:rPr>
        <w:lastRenderedPageBreak/>
        <w:t>8</w:t>
      </w:r>
      <w:r w:rsidRPr="00AA1DF1">
        <w:rPr>
          <w:szCs w:val="24"/>
        </w:rPr>
        <w:tab/>
        <w:t xml:space="preserve">d'adopter des recommandations pertinentes de l'UIT susceptibles de contribuer au renforcement de la résilience des télécommunications/TIC et à l'efficacité des interventions en cas de </w:t>
      </w:r>
      <w:proofErr w:type="gramStart"/>
      <w:r w:rsidRPr="00AA1DF1">
        <w:rPr>
          <w:szCs w:val="24"/>
        </w:rPr>
        <w:t>crise;</w:t>
      </w:r>
      <w:proofErr w:type="gramEnd"/>
    </w:p>
    <w:p w14:paraId="05FD474D" w14:textId="77777777" w:rsidR="00B119C6" w:rsidRPr="00AA1DF1" w:rsidRDefault="00B119C6" w:rsidP="00056CCA">
      <w:pPr>
        <w:jc w:val="both"/>
        <w:rPr>
          <w:szCs w:val="24"/>
        </w:rPr>
      </w:pPr>
      <w:r w:rsidRPr="00AA1DF1">
        <w:rPr>
          <w:szCs w:val="24"/>
        </w:rPr>
        <w:t>9</w:t>
      </w:r>
      <w:r w:rsidRPr="00AA1DF1">
        <w:rPr>
          <w:szCs w:val="24"/>
        </w:rPr>
        <w:tab/>
        <w:t xml:space="preserve">de participer activement aux réunions internationales consacrées à la résilience des télécommunications/TIC, en échangeant des connaissances et des données </w:t>
      </w:r>
      <w:proofErr w:type="gramStart"/>
      <w:r w:rsidRPr="00AA1DF1">
        <w:rPr>
          <w:szCs w:val="24"/>
        </w:rPr>
        <w:t>d'expérience;</w:t>
      </w:r>
      <w:proofErr w:type="gramEnd"/>
    </w:p>
    <w:p w14:paraId="60A4FDF5" w14:textId="77777777" w:rsidR="00B119C6" w:rsidRPr="00AA1DF1" w:rsidRDefault="00B119C6" w:rsidP="00056CCA">
      <w:pPr>
        <w:jc w:val="both"/>
        <w:rPr>
          <w:szCs w:val="24"/>
        </w:rPr>
      </w:pPr>
      <w:r w:rsidRPr="00AA1DF1">
        <w:rPr>
          <w:szCs w:val="24"/>
        </w:rPr>
        <w:t>10</w:t>
      </w:r>
      <w:r w:rsidRPr="00AA1DF1">
        <w:rPr>
          <w:szCs w:val="24"/>
        </w:rPr>
        <w:tab/>
        <w:t xml:space="preserve">d'appuyer les activités internationales visant à promouvoir le renforcement des capacités en matière de résilience, en particulier dans les PMA, les PDSL et les </w:t>
      </w:r>
      <w:proofErr w:type="gramStart"/>
      <w:r w:rsidRPr="00AA1DF1">
        <w:rPr>
          <w:szCs w:val="24"/>
        </w:rPr>
        <w:t>PEID;</w:t>
      </w:r>
      <w:proofErr w:type="gramEnd"/>
    </w:p>
    <w:p w14:paraId="34AF878E" w14:textId="77777777" w:rsidR="00B119C6" w:rsidRPr="00AA1DF1" w:rsidRDefault="00B119C6" w:rsidP="00056CCA">
      <w:pPr>
        <w:jc w:val="both"/>
        <w:rPr>
          <w:szCs w:val="24"/>
        </w:rPr>
      </w:pPr>
      <w:r w:rsidRPr="00AA1DF1">
        <w:rPr>
          <w:szCs w:val="24"/>
        </w:rPr>
        <w:t>11</w:t>
      </w:r>
      <w:r w:rsidRPr="00AA1DF1">
        <w:rPr>
          <w:szCs w:val="24"/>
        </w:rPr>
        <w:tab/>
        <w:t xml:space="preserve">d'encourager et de permettre les investissements dans des infrastructures de télécommunication/TIC résilientes, en particulier dans les zones non desservies, mal desservies et difficiles </w:t>
      </w:r>
      <w:proofErr w:type="gramStart"/>
      <w:r w:rsidRPr="00AA1DF1">
        <w:rPr>
          <w:szCs w:val="24"/>
        </w:rPr>
        <w:t>d'accès;</w:t>
      </w:r>
      <w:proofErr w:type="gramEnd"/>
    </w:p>
    <w:p w14:paraId="4CF02D79" w14:textId="77777777" w:rsidR="00B119C6" w:rsidRPr="00AA1DF1" w:rsidRDefault="00B119C6" w:rsidP="00056CCA">
      <w:pPr>
        <w:jc w:val="both"/>
        <w:rPr>
          <w:szCs w:val="24"/>
        </w:rPr>
      </w:pPr>
      <w:r w:rsidRPr="00AA1DF1">
        <w:rPr>
          <w:szCs w:val="24"/>
        </w:rPr>
        <w:t>12</w:t>
      </w:r>
      <w:r w:rsidRPr="00AA1DF1">
        <w:rPr>
          <w:szCs w:val="24"/>
        </w:rPr>
        <w:tab/>
        <w:t xml:space="preserve">d'adopter des stratégies de résilience des télécommunications/TIC, y compris des plans de gestion des risques de catastrophe et des plans d'intervention en cas de </w:t>
      </w:r>
      <w:proofErr w:type="gramStart"/>
      <w:r w:rsidRPr="00AA1DF1">
        <w:rPr>
          <w:szCs w:val="24"/>
        </w:rPr>
        <w:t>panne;</w:t>
      </w:r>
      <w:proofErr w:type="gramEnd"/>
    </w:p>
    <w:p w14:paraId="350D6176" w14:textId="77777777" w:rsidR="00B119C6" w:rsidRPr="00AA1DF1" w:rsidRDefault="00B119C6" w:rsidP="00056CCA">
      <w:pPr>
        <w:jc w:val="both"/>
        <w:rPr>
          <w:szCs w:val="24"/>
        </w:rPr>
      </w:pPr>
      <w:r w:rsidRPr="00AA1DF1">
        <w:rPr>
          <w:szCs w:val="24"/>
        </w:rPr>
        <w:t>13</w:t>
      </w:r>
      <w:r w:rsidRPr="00AA1DF1">
        <w:rPr>
          <w:szCs w:val="24"/>
        </w:rPr>
        <w:tab/>
        <w:t xml:space="preserve">de promouvoir des politiques propres à renforcer la sécurité et la résilience des chaînes d'approvisionnement dans le domaine des télécommunications/TIC, en veillant à ce que les équipements soient sûrs et </w:t>
      </w:r>
      <w:proofErr w:type="gramStart"/>
      <w:r w:rsidRPr="00AA1DF1">
        <w:rPr>
          <w:szCs w:val="24"/>
        </w:rPr>
        <w:t>résilients;</w:t>
      </w:r>
      <w:proofErr w:type="gramEnd"/>
    </w:p>
    <w:p w14:paraId="5D60B1EC" w14:textId="77777777" w:rsidR="00B119C6" w:rsidRPr="00AA1DF1" w:rsidRDefault="00B119C6" w:rsidP="00056CCA">
      <w:pPr>
        <w:jc w:val="both"/>
        <w:rPr>
          <w:szCs w:val="24"/>
        </w:rPr>
      </w:pPr>
      <w:r w:rsidRPr="00AA1DF1">
        <w:rPr>
          <w:szCs w:val="24"/>
        </w:rPr>
        <w:t>14</w:t>
      </w:r>
      <w:r w:rsidRPr="00AA1DF1">
        <w:rPr>
          <w:szCs w:val="24"/>
        </w:rPr>
        <w:tab/>
        <w:t>de soutenir le rôle des technologies et des services de télécommunication/TIC nouveaux et émergents dans l'amélioration des systèmes d'alerte avancée, de la détection des menaces et des stratégies d'intervention adaptatives visant à assurer la résilience des télécommunications/</w:t>
      </w:r>
      <w:proofErr w:type="gramStart"/>
      <w:r w:rsidRPr="00AA1DF1">
        <w:rPr>
          <w:szCs w:val="24"/>
        </w:rPr>
        <w:t>TIC;</w:t>
      </w:r>
      <w:proofErr w:type="gramEnd"/>
    </w:p>
    <w:p w14:paraId="6196A491" w14:textId="77777777" w:rsidR="00B119C6" w:rsidRPr="00AA1DF1" w:rsidRDefault="00B119C6" w:rsidP="00056CCA">
      <w:pPr>
        <w:jc w:val="both"/>
        <w:rPr>
          <w:szCs w:val="24"/>
        </w:rPr>
      </w:pPr>
      <w:r w:rsidRPr="00AA1DF1">
        <w:rPr>
          <w:szCs w:val="24"/>
        </w:rPr>
        <w:t>15</w:t>
      </w:r>
      <w:r w:rsidRPr="00AA1DF1">
        <w:rPr>
          <w:szCs w:val="24"/>
        </w:rPr>
        <w:tab/>
        <w:t>d'envisager de tenir compte des résultats des Sommets qui se sont tenus à Abuja et à Porto lors de l'adoption et de la mise en œuvre de politiques visant à améliorer la résilience des câbles sous-marins,</w:t>
      </w:r>
    </w:p>
    <w:p w14:paraId="6B3435DA" w14:textId="77777777" w:rsidR="00B119C6" w:rsidRPr="00AA1DF1" w:rsidRDefault="00B119C6" w:rsidP="00434918">
      <w:pPr>
        <w:pStyle w:val="Call"/>
      </w:pPr>
      <w:proofErr w:type="gramStart"/>
      <w:r w:rsidRPr="00AA1DF1">
        <w:t>invite</w:t>
      </w:r>
      <w:proofErr w:type="gramEnd"/>
      <w:r w:rsidRPr="00AA1DF1">
        <w:t xml:space="preserve"> la Secrétaire générale</w:t>
      </w:r>
    </w:p>
    <w:p w14:paraId="4D02CA9B" w14:textId="77777777" w:rsidR="00B119C6" w:rsidRPr="00AA1DF1" w:rsidRDefault="00B119C6" w:rsidP="00056CCA">
      <w:pPr>
        <w:jc w:val="both"/>
        <w:rPr>
          <w:szCs w:val="24"/>
        </w:rPr>
      </w:pPr>
      <w:r w:rsidRPr="00AA1DF1">
        <w:rPr>
          <w:szCs w:val="24"/>
        </w:rPr>
        <w:t>1</w:t>
      </w:r>
      <w:r w:rsidRPr="00AA1DF1">
        <w:rPr>
          <w:szCs w:val="24"/>
        </w:rPr>
        <w:tab/>
        <w:t>à continuer de faciliter et de renforcer les efforts internationaux visant à consolider et à promouvoir la résilience des télécommunications/</w:t>
      </w:r>
      <w:proofErr w:type="gramStart"/>
      <w:r w:rsidRPr="00AA1DF1">
        <w:rPr>
          <w:szCs w:val="24"/>
        </w:rPr>
        <w:t>TIC;</w:t>
      </w:r>
      <w:proofErr w:type="gramEnd"/>
    </w:p>
    <w:p w14:paraId="7F23710D" w14:textId="77777777" w:rsidR="00B119C6" w:rsidRPr="00AA1DF1" w:rsidRDefault="00B119C6" w:rsidP="00056CCA">
      <w:pPr>
        <w:jc w:val="both"/>
        <w:rPr>
          <w:szCs w:val="24"/>
        </w:rPr>
      </w:pPr>
      <w:r w:rsidRPr="00AA1DF1">
        <w:rPr>
          <w:szCs w:val="24"/>
        </w:rPr>
        <w:t>2</w:t>
      </w:r>
      <w:r w:rsidRPr="00AA1DF1">
        <w:rPr>
          <w:szCs w:val="24"/>
        </w:rPr>
        <w:tab/>
        <w:t>à veiller à ce que l'UIT continue d'aider les États Membres à élaborer et à renforcer les cadres politiques et réglementaires visant à assurer la résilience des TIC et des télécommunications.</w:t>
      </w:r>
    </w:p>
    <w:p w14:paraId="0DB4EA46" w14:textId="77777777" w:rsidR="00B119C6" w:rsidRPr="00AA1DF1" w:rsidRDefault="00B119C6" w:rsidP="00B119C6">
      <w:pPr>
        <w:tabs>
          <w:tab w:val="clear" w:pos="1134"/>
          <w:tab w:val="clear" w:pos="1701"/>
          <w:tab w:val="clear" w:pos="2268"/>
          <w:tab w:val="clear" w:pos="2835"/>
        </w:tabs>
        <w:overflowPunct/>
        <w:autoSpaceDE/>
        <w:autoSpaceDN/>
        <w:adjustRightInd/>
        <w:spacing w:before="0"/>
        <w:textAlignment w:val="auto"/>
        <w:rPr>
          <w:rFonts w:asciiTheme="minorHAnsi" w:hAnsiTheme="minorHAnsi" w:cstheme="minorHAnsi"/>
          <w:sz w:val="22"/>
          <w:szCs w:val="22"/>
        </w:rPr>
      </w:pPr>
      <w:r w:rsidRPr="00AA1DF1">
        <w:rPr>
          <w:rFonts w:asciiTheme="minorHAnsi" w:hAnsiTheme="minorHAnsi" w:cstheme="minorHAnsi"/>
          <w:sz w:val="22"/>
          <w:szCs w:val="22"/>
        </w:rPr>
        <w:br w:type="page"/>
      </w:r>
    </w:p>
    <w:p w14:paraId="708C3E4B" w14:textId="77777777" w:rsidR="00B119C6" w:rsidRPr="00AA1DF1" w:rsidRDefault="00B119C6" w:rsidP="005641B0">
      <w:pPr>
        <w:pStyle w:val="OpNo"/>
      </w:pPr>
      <w:bookmarkStart w:id="6" w:name="_Hlk133586559"/>
      <w:bookmarkStart w:id="7" w:name="_Hlk133421428"/>
      <w:r w:rsidRPr="00AA1DF1">
        <w:lastRenderedPageBreak/>
        <w:t>PROJET D'AVIS 4</w:t>
      </w:r>
    </w:p>
    <w:p w14:paraId="4F3EAC4C" w14:textId="77777777" w:rsidR="00B119C6" w:rsidRPr="00AA1DF1" w:rsidRDefault="00B119C6" w:rsidP="005641B0">
      <w:pPr>
        <w:pStyle w:val="Optitle"/>
      </w:pPr>
      <w:r w:rsidRPr="00AA1DF1">
        <w:t>Connectivité spatiale</w:t>
      </w:r>
    </w:p>
    <w:bookmarkEnd w:id="6"/>
    <w:bookmarkEnd w:id="7"/>
    <w:p w14:paraId="3264AC90" w14:textId="77777777" w:rsidR="00B119C6" w:rsidRPr="00AA1DF1" w:rsidRDefault="00B119C6" w:rsidP="00434918">
      <w:pPr>
        <w:pStyle w:val="Normalaftertitle"/>
        <w:rPr>
          <w:rFonts w:eastAsia="Calibri"/>
        </w:rPr>
      </w:pPr>
      <w:r w:rsidRPr="00AA1DF1">
        <w:t>Le septième Forum mondial des politiques de télécommunication/technologies de l'information et de la communication (Nassau, 2026),</w:t>
      </w:r>
    </w:p>
    <w:p w14:paraId="5B3CD8B1" w14:textId="77777777" w:rsidR="00B119C6" w:rsidRPr="00AA1DF1" w:rsidRDefault="00B119C6" w:rsidP="00434918">
      <w:pPr>
        <w:pStyle w:val="Call"/>
      </w:pPr>
      <w:proofErr w:type="gramStart"/>
      <w:r w:rsidRPr="00AA1DF1">
        <w:t>rappelant</w:t>
      </w:r>
      <w:proofErr w:type="gramEnd"/>
    </w:p>
    <w:p w14:paraId="4851E9F9" w14:textId="77777777" w:rsidR="00B119C6" w:rsidRPr="00AA1DF1" w:rsidRDefault="00B119C6" w:rsidP="002C37AB">
      <w:pPr>
        <w:jc w:val="both"/>
        <w:rPr>
          <w:szCs w:val="24"/>
        </w:rPr>
      </w:pPr>
      <w:r w:rsidRPr="00AA1DF1">
        <w:rPr>
          <w:i/>
          <w:iCs/>
          <w:szCs w:val="24"/>
        </w:rPr>
        <w:t>a)</w:t>
      </w:r>
      <w:r w:rsidRPr="00AA1DF1">
        <w:rPr>
          <w:szCs w:val="24"/>
        </w:rPr>
        <w:tab/>
        <w:t xml:space="preserve">la Résolution 70/1 de l'Assemblée générale des Nations Unies, intitulée "Transformer notre </w:t>
      </w:r>
      <w:proofErr w:type="gramStart"/>
      <w:r w:rsidRPr="00AA1DF1">
        <w:rPr>
          <w:szCs w:val="24"/>
        </w:rPr>
        <w:t>monde:</w:t>
      </w:r>
      <w:proofErr w:type="gramEnd"/>
      <w:r w:rsidRPr="00AA1DF1">
        <w:rPr>
          <w:szCs w:val="24"/>
        </w:rPr>
        <w:t xml:space="preserve"> le Programme de développement durable à l'horizon 2030</w:t>
      </w:r>
      <w:proofErr w:type="gramStart"/>
      <w:r w:rsidRPr="00AA1DF1">
        <w:rPr>
          <w:szCs w:val="24"/>
        </w:rPr>
        <w:t>";</w:t>
      </w:r>
      <w:proofErr w:type="gramEnd"/>
    </w:p>
    <w:p w14:paraId="0989CFF9" w14:textId="77777777" w:rsidR="00B119C6" w:rsidRPr="00AA1DF1" w:rsidRDefault="00B119C6" w:rsidP="002C37AB">
      <w:pPr>
        <w:jc w:val="both"/>
        <w:rPr>
          <w:szCs w:val="24"/>
        </w:rPr>
      </w:pPr>
      <w:r w:rsidRPr="00AA1DF1">
        <w:rPr>
          <w:i/>
          <w:iCs/>
          <w:szCs w:val="24"/>
        </w:rPr>
        <w:t>b)</w:t>
      </w:r>
      <w:r w:rsidRPr="00AA1DF1">
        <w:rPr>
          <w:szCs w:val="24"/>
        </w:rPr>
        <w:tab/>
        <w:t>la Résolution 76/3 de l'Assemblée générale des Nations Unies intitulée "Programme "Espace2030</w:t>
      </w:r>
      <w:proofErr w:type="gramStart"/>
      <w:r w:rsidRPr="00AA1DF1">
        <w:rPr>
          <w:szCs w:val="24"/>
        </w:rPr>
        <w:t>":</w:t>
      </w:r>
      <w:proofErr w:type="gramEnd"/>
      <w:r w:rsidRPr="00AA1DF1">
        <w:rPr>
          <w:szCs w:val="24"/>
        </w:rPr>
        <w:t xml:space="preserve"> l'espace comme moteur du développement durable</w:t>
      </w:r>
      <w:proofErr w:type="gramStart"/>
      <w:r w:rsidRPr="00AA1DF1">
        <w:rPr>
          <w:szCs w:val="24"/>
        </w:rPr>
        <w:t>";</w:t>
      </w:r>
      <w:proofErr w:type="gramEnd"/>
    </w:p>
    <w:p w14:paraId="06FC471F" w14:textId="77777777" w:rsidR="00B119C6" w:rsidRPr="00AA1DF1" w:rsidRDefault="00B119C6" w:rsidP="002C37AB">
      <w:pPr>
        <w:jc w:val="both"/>
        <w:rPr>
          <w:szCs w:val="24"/>
        </w:rPr>
      </w:pPr>
      <w:r w:rsidRPr="00AA1DF1">
        <w:rPr>
          <w:i/>
          <w:iCs/>
          <w:szCs w:val="24"/>
        </w:rPr>
        <w:t>c)</w:t>
      </w:r>
      <w:r w:rsidRPr="00AA1DF1">
        <w:rPr>
          <w:szCs w:val="24"/>
        </w:rPr>
        <w:tab/>
        <w:t xml:space="preserve">les dispositions correspondantes de l'article 44 de la Constitution de </w:t>
      </w:r>
      <w:proofErr w:type="gramStart"/>
      <w:r w:rsidRPr="00AA1DF1">
        <w:rPr>
          <w:szCs w:val="24"/>
        </w:rPr>
        <w:t>l'UIT;</w:t>
      </w:r>
      <w:proofErr w:type="gramEnd"/>
    </w:p>
    <w:p w14:paraId="17412491" w14:textId="77777777" w:rsidR="00B119C6" w:rsidRPr="00AA1DF1" w:rsidRDefault="00B119C6" w:rsidP="002C37AB">
      <w:pPr>
        <w:jc w:val="both"/>
        <w:rPr>
          <w:szCs w:val="24"/>
        </w:rPr>
      </w:pPr>
      <w:r w:rsidRPr="00AA1DF1">
        <w:rPr>
          <w:i/>
          <w:iCs/>
          <w:szCs w:val="24"/>
        </w:rPr>
        <w:t>d)</w:t>
      </w:r>
      <w:r w:rsidRPr="00AA1DF1">
        <w:rPr>
          <w:szCs w:val="24"/>
        </w:rPr>
        <w:tab/>
        <w:t>les résolutions pertinentes de la Conférence de plénipotentiaires relatives aux réseaux et services spatiaux de télécommunication/technologies de l'information et de la communication (TIC), notamment les Résolutions 139 (Rév. Bucarest, 2022), 186 (Rév. Bucarest, 2022), 218 (Bucarest, 2022) et 219 (Bucarest, 2022</w:t>
      </w:r>
      <w:proofErr w:type="gramStart"/>
      <w:r w:rsidRPr="00AA1DF1">
        <w:rPr>
          <w:szCs w:val="24"/>
        </w:rPr>
        <w:t>);</w:t>
      </w:r>
      <w:proofErr w:type="gramEnd"/>
      <w:r w:rsidRPr="00AA1DF1">
        <w:rPr>
          <w:szCs w:val="24"/>
        </w:rPr>
        <w:t xml:space="preserve"> </w:t>
      </w:r>
    </w:p>
    <w:p w14:paraId="392479E9" w14:textId="77777777" w:rsidR="00B119C6" w:rsidRPr="00AA1DF1" w:rsidRDefault="00B119C6" w:rsidP="002C37AB">
      <w:pPr>
        <w:jc w:val="both"/>
        <w:rPr>
          <w:rFonts w:asciiTheme="minorHAnsi" w:hAnsiTheme="minorHAnsi" w:cstheme="minorHAnsi"/>
          <w:szCs w:val="24"/>
        </w:rPr>
      </w:pPr>
      <w:r w:rsidRPr="00AA1DF1">
        <w:rPr>
          <w:i/>
          <w:iCs/>
          <w:szCs w:val="24"/>
        </w:rPr>
        <w:t>e)</w:t>
      </w:r>
      <w:r w:rsidRPr="00AA1DF1">
        <w:rPr>
          <w:szCs w:val="24"/>
        </w:rPr>
        <w:tab/>
        <w:t xml:space="preserve">les résolutions pertinentes des principales conférences et assemblées des trois Secteurs de l'UIT relatives aux réseaux et services de télécommunication/TIC spatiaux, y compris, entre autres, la Résolution 22 (Rév. Dubaï, 2023) de la Conférence mondiale des </w:t>
      </w:r>
      <w:proofErr w:type="gramStart"/>
      <w:r w:rsidRPr="00AA1DF1">
        <w:rPr>
          <w:szCs w:val="24"/>
        </w:rPr>
        <w:t>radiocommunications;</w:t>
      </w:r>
      <w:proofErr w:type="gramEnd"/>
      <w:r w:rsidRPr="00AA1DF1">
        <w:rPr>
          <w:szCs w:val="24"/>
        </w:rPr>
        <w:t xml:space="preserve"> les Résolutions 11 (Rév. Bakou, 2025), 37 (Rév. Bakou, 2025) et 77 (Rév. Bakou, 2025) de la Conférence mondiale de développement des télécommunications et la Résolution 74 (Dubaï, 2023) de l'Assemblée des </w:t>
      </w:r>
      <w:proofErr w:type="gramStart"/>
      <w:r w:rsidRPr="00AA1DF1">
        <w:rPr>
          <w:szCs w:val="24"/>
        </w:rPr>
        <w:t>radiocommunications;</w:t>
      </w:r>
      <w:proofErr w:type="gramEnd"/>
    </w:p>
    <w:p w14:paraId="4765B211" w14:textId="77777777" w:rsidR="00B119C6" w:rsidRPr="00AA1DF1" w:rsidRDefault="00B119C6" w:rsidP="002C37AB">
      <w:pPr>
        <w:jc w:val="both"/>
        <w:rPr>
          <w:rFonts w:asciiTheme="minorHAnsi" w:hAnsiTheme="minorHAnsi" w:cstheme="minorHAnsi"/>
          <w:szCs w:val="24"/>
        </w:rPr>
      </w:pPr>
      <w:r w:rsidRPr="00AA1DF1">
        <w:rPr>
          <w:i/>
          <w:iCs/>
          <w:szCs w:val="24"/>
        </w:rPr>
        <w:t>f)</w:t>
      </w:r>
      <w:r w:rsidRPr="00AA1DF1">
        <w:rPr>
          <w:szCs w:val="24"/>
        </w:rPr>
        <w:tab/>
        <w:t>les dispositions pertinentes de l'Article 18 du Règlement des radiocommunications (Rév. Dubaï, 2023</w:t>
      </w:r>
      <w:proofErr w:type="gramStart"/>
      <w:r w:rsidRPr="00AA1DF1">
        <w:rPr>
          <w:szCs w:val="24"/>
        </w:rPr>
        <w:t>);</w:t>
      </w:r>
      <w:proofErr w:type="gramEnd"/>
    </w:p>
    <w:p w14:paraId="236D0886" w14:textId="77777777" w:rsidR="00B119C6" w:rsidRPr="00AA1DF1" w:rsidRDefault="00B119C6" w:rsidP="002C37AB">
      <w:pPr>
        <w:jc w:val="both"/>
        <w:rPr>
          <w:rFonts w:asciiTheme="minorHAnsi" w:hAnsiTheme="minorHAnsi" w:cstheme="minorHAnsi"/>
          <w:szCs w:val="24"/>
        </w:rPr>
      </w:pPr>
      <w:r w:rsidRPr="00AA1DF1">
        <w:rPr>
          <w:i/>
          <w:iCs/>
          <w:szCs w:val="24"/>
        </w:rPr>
        <w:t>g)</w:t>
      </w:r>
      <w:r w:rsidRPr="00AA1DF1">
        <w:rPr>
          <w:szCs w:val="24"/>
        </w:rPr>
        <w:tab/>
        <w:t>les lignes directrices sur les bonnes pratiques correspondantes élaborées lors du Colloque mondial des régulateurs (GSR),</w:t>
      </w:r>
    </w:p>
    <w:p w14:paraId="28ECC80F" w14:textId="77777777" w:rsidR="00B119C6" w:rsidRPr="00AA1DF1" w:rsidRDefault="00B119C6" w:rsidP="00434918">
      <w:pPr>
        <w:pStyle w:val="Call"/>
      </w:pPr>
      <w:proofErr w:type="gramStart"/>
      <w:r w:rsidRPr="00AA1DF1">
        <w:t>considérant</w:t>
      </w:r>
      <w:proofErr w:type="gramEnd"/>
    </w:p>
    <w:p w14:paraId="1EC3B6F3" w14:textId="77777777" w:rsidR="00B119C6" w:rsidRPr="00AA1DF1" w:rsidRDefault="00B119C6" w:rsidP="00D960FA">
      <w:pPr>
        <w:jc w:val="both"/>
        <w:rPr>
          <w:rFonts w:asciiTheme="minorHAnsi" w:eastAsia="Calibri" w:hAnsiTheme="minorHAnsi" w:cstheme="minorHAnsi"/>
          <w:szCs w:val="24"/>
        </w:rPr>
      </w:pPr>
      <w:r w:rsidRPr="00AA1DF1">
        <w:rPr>
          <w:i/>
          <w:iCs/>
          <w:szCs w:val="24"/>
        </w:rPr>
        <w:t>a)</w:t>
      </w:r>
      <w:r w:rsidRPr="00AA1DF1">
        <w:rPr>
          <w:szCs w:val="24"/>
        </w:rPr>
        <w:tab/>
        <w:t xml:space="preserve">que la sélection et la promotion d'outils et de mesures permettant d'accélérer la mise en place de réseaux et services de télécommunication/TIC spatiaux peuvent favoriser la prospérité économique mondiale, améliorer l'inclusion numérique et gommer les disparités en matière d'accès aux technologies </w:t>
      </w:r>
      <w:proofErr w:type="gramStart"/>
      <w:r w:rsidRPr="00AA1DF1">
        <w:rPr>
          <w:szCs w:val="24"/>
        </w:rPr>
        <w:t>spatiales;</w:t>
      </w:r>
      <w:proofErr w:type="gramEnd"/>
    </w:p>
    <w:p w14:paraId="554E5767" w14:textId="77777777" w:rsidR="00B119C6" w:rsidRPr="00AA1DF1" w:rsidRDefault="00B119C6" w:rsidP="00D960FA">
      <w:pPr>
        <w:jc w:val="both"/>
        <w:rPr>
          <w:rFonts w:asciiTheme="minorHAnsi" w:eastAsia="Calibri" w:hAnsiTheme="minorHAnsi" w:cstheme="minorHAnsi"/>
          <w:szCs w:val="24"/>
        </w:rPr>
      </w:pPr>
      <w:r w:rsidRPr="00AA1DF1">
        <w:rPr>
          <w:i/>
          <w:iCs/>
          <w:szCs w:val="24"/>
        </w:rPr>
        <w:t>b)</w:t>
      </w:r>
      <w:r w:rsidRPr="00AA1DF1">
        <w:rPr>
          <w:szCs w:val="24"/>
        </w:rPr>
        <w:tab/>
        <w:t xml:space="preserve">qu'il est essentiel de renforcer les outils et les plates-formes permettant une coopération internationale efficace en ce qui concerne le Règlement des radiocommunications pour permettre une participation inclusive aux télécommunications/TIC </w:t>
      </w:r>
      <w:proofErr w:type="gramStart"/>
      <w:r w:rsidRPr="00AA1DF1">
        <w:rPr>
          <w:szCs w:val="24"/>
        </w:rPr>
        <w:t>spatiales;</w:t>
      </w:r>
      <w:proofErr w:type="gramEnd"/>
    </w:p>
    <w:p w14:paraId="397BDD11" w14:textId="77777777" w:rsidR="00B119C6" w:rsidRPr="00AA1DF1" w:rsidRDefault="00B119C6" w:rsidP="00D960FA">
      <w:pPr>
        <w:jc w:val="both"/>
        <w:rPr>
          <w:rFonts w:asciiTheme="minorHAnsi" w:eastAsia="Calibri" w:hAnsiTheme="minorHAnsi" w:cstheme="minorHAnsi"/>
          <w:szCs w:val="24"/>
        </w:rPr>
      </w:pPr>
      <w:r w:rsidRPr="00AA1DF1">
        <w:rPr>
          <w:i/>
          <w:iCs/>
          <w:szCs w:val="24"/>
        </w:rPr>
        <w:t>c)</w:t>
      </w:r>
      <w:r w:rsidRPr="00AA1DF1">
        <w:rPr>
          <w:szCs w:val="24"/>
        </w:rPr>
        <w:tab/>
        <w:t xml:space="preserve">que des approches innovantes pour remédier aux incidences des débris spatiaux liés aux télécommunications/TIC peuvent contribuer à assurer la continuité à long terme des services de télécommunication/TIC </w:t>
      </w:r>
      <w:proofErr w:type="gramStart"/>
      <w:r w:rsidRPr="00AA1DF1">
        <w:rPr>
          <w:szCs w:val="24"/>
        </w:rPr>
        <w:t>spatiaux;</w:t>
      </w:r>
      <w:proofErr w:type="gramEnd"/>
    </w:p>
    <w:p w14:paraId="5FDC9610" w14:textId="77777777" w:rsidR="00B119C6" w:rsidRPr="00AA1DF1" w:rsidRDefault="00B119C6" w:rsidP="00D960FA">
      <w:pPr>
        <w:jc w:val="both"/>
        <w:rPr>
          <w:rFonts w:asciiTheme="minorHAnsi" w:eastAsia="Calibri" w:hAnsiTheme="minorHAnsi" w:cstheme="minorHAnsi"/>
          <w:szCs w:val="24"/>
        </w:rPr>
      </w:pPr>
      <w:r w:rsidRPr="00AA1DF1">
        <w:rPr>
          <w:i/>
          <w:iCs/>
          <w:szCs w:val="24"/>
        </w:rPr>
        <w:t>d)</w:t>
      </w:r>
      <w:r w:rsidRPr="00AA1DF1">
        <w:rPr>
          <w:szCs w:val="24"/>
        </w:rPr>
        <w:tab/>
        <w:t xml:space="preserve">que les gouvernements ont des </w:t>
      </w:r>
      <w:proofErr w:type="gramStart"/>
      <w:r w:rsidRPr="00AA1DF1">
        <w:rPr>
          <w:szCs w:val="24"/>
        </w:rPr>
        <w:t>opportunités à saisir</w:t>
      </w:r>
      <w:proofErr w:type="gramEnd"/>
      <w:r w:rsidRPr="00AA1DF1">
        <w:rPr>
          <w:szCs w:val="24"/>
        </w:rPr>
        <w:t xml:space="preserve"> mais aussi des difficultés à surmonter dans l'exploitation des réseaux et services de télécommunication/TIC spatiaux, et que leur rôle est crucial pour élaborer des politiques qui favorisent l'innovation, tout en garantissant une utilisation responsable du spectre des fréquences radioélectriques et des orbites de satellites </w:t>
      </w:r>
      <w:proofErr w:type="gramStart"/>
      <w:r w:rsidRPr="00AA1DF1">
        <w:rPr>
          <w:szCs w:val="24"/>
        </w:rPr>
        <w:t>associées;</w:t>
      </w:r>
      <w:proofErr w:type="gramEnd"/>
    </w:p>
    <w:p w14:paraId="2C75C931" w14:textId="77777777" w:rsidR="00B119C6" w:rsidRPr="00AA1DF1" w:rsidRDefault="00B119C6" w:rsidP="00D960FA">
      <w:pPr>
        <w:jc w:val="both"/>
        <w:rPr>
          <w:rFonts w:asciiTheme="minorHAnsi" w:eastAsia="Calibri" w:hAnsiTheme="minorHAnsi" w:cstheme="minorHAnsi"/>
          <w:szCs w:val="24"/>
        </w:rPr>
      </w:pPr>
      <w:r w:rsidRPr="00AA1DF1">
        <w:rPr>
          <w:i/>
          <w:iCs/>
          <w:szCs w:val="24"/>
        </w:rPr>
        <w:lastRenderedPageBreak/>
        <w:t>e)</w:t>
      </w:r>
      <w:r w:rsidRPr="00AA1DF1">
        <w:rPr>
          <w:szCs w:val="24"/>
        </w:rPr>
        <w:tab/>
        <w:t xml:space="preserve">que la Constitution de l'UIT reconnaît à chaque État membre le droit souverain de réglementer ses télécommunications, tant de Terre que </w:t>
      </w:r>
      <w:proofErr w:type="gramStart"/>
      <w:r w:rsidRPr="00AA1DF1">
        <w:rPr>
          <w:szCs w:val="24"/>
        </w:rPr>
        <w:t>spatiales;</w:t>
      </w:r>
      <w:proofErr w:type="gramEnd"/>
    </w:p>
    <w:p w14:paraId="3DB42D6D" w14:textId="77777777" w:rsidR="00B119C6" w:rsidRPr="00AA1DF1" w:rsidRDefault="00B119C6" w:rsidP="00D960FA">
      <w:pPr>
        <w:jc w:val="both"/>
        <w:rPr>
          <w:rFonts w:asciiTheme="minorHAnsi" w:eastAsia="Calibri" w:hAnsiTheme="minorHAnsi" w:cstheme="minorHAnsi"/>
          <w:szCs w:val="24"/>
        </w:rPr>
      </w:pPr>
      <w:r w:rsidRPr="00AA1DF1">
        <w:rPr>
          <w:i/>
          <w:iCs/>
          <w:szCs w:val="24"/>
        </w:rPr>
        <w:t>f)</w:t>
      </w:r>
      <w:r w:rsidRPr="00AA1DF1">
        <w:rPr>
          <w:szCs w:val="24"/>
        </w:rPr>
        <w:tab/>
        <w:t>que les initiatives de l'UIT, telles que le Forum sur la viabilité de l'utilisation de l'espace, sont conçues comme des occasions de présenter et d'examiner les bonnes pratiques, les lignes directrices et les stratégies nécessaires pour faire en sorte que l'espace reste accessible et son utilisation durable pour les activités spatiales actuelles et futures,</w:t>
      </w:r>
    </w:p>
    <w:p w14:paraId="443F7328" w14:textId="77777777" w:rsidR="00B119C6" w:rsidRPr="00AA1DF1" w:rsidRDefault="00B119C6" w:rsidP="00D960FA">
      <w:pPr>
        <w:pStyle w:val="Call"/>
        <w:jc w:val="both"/>
      </w:pPr>
      <w:proofErr w:type="gramStart"/>
      <w:r w:rsidRPr="00AA1DF1">
        <w:t>reconnaissant</w:t>
      </w:r>
      <w:proofErr w:type="gramEnd"/>
    </w:p>
    <w:p w14:paraId="5131A716" w14:textId="77777777" w:rsidR="00B119C6" w:rsidRPr="00AA1DF1" w:rsidRDefault="00B119C6" w:rsidP="00D960FA">
      <w:pPr>
        <w:jc w:val="both"/>
        <w:rPr>
          <w:rFonts w:asciiTheme="minorHAnsi" w:eastAsia="Aptos" w:hAnsiTheme="minorHAnsi" w:cstheme="minorHAnsi"/>
          <w:szCs w:val="24"/>
        </w:rPr>
      </w:pPr>
      <w:r w:rsidRPr="00AA1DF1">
        <w:rPr>
          <w:i/>
          <w:iCs/>
          <w:szCs w:val="24"/>
        </w:rPr>
        <w:t>a)</w:t>
      </w:r>
      <w:r w:rsidRPr="00AA1DF1">
        <w:rPr>
          <w:szCs w:val="24"/>
        </w:rPr>
        <w:tab/>
        <w:t xml:space="preserve">que le secteur privé joue un rôle de premier plan dans le déploiement des réseaux et des services de télécommunication/TIC spatiaux, et qu'il continue de concevoir des innovations technologiques et des modèles économiques innovants aux côtés d'autres parties prenantes telles que les pouvoirs publics, les établissements universitaires et la société </w:t>
      </w:r>
      <w:proofErr w:type="gramStart"/>
      <w:r w:rsidRPr="00AA1DF1">
        <w:rPr>
          <w:szCs w:val="24"/>
        </w:rPr>
        <w:t>civile;</w:t>
      </w:r>
      <w:proofErr w:type="gramEnd"/>
    </w:p>
    <w:p w14:paraId="78E3E3DC" w14:textId="77777777" w:rsidR="00B119C6" w:rsidRPr="00AA1DF1" w:rsidRDefault="00B119C6" w:rsidP="00D960FA">
      <w:pPr>
        <w:jc w:val="both"/>
        <w:rPr>
          <w:rFonts w:asciiTheme="minorHAnsi" w:eastAsia="Aptos" w:hAnsiTheme="minorHAnsi" w:cstheme="minorHAnsi"/>
          <w:szCs w:val="24"/>
        </w:rPr>
      </w:pPr>
      <w:r w:rsidRPr="00AA1DF1">
        <w:rPr>
          <w:i/>
          <w:iCs/>
          <w:szCs w:val="24"/>
        </w:rPr>
        <w:t>b)</w:t>
      </w:r>
      <w:r w:rsidRPr="00AA1DF1">
        <w:rPr>
          <w:szCs w:val="24"/>
        </w:rPr>
        <w:tab/>
        <w:t>que les réseaux et services de télécommunication/TIC spatiaux, y compris les satellites en orbite géostationnaire (OSG) et non géostationnaire (non OSG), peuvent contribuer à réduire la fracture numérique en assurant une connectivité dans de vastes zones géographiques, ce qui pourrait permettre de réaliser des économies sur le coût de déploiement du fait de la réduction des besoins en infrastructures au sol, offrant ainsi une solution résiliente pour la connectivité des personnes vivant dans des zones à faible densité de population, y compris dans les régions mal desservies, en particulier dans les pays les moins avancés (PMA), les pays en développement sans littoral (PDSL) et les petits États insulaires en développement (PEID);</w:t>
      </w:r>
    </w:p>
    <w:p w14:paraId="59A96C33" w14:textId="77777777" w:rsidR="00B119C6" w:rsidRPr="00AA1DF1" w:rsidRDefault="00B119C6" w:rsidP="00D960FA">
      <w:pPr>
        <w:jc w:val="both"/>
        <w:rPr>
          <w:rFonts w:asciiTheme="minorHAnsi" w:eastAsia="Aptos" w:hAnsiTheme="minorHAnsi" w:cstheme="minorHAnsi"/>
          <w:szCs w:val="24"/>
        </w:rPr>
      </w:pPr>
      <w:r w:rsidRPr="00AA1DF1">
        <w:rPr>
          <w:i/>
          <w:iCs/>
          <w:szCs w:val="24"/>
        </w:rPr>
        <w:t>c)</w:t>
      </w:r>
      <w:r w:rsidRPr="00AA1DF1">
        <w:rPr>
          <w:szCs w:val="24"/>
        </w:rPr>
        <w:tab/>
        <w:t xml:space="preserve">que les réseaux et services de télécommunication/TIC spatiaux utilisés par les systèmes non OSG et les systèmes OSG évoluent rapidement et que la complémentarité de ces deux systèmes constitue l'une des principales possibilités d'étendre la </w:t>
      </w:r>
      <w:proofErr w:type="gramStart"/>
      <w:r w:rsidRPr="00AA1DF1">
        <w:rPr>
          <w:szCs w:val="24"/>
        </w:rPr>
        <w:t>connectivité;</w:t>
      </w:r>
      <w:bookmarkStart w:id="8" w:name="_Hlk175572783"/>
      <w:proofErr w:type="gramEnd"/>
    </w:p>
    <w:p w14:paraId="53A8D557" w14:textId="77777777" w:rsidR="00B119C6" w:rsidRPr="00AA1DF1" w:rsidRDefault="00B119C6" w:rsidP="00D960FA">
      <w:pPr>
        <w:jc w:val="both"/>
        <w:rPr>
          <w:rFonts w:asciiTheme="minorHAnsi" w:eastAsia="Aptos" w:hAnsiTheme="minorHAnsi" w:cstheme="minorHAnsi"/>
          <w:szCs w:val="24"/>
        </w:rPr>
      </w:pPr>
      <w:r w:rsidRPr="00AA1DF1">
        <w:rPr>
          <w:i/>
          <w:iCs/>
          <w:szCs w:val="24"/>
        </w:rPr>
        <w:t>d)</w:t>
      </w:r>
      <w:r w:rsidRPr="00AA1DF1">
        <w:rPr>
          <w:szCs w:val="24"/>
        </w:rPr>
        <w:tab/>
        <w:t>que les bonnes pratiques du secteur privé, conjuguées à des cadres politiques orientés vers l'avenir, contribuent à optimiser le potentiel des réseaux et services de télécommunication/TIC </w:t>
      </w:r>
      <w:proofErr w:type="gramStart"/>
      <w:r w:rsidRPr="00AA1DF1">
        <w:rPr>
          <w:szCs w:val="24"/>
        </w:rPr>
        <w:t>spatiaux;</w:t>
      </w:r>
      <w:bookmarkEnd w:id="8"/>
      <w:proofErr w:type="gramEnd"/>
    </w:p>
    <w:p w14:paraId="0F0D4B44" w14:textId="77777777" w:rsidR="00B119C6" w:rsidRPr="00AA1DF1" w:rsidRDefault="00B119C6" w:rsidP="00D960FA">
      <w:pPr>
        <w:jc w:val="both"/>
        <w:rPr>
          <w:rFonts w:asciiTheme="minorHAnsi" w:eastAsia="Aptos" w:hAnsiTheme="minorHAnsi" w:cstheme="minorHAnsi"/>
          <w:szCs w:val="24"/>
        </w:rPr>
      </w:pPr>
      <w:r w:rsidRPr="00AA1DF1">
        <w:rPr>
          <w:i/>
          <w:iCs/>
          <w:szCs w:val="24"/>
        </w:rPr>
        <w:t>e)</w:t>
      </w:r>
      <w:r w:rsidRPr="00AA1DF1">
        <w:rPr>
          <w:szCs w:val="24"/>
        </w:rPr>
        <w:tab/>
        <w:t>que les activités de renforcement des capacités, y compris l'échange de bonnes pratiques et des manifestations telles que le Colloque mondial des régulateurs, ainsi que l'élaboration récente des lignes directrices relatives aux bonnes pratiques du GSR-24 et du GSR-25, peuvent aider les pays à suivre le rythme du déploiement rapide des réseaux et services de télécommunication/TIC spatiaux, et contribuer à éclairer les administrations dans l'élaboration d'approches réglementaires nationales en constante évolution, à mesure que les pays abordent des questions telles que l'octroi de licences et la sécurité;</w:t>
      </w:r>
    </w:p>
    <w:p w14:paraId="0C0D2F52" w14:textId="77777777" w:rsidR="00B119C6" w:rsidRPr="00AA1DF1" w:rsidRDefault="00B119C6" w:rsidP="00D960FA">
      <w:pPr>
        <w:jc w:val="both"/>
        <w:rPr>
          <w:rFonts w:asciiTheme="minorHAnsi" w:eastAsia="Aptos" w:hAnsiTheme="minorHAnsi" w:cstheme="minorHAnsi"/>
          <w:szCs w:val="24"/>
        </w:rPr>
      </w:pPr>
      <w:r w:rsidRPr="00AA1DF1">
        <w:rPr>
          <w:i/>
          <w:iCs/>
          <w:szCs w:val="24"/>
        </w:rPr>
        <w:t>f)</w:t>
      </w:r>
      <w:r w:rsidRPr="00AA1DF1">
        <w:rPr>
          <w:szCs w:val="24"/>
        </w:rPr>
        <w:tab/>
        <w:t>que l'accès équitable aux réseaux et services de télécommunication/TIC spatiaux incite à réfléchir aux problèmes qui restent à résoudre, tels que l'utilisation des ressources spatiales liées aux télécommunications/</w:t>
      </w:r>
      <w:proofErr w:type="gramStart"/>
      <w:r w:rsidRPr="00AA1DF1">
        <w:rPr>
          <w:szCs w:val="24"/>
        </w:rPr>
        <w:t>TIC;</w:t>
      </w:r>
      <w:proofErr w:type="gramEnd"/>
    </w:p>
    <w:p w14:paraId="70DD186E" w14:textId="77777777" w:rsidR="00B119C6" w:rsidRPr="00AA1DF1" w:rsidRDefault="00B119C6" w:rsidP="00D960FA">
      <w:pPr>
        <w:jc w:val="both"/>
        <w:rPr>
          <w:rFonts w:asciiTheme="minorHAnsi" w:eastAsia="Aptos" w:hAnsiTheme="minorHAnsi" w:cstheme="minorHAnsi"/>
          <w:szCs w:val="24"/>
        </w:rPr>
      </w:pPr>
      <w:r w:rsidRPr="00AA1DF1">
        <w:rPr>
          <w:i/>
          <w:iCs/>
          <w:szCs w:val="24"/>
        </w:rPr>
        <w:t>g)</w:t>
      </w:r>
      <w:r w:rsidRPr="00AA1DF1">
        <w:rPr>
          <w:szCs w:val="24"/>
        </w:rPr>
        <w:tab/>
        <w:t xml:space="preserve">que l'UIT dispose d'un mandat spécifique en matière de télécommunications/TIC, y compris les réseaux et services de télécommunication/TIC spatiaux, qui vient s'ajouter aux compétences de l'ensemble du système des Nations Unies, et que les efforts doivent être coordonnés pour éviter tout chevauchement d'activités entre les </w:t>
      </w:r>
      <w:proofErr w:type="gramStart"/>
      <w:r w:rsidRPr="00AA1DF1">
        <w:rPr>
          <w:szCs w:val="24"/>
        </w:rPr>
        <w:t>institutions;</w:t>
      </w:r>
      <w:proofErr w:type="gramEnd"/>
    </w:p>
    <w:p w14:paraId="6CFF2447" w14:textId="77777777" w:rsidR="00B119C6" w:rsidRPr="00AA1DF1" w:rsidRDefault="00B119C6" w:rsidP="00D960FA">
      <w:pPr>
        <w:jc w:val="both"/>
        <w:rPr>
          <w:rFonts w:asciiTheme="minorHAnsi" w:eastAsia="Aptos" w:hAnsiTheme="minorHAnsi" w:cstheme="minorHAnsi"/>
          <w:szCs w:val="24"/>
        </w:rPr>
      </w:pPr>
      <w:r w:rsidRPr="00AA1DF1">
        <w:rPr>
          <w:i/>
          <w:iCs/>
          <w:szCs w:val="24"/>
        </w:rPr>
        <w:t>h)</w:t>
      </w:r>
      <w:r w:rsidRPr="00AA1DF1">
        <w:rPr>
          <w:szCs w:val="24"/>
        </w:rPr>
        <w:tab/>
        <w:t>que la connectivité spatiale peut renforcer la résilience des pays et les interventions en cas de catastrophe lorsqu'elle est intégrée dans des plans nationaux de télécommunications d'urgence,</w:t>
      </w:r>
    </w:p>
    <w:p w14:paraId="131F9C6D" w14:textId="77777777" w:rsidR="00B119C6" w:rsidRPr="00AA1DF1" w:rsidRDefault="00B119C6" w:rsidP="00434918">
      <w:pPr>
        <w:pStyle w:val="Call"/>
      </w:pPr>
      <w:proofErr w:type="gramStart"/>
      <w:r w:rsidRPr="00AA1DF1">
        <w:lastRenderedPageBreak/>
        <w:t>est</w:t>
      </w:r>
      <w:proofErr w:type="gramEnd"/>
      <w:r w:rsidRPr="00AA1DF1">
        <w:t xml:space="preserve"> d'avis</w:t>
      </w:r>
    </w:p>
    <w:p w14:paraId="3EC0B2FA" w14:textId="77777777" w:rsidR="00B119C6" w:rsidRPr="00AA1DF1" w:rsidRDefault="00B119C6" w:rsidP="00D960FA">
      <w:pPr>
        <w:jc w:val="both"/>
        <w:rPr>
          <w:rFonts w:asciiTheme="minorHAnsi" w:hAnsiTheme="minorHAnsi" w:cstheme="minorHAnsi"/>
          <w:spacing w:val="-2"/>
          <w:szCs w:val="24"/>
        </w:rPr>
      </w:pPr>
      <w:r w:rsidRPr="00AA1DF1">
        <w:rPr>
          <w:szCs w:val="24"/>
        </w:rPr>
        <w:t>1</w:t>
      </w:r>
      <w:r w:rsidRPr="00AA1DF1">
        <w:rPr>
          <w:szCs w:val="24"/>
        </w:rPr>
        <w:tab/>
        <w:t xml:space="preserve">que la promotion et l'utilisation des réseaux et services de télécommunication/TIC spatiaux, indépendamment ou, le cas échéant, en complément des réseaux et services de Terre, peuvent contribuer au développement socio-économique durable, en particulier dans les zones mal desservies, notamment dans les PMA, les PDSL et les PEID, en offrant des avantages à long terme et en permettant de relever les nouveaux </w:t>
      </w:r>
      <w:proofErr w:type="gramStart"/>
      <w:r w:rsidRPr="00AA1DF1">
        <w:rPr>
          <w:szCs w:val="24"/>
        </w:rPr>
        <w:t>défis;</w:t>
      </w:r>
      <w:proofErr w:type="gramEnd"/>
    </w:p>
    <w:p w14:paraId="019EEF33" w14:textId="77777777" w:rsidR="00B119C6" w:rsidRPr="00AA1DF1" w:rsidRDefault="00B119C6" w:rsidP="00D960FA">
      <w:pPr>
        <w:widowControl w:val="0"/>
        <w:jc w:val="both"/>
        <w:rPr>
          <w:rFonts w:asciiTheme="minorHAnsi" w:hAnsiTheme="minorHAnsi" w:cstheme="minorHAnsi"/>
          <w:szCs w:val="24"/>
        </w:rPr>
      </w:pPr>
      <w:r w:rsidRPr="00AA1DF1">
        <w:rPr>
          <w:szCs w:val="24"/>
        </w:rPr>
        <w:t>2</w:t>
      </w:r>
      <w:r w:rsidRPr="00AA1DF1">
        <w:rPr>
          <w:szCs w:val="24"/>
        </w:rPr>
        <w:tab/>
        <w:t xml:space="preserve">qu'un environnement propice, fondé sur des politiques et des cadres réglementaires transparents, stables et actualisés, facilite les investissements dans les réseaux et services de télécommunication/TIC spatiaux et l'accès à ces réseaux et </w:t>
      </w:r>
      <w:proofErr w:type="gramStart"/>
      <w:r w:rsidRPr="00AA1DF1">
        <w:rPr>
          <w:szCs w:val="24"/>
        </w:rPr>
        <w:t>services;</w:t>
      </w:r>
      <w:proofErr w:type="gramEnd"/>
    </w:p>
    <w:p w14:paraId="494B2ADA" w14:textId="77777777" w:rsidR="00B119C6" w:rsidRPr="00AA1DF1" w:rsidRDefault="00B119C6" w:rsidP="00D960FA">
      <w:pPr>
        <w:jc w:val="both"/>
        <w:rPr>
          <w:rFonts w:asciiTheme="minorHAnsi" w:hAnsiTheme="minorHAnsi" w:cstheme="minorHAnsi"/>
          <w:szCs w:val="24"/>
        </w:rPr>
      </w:pPr>
      <w:r w:rsidRPr="00AA1DF1">
        <w:rPr>
          <w:szCs w:val="24"/>
        </w:rPr>
        <w:t>3</w:t>
      </w:r>
      <w:r w:rsidRPr="00AA1DF1">
        <w:rPr>
          <w:szCs w:val="24"/>
        </w:rPr>
        <w:tab/>
        <w:t xml:space="preserve">que l'adoption de méthodes technologiquement neutres quant aux objectifs de connectivité facilite le choix du consommateur et lui offre une certaine souplesse pour choisir la solution la mieux </w:t>
      </w:r>
      <w:proofErr w:type="gramStart"/>
      <w:r w:rsidRPr="00AA1DF1">
        <w:rPr>
          <w:szCs w:val="24"/>
        </w:rPr>
        <w:t>adaptée;</w:t>
      </w:r>
      <w:proofErr w:type="gramEnd"/>
    </w:p>
    <w:p w14:paraId="63B7D74B" w14:textId="77777777" w:rsidR="00B119C6" w:rsidRPr="00AA1DF1" w:rsidRDefault="00B119C6" w:rsidP="00D960FA">
      <w:pPr>
        <w:jc w:val="both"/>
        <w:rPr>
          <w:rFonts w:asciiTheme="minorHAnsi" w:hAnsiTheme="minorHAnsi" w:cstheme="minorHAnsi"/>
          <w:szCs w:val="24"/>
        </w:rPr>
      </w:pPr>
      <w:r w:rsidRPr="00AA1DF1">
        <w:rPr>
          <w:szCs w:val="24"/>
        </w:rPr>
        <w:t>4</w:t>
      </w:r>
      <w:r w:rsidRPr="00AA1DF1">
        <w:rPr>
          <w:szCs w:val="24"/>
        </w:rPr>
        <w:tab/>
        <w:t xml:space="preserve">que les administrations pourront juger utile d'envisager de mettre à jour leurs politiques et mesures réglementaires, si elles le jugent opportun, afin de s'adapter à l'innovation dans le déploiement et le développement de réseaux et de services de télécommunication/TIC par satellite, en encourageant la participation du secteur privé et en créant des conditions propices au développement des services spatiaux et de </w:t>
      </w:r>
      <w:proofErr w:type="gramStart"/>
      <w:r w:rsidRPr="00AA1DF1">
        <w:rPr>
          <w:szCs w:val="24"/>
        </w:rPr>
        <w:t>Terre;</w:t>
      </w:r>
      <w:proofErr w:type="gramEnd"/>
    </w:p>
    <w:p w14:paraId="1ECB4558" w14:textId="77777777" w:rsidR="00B119C6" w:rsidRPr="00AA1DF1" w:rsidRDefault="00B119C6" w:rsidP="00D960FA">
      <w:pPr>
        <w:jc w:val="both"/>
        <w:rPr>
          <w:rFonts w:asciiTheme="minorHAnsi" w:hAnsiTheme="minorHAnsi" w:cstheme="minorHAnsi"/>
          <w:szCs w:val="24"/>
        </w:rPr>
      </w:pPr>
      <w:r w:rsidRPr="00AA1DF1">
        <w:rPr>
          <w:szCs w:val="24"/>
        </w:rPr>
        <w:t>5</w:t>
      </w:r>
      <w:r w:rsidRPr="00AA1DF1">
        <w:rPr>
          <w:szCs w:val="24"/>
        </w:rPr>
        <w:tab/>
        <w:t xml:space="preserve">que des partenariats à l'échelle mondiale et une coopération internationale avec d'autres institutions des Nations Unies, organisations internationales et parties prenantes sont essentiels pour encourager la participation des États Membres aux activités de communication spatiale, en particulier pour les pays en développement, ce qui contribue à la réalisation des ODD, sans préjudice des priorités et des approches au niveau </w:t>
      </w:r>
      <w:proofErr w:type="gramStart"/>
      <w:r w:rsidRPr="00AA1DF1">
        <w:rPr>
          <w:szCs w:val="24"/>
        </w:rPr>
        <w:t>national;</w:t>
      </w:r>
      <w:proofErr w:type="gramEnd"/>
    </w:p>
    <w:p w14:paraId="7730066D" w14:textId="77777777" w:rsidR="00B119C6" w:rsidRPr="00AA1DF1" w:rsidRDefault="00B119C6" w:rsidP="00D960FA">
      <w:pPr>
        <w:jc w:val="both"/>
        <w:rPr>
          <w:rFonts w:asciiTheme="minorHAnsi" w:hAnsiTheme="minorHAnsi" w:cstheme="minorHAnsi"/>
          <w:szCs w:val="24"/>
        </w:rPr>
      </w:pPr>
      <w:r w:rsidRPr="00AA1DF1">
        <w:rPr>
          <w:szCs w:val="24"/>
        </w:rPr>
        <w:t>6</w:t>
      </w:r>
      <w:r w:rsidRPr="00AA1DF1">
        <w:rPr>
          <w:szCs w:val="24"/>
        </w:rPr>
        <w:tab/>
        <w:t xml:space="preserve">que l'exploration de pistes de coopération internationale et d'initiatives d'échange de connaissances peut contribuer à garantir l'égalité des chances face aux opportunités offertes par les applications et services de télécommunication/TIC </w:t>
      </w:r>
      <w:proofErr w:type="gramStart"/>
      <w:r w:rsidRPr="00AA1DF1">
        <w:rPr>
          <w:szCs w:val="24"/>
        </w:rPr>
        <w:t>spatiaux;</w:t>
      </w:r>
      <w:proofErr w:type="gramEnd"/>
    </w:p>
    <w:p w14:paraId="08736C0D" w14:textId="77777777" w:rsidR="00B119C6" w:rsidRPr="00AA1DF1" w:rsidRDefault="00B119C6" w:rsidP="00D960FA">
      <w:pPr>
        <w:jc w:val="both"/>
        <w:rPr>
          <w:rFonts w:asciiTheme="minorHAnsi" w:hAnsiTheme="minorHAnsi" w:cstheme="minorHAnsi"/>
          <w:szCs w:val="24"/>
        </w:rPr>
      </w:pPr>
      <w:r w:rsidRPr="00AA1DF1">
        <w:rPr>
          <w:szCs w:val="24"/>
        </w:rPr>
        <w:t>7</w:t>
      </w:r>
      <w:r w:rsidRPr="00AA1DF1">
        <w:rPr>
          <w:szCs w:val="24"/>
        </w:rPr>
        <w:tab/>
        <w:t xml:space="preserve">que l'appui à la recherche et à l'innovation peut contribuer à la viabilité à long terme des activités de télécommunication/TIC spatiales, en favorisant la collaboration entre les entités concernées, dans le cadre de leur mandat, et la coopération multi-parties prenantes, y compris avec le secteur </w:t>
      </w:r>
      <w:proofErr w:type="gramStart"/>
      <w:r w:rsidRPr="00AA1DF1">
        <w:rPr>
          <w:szCs w:val="24"/>
        </w:rPr>
        <w:t>privé;</w:t>
      </w:r>
      <w:proofErr w:type="gramEnd"/>
    </w:p>
    <w:p w14:paraId="4F04EA4A" w14:textId="77777777" w:rsidR="00B119C6" w:rsidRPr="00AA1DF1" w:rsidRDefault="00B119C6" w:rsidP="00D960FA">
      <w:pPr>
        <w:jc w:val="both"/>
        <w:rPr>
          <w:rFonts w:asciiTheme="minorHAnsi" w:hAnsiTheme="minorHAnsi" w:cstheme="minorHAnsi"/>
          <w:szCs w:val="24"/>
        </w:rPr>
      </w:pPr>
      <w:r w:rsidRPr="00AA1DF1">
        <w:rPr>
          <w:szCs w:val="24"/>
        </w:rPr>
        <w:t>8</w:t>
      </w:r>
      <w:r w:rsidRPr="00AA1DF1">
        <w:rPr>
          <w:szCs w:val="24"/>
        </w:rPr>
        <w:tab/>
        <w:t>que les investissements des secteurs public et privé dans les télécommunications/TIC spatiales jouent un rôle important dans le développement de la connectivité et que l'élimination des obstacles à l'investissement peut encourager l'innovation et accroître l'accès à la connectivité,</w:t>
      </w:r>
    </w:p>
    <w:p w14:paraId="0A9D023C" w14:textId="77777777" w:rsidR="00B119C6" w:rsidRPr="00AA1DF1" w:rsidRDefault="00B119C6" w:rsidP="00434918">
      <w:pPr>
        <w:pStyle w:val="Call"/>
      </w:pPr>
      <w:proofErr w:type="gramStart"/>
      <w:r w:rsidRPr="00AA1DF1">
        <w:t>invite</w:t>
      </w:r>
      <w:proofErr w:type="gramEnd"/>
      <w:r w:rsidRPr="00AA1DF1">
        <w:t xml:space="preserve"> les États Membres</w:t>
      </w:r>
    </w:p>
    <w:p w14:paraId="446B7A1C" w14:textId="77777777" w:rsidR="00B119C6" w:rsidRPr="00AA1DF1" w:rsidRDefault="00B119C6" w:rsidP="00D960FA">
      <w:pPr>
        <w:jc w:val="both"/>
        <w:rPr>
          <w:rFonts w:asciiTheme="minorHAnsi" w:hAnsiTheme="minorHAnsi" w:cstheme="minorHAnsi"/>
          <w:szCs w:val="24"/>
        </w:rPr>
      </w:pPr>
      <w:r w:rsidRPr="00AA1DF1">
        <w:rPr>
          <w:szCs w:val="24"/>
        </w:rPr>
        <w:t>1</w:t>
      </w:r>
      <w:r w:rsidRPr="00AA1DF1">
        <w:rPr>
          <w:szCs w:val="24"/>
        </w:rPr>
        <w:tab/>
        <w:t xml:space="preserve">à envisager d'adopter des mesures politiques et réglementaires qui permettent de faciliter l'accès aux réseaux et services de télécommunication/TIC spatiaux, ainsi qu'il ressort du point 4 du </w:t>
      </w:r>
      <w:r w:rsidRPr="00AA1DF1">
        <w:rPr>
          <w:i/>
          <w:iCs/>
          <w:szCs w:val="24"/>
        </w:rPr>
        <w:t xml:space="preserve">est </w:t>
      </w:r>
      <w:proofErr w:type="gramStart"/>
      <w:r w:rsidRPr="00AA1DF1">
        <w:rPr>
          <w:i/>
          <w:iCs/>
          <w:szCs w:val="24"/>
        </w:rPr>
        <w:t>d'avis</w:t>
      </w:r>
      <w:r w:rsidRPr="00AA1DF1">
        <w:rPr>
          <w:szCs w:val="24"/>
        </w:rPr>
        <w:t>;</w:t>
      </w:r>
      <w:proofErr w:type="gramEnd"/>
    </w:p>
    <w:p w14:paraId="6A38547E" w14:textId="77777777" w:rsidR="00B119C6" w:rsidRPr="00AA1DF1" w:rsidRDefault="00B119C6" w:rsidP="00D960FA">
      <w:pPr>
        <w:jc w:val="both"/>
        <w:rPr>
          <w:rFonts w:asciiTheme="minorHAnsi" w:eastAsia="Calibri" w:hAnsiTheme="minorHAnsi" w:cstheme="minorHAnsi"/>
          <w:szCs w:val="24"/>
        </w:rPr>
      </w:pPr>
      <w:r w:rsidRPr="00AA1DF1">
        <w:rPr>
          <w:szCs w:val="24"/>
        </w:rPr>
        <w:t>2</w:t>
      </w:r>
      <w:r w:rsidRPr="00AA1DF1">
        <w:rPr>
          <w:szCs w:val="24"/>
        </w:rPr>
        <w:tab/>
        <w:t>à envisager des approches technologiquement inclusives pour atteindre les objectifs de connectivité, en s'appuyant sur les bonnes pratiques qui offrent aux consommateurs et aux fournisseurs la flexibilité nécessaire pour choisir la technologie la mieux adaptée à leurs besoins à l'échelle locale,</w:t>
      </w:r>
    </w:p>
    <w:p w14:paraId="0E0E5B30" w14:textId="77777777" w:rsidR="00B119C6" w:rsidRPr="00AA1DF1" w:rsidRDefault="00B119C6" w:rsidP="00434918">
      <w:pPr>
        <w:pStyle w:val="Call"/>
      </w:pPr>
      <w:proofErr w:type="gramStart"/>
      <w:r w:rsidRPr="00AA1DF1">
        <w:lastRenderedPageBreak/>
        <w:t>invite</w:t>
      </w:r>
      <w:proofErr w:type="gramEnd"/>
      <w:r w:rsidRPr="00AA1DF1">
        <w:t xml:space="preserve"> les États Membres, les Membres de Secteur et les autres parties prenantes à collaborer afin</w:t>
      </w:r>
    </w:p>
    <w:p w14:paraId="57CD0C1D" w14:textId="77777777" w:rsidR="00B119C6" w:rsidRPr="00AA1DF1" w:rsidRDefault="00B119C6" w:rsidP="00D960FA">
      <w:pPr>
        <w:jc w:val="both"/>
        <w:rPr>
          <w:rFonts w:asciiTheme="minorHAnsi" w:eastAsia="Calibri" w:hAnsiTheme="minorHAnsi" w:cstheme="minorHAnsi"/>
          <w:szCs w:val="24"/>
        </w:rPr>
      </w:pPr>
      <w:r w:rsidRPr="00AA1DF1">
        <w:rPr>
          <w:szCs w:val="24"/>
        </w:rPr>
        <w:t>1</w:t>
      </w:r>
      <w:r w:rsidRPr="00AA1DF1">
        <w:rPr>
          <w:szCs w:val="24"/>
        </w:rPr>
        <w:tab/>
        <w:t xml:space="preserve">d'envisager de participer activement aux instances internationales pertinentes consacrées aux télécommunications/TIC spatiales, dans le but de réduire la fracture </w:t>
      </w:r>
      <w:proofErr w:type="gramStart"/>
      <w:r w:rsidRPr="00AA1DF1">
        <w:rPr>
          <w:szCs w:val="24"/>
        </w:rPr>
        <w:t>numérique;</w:t>
      </w:r>
      <w:proofErr w:type="gramEnd"/>
    </w:p>
    <w:p w14:paraId="70569FE8" w14:textId="77777777" w:rsidR="00B119C6" w:rsidRPr="00AA1DF1" w:rsidRDefault="00B119C6" w:rsidP="00D960FA">
      <w:pPr>
        <w:jc w:val="both"/>
        <w:rPr>
          <w:rFonts w:asciiTheme="minorHAnsi" w:eastAsia="Calibri" w:hAnsiTheme="minorHAnsi" w:cstheme="minorHAnsi"/>
          <w:szCs w:val="24"/>
        </w:rPr>
      </w:pPr>
      <w:r w:rsidRPr="00AA1DF1">
        <w:rPr>
          <w:szCs w:val="24"/>
        </w:rPr>
        <w:t>2</w:t>
      </w:r>
      <w:r w:rsidRPr="00AA1DF1">
        <w:rPr>
          <w:szCs w:val="24"/>
        </w:rPr>
        <w:tab/>
        <w:t xml:space="preserve">de renforcer les partenariats mondiaux et d'intensifier la coopération pour promouvoir et exploiter les réseaux et services de télécommunication/TIC spatiaux au service du développement </w:t>
      </w:r>
      <w:proofErr w:type="gramStart"/>
      <w:r w:rsidRPr="00AA1DF1">
        <w:rPr>
          <w:szCs w:val="24"/>
        </w:rPr>
        <w:t>durable;</w:t>
      </w:r>
      <w:proofErr w:type="gramEnd"/>
    </w:p>
    <w:p w14:paraId="46416C49" w14:textId="77777777" w:rsidR="00B119C6" w:rsidRPr="00AA1DF1" w:rsidRDefault="00B119C6" w:rsidP="00D960FA">
      <w:pPr>
        <w:jc w:val="both"/>
        <w:rPr>
          <w:rFonts w:asciiTheme="minorHAnsi" w:eastAsia="Calibri" w:hAnsiTheme="minorHAnsi" w:cstheme="minorHAnsi"/>
          <w:szCs w:val="24"/>
        </w:rPr>
      </w:pPr>
      <w:bookmarkStart w:id="9" w:name="_Hlk219985672"/>
      <w:r w:rsidRPr="00AA1DF1">
        <w:rPr>
          <w:szCs w:val="24"/>
        </w:rPr>
        <w:t>3</w:t>
      </w:r>
      <w:r w:rsidRPr="00AA1DF1">
        <w:rPr>
          <w:szCs w:val="24"/>
        </w:rPr>
        <w:tab/>
        <w:t xml:space="preserve">de promouvoir la collaboration et l'échange de bonnes pratiques concernant les cadres politiques et réglementaires applicables aux réseaux et services de télécommunication/TIC </w:t>
      </w:r>
      <w:proofErr w:type="gramStart"/>
      <w:r w:rsidRPr="00AA1DF1">
        <w:rPr>
          <w:szCs w:val="24"/>
        </w:rPr>
        <w:t>spatiaux;</w:t>
      </w:r>
      <w:proofErr w:type="gramEnd"/>
    </w:p>
    <w:bookmarkEnd w:id="9"/>
    <w:p w14:paraId="56E400AA" w14:textId="77777777" w:rsidR="00B119C6" w:rsidRPr="00AA1DF1" w:rsidRDefault="00B119C6" w:rsidP="00D960FA">
      <w:pPr>
        <w:jc w:val="both"/>
        <w:rPr>
          <w:rFonts w:asciiTheme="minorHAnsi" w:eastAsia="Calibri" w:hAnsiTheme="minorHAnsi" w:cstheme="minorHAnsi"/>
          <w:szCs w:val="24"/>
        </w:rPr>
      </w:pPr>
      <w:r w:rsidRPr="00AA1DF1">
        <w:rPr>
          <w:szCs w:val="24"/>
        </w:rPr>
        <w:t>4</w:t>
      </w:r>
      <w:r w:rsidRPr="00AA1DF1">
        <w:rPr>
          <w:szCs w:val="24"/>
        </w:rPr>
        <w:tab/>
        <w:t xml:space="preserve">de faciliter la collaboration entre les opérateurs de réseaux de Terre et les opérateurs de télécommunications/TIC spatiaux non terrestres, afin de tirer parti des technologies et des services de télécommunication/TIC nouveaux et </w:t>
      </w:r>
      <w:proofErr w:type="gramStart"/>
      <w:r w:rsidRPr="00AA1DF1">
        <w:rPr>
          <w:szCs w:val="24"/>
        </w:rPr>
        <w:t>émergents;</w:t>
      </w:r>
      <w:proofErr w:type="gramEnd"/>
    </w:p>
    <w:p w14:paraId="03FA52ED" w14:textId="77777777" w:rsidR="00B119C6" w:rsidRPr="00AA1DF1" w:rsidRDefault="00B119C6" w:rsidP="00D960FA">
      <w:pPr>
        <w:jc w:val="both"/>
        <w:rPr>
          <w:rFonts w:asciiTheme="minorHAnsi" w:eastAsia="Calibri" w:hAnsiTheme="minorHAnsi" w:cstheme="minorHAnsi"/>
          <w:szCs w:val="24"/>
        </w:rPr>
      </w:pPr>
      <w:r w:rsidRPr="00AA1DF1">
        <w:rPr>
          <w:szCs w:val="24"/>
        </w:rPr>
        <w:t>5</w:t>
      </w:r>
      <w:r w:rsidRPr="00AA1DF1">
        <w:rPr>
          <w:szCs w:val="24"/>
        </w:rPr>
        <w:tab/>
        <w:t>de renforcer les cadres politiques et réglementaires en vue du développement et du déploiement des réseaux et services de télécommunication/TIC spatiaux,</w:t>
      </w:r>
    </w:p>
    <w:p w14:paraId="354C076B" w14:textId="77777777" w:rsidR="00B119C6" w:rsidRPr="00AA1DF1" w:rsidRDefault="00B119C6" w:rsidP="00434918">
      <w:pPr>
        <w:pStyle w:val="Call"/>
      </w:pPr>
      <w:proofErr w:type="gramStart"/>
      <w:r w:rsidRPr="00AA1DF1">
        <w:t>invite</w:t>
      </w:r>
      <w:proofErr w:type="gramEnd"/>
      <w:r w:rsidRPr="00AA1DF1">
        <w:t xml:space="preserve"> la Secrétaire générale, en collaboration étroite avec le Directeur du Bureau des radiocommunications et le Directeur du Bureau de développement des télécommunications</w:t>
      </w:r>
    </w:p>
    <w:p w14:paraId="40C56BFD" w14:textId="77777777" w:rsidR="00B119C6" w:rsidRPr="00AA1DF1" w:rsidRDefault="00B119C6" w:rsidP="00D960FA">
      <w:pPr>
        <w:jc w:val="both"/>
        <w:rPr>
          <w:rFonts w:asciiTheme="minorHAnsi" w:eastAsia="Calibri" w:hAnsiTheme="minorHAnsi" w:cstheme="minorHAnsi"/>
          <w:szCs w:val="24"/>
        </w:rPr>
      </w:pPr>
      <w:r w:rsidRPr="00AA1DF1">
        <w:rPr>
          <w:szCs w:val="24"/>
        </w:rPr>
        <w:t>1</w:t>
      </w:r>
      <w:r w:rsidRPr="00AA1DF1">
        <w:rPr>
          <w:szCs w:val="24"/>
        </w:rPr>
        <w:tab/>
        <w:t>à continuer de faciliter et d'intensifier les efforts déployés par l'UIT pour promouvoir l'accès aux réseaux et services de télécommunication/TIC spatiaux, dans le cadre des efforts déployés plus largement par l'UIT pour assurer une connectivité universelle et efficace et l'utilisation durable par le secteur des télécommunications/TIC des ressources de connectivité dans l'espace extra</w:t>
      </w:r>
      <w:r w:rsidRPr="00AA1DF1">
        <w:rPr>
          <w:szCs w:val="24"/>
        </w:rPr>
        <w:noBreakHyphen/>
        <w:t xml:space="preserve">atmosphérique, telles que le spectre des fréquences radioélectriques et les orbites </w:t>
      </w:r>
      <w:proofErr w:type="gramStart"/>
      <w:r w:rsidRPr="00AA1DF1">
        <w:rPr>
          <w:szCs w:val="24"/>
        </w:rPr>
        <w:t>associées;</w:t>
      </w:r>
      <w:proofErr w:type="gramEnd"/>
    </w:p>
    <w:p w14:paraId="70CC93C3" w14:textId="77777777" w:rsidR="00B119C6" w:rsidRPr="00AA1DF1" w:rsidRDefault="00B119C6" w:rsidP="00D960FA">
      <w:pPr>
        <w:jc w:val="both"/>
        <w:rPr>
          <w:rFonts w:asciiTheme="minorHAnsi" w:eastAsia="Calibri" w:hAnsiTheme="minorHAnsi" w:cstheme="minorHAnsi"/>
          <w:szCs w:val="24"/>
        </w:rPr>
      </w:pPr>
      <w:r w:rsidRPr="00AA1DF1">
        <w:rPr>
          <w:szCs w:val="24"/>
        </w:rPr>
        <w:t>2</w:t>
      </w:r>
      <w:r w:rsidRPr="00AA1DF1">
        <w:rPr>
          <w:szCs w:val="24"/>
        </w:rPr>
        <w:tab/>
        <w:t>à continuer d'aider les régulateurs et les décideurs politiques en renforçant leurs capacités grâce à la mise au point d'outils et de ressources, notamment des études de cas illustrant les bonnes pratiques actuelles en matière de télécommunications/TIC spatiales.</w:t>
      </w:r>
    </w:p>
    <w:p w14:paraId="734D8B49" w14:textId="77777777" w:rsidR="00B119C6" w:rsidRPr="00AA1DF1" w:rsidRDefault="00B119C6" w:rsidP="00B119C6">
      <w:pPr>
        <w:tabs>
          <w:tab w:val="clear" w:pos="1134"/>
          <w:tab w:val="clear" w:pos="1701"/>
          <w:tab w:val="clear" w:pos="2268"/>
          <w:tab w:val="clear" w:pos="2835"/>
        </w:tabs>
        <w:overflowPunct/>
        <w:autoSpaceDE/>
        <w:autoSpaceDN/>
        <w:adjustRightInd/>
        <w:spacing w:before="0"/>
        <w:textAlignment w:val="auto"/>
        <w:rPr>
          <w:rFonts w:asciiTheme="minorHAnsi" w:eastAsia="Calibri" w:hAnsiTheme="minorHAnsi" w:cstheme="minorHAnsi"/>
          <w:szCs w:val="24"/>
          <w:lang w:eastAsia="zh-CN"/>
        </w:rPr>
      </w:pPr>
      <w:r w:rsidRPr="00AA1DF1">
        <w:rPr>
          <w:rFonts w:asciiTheme="minorHAnsi" w:eastAsia="Calibri" w:hAnsiTheme="minorHAnsi" w:cstheme="minorHAnsi"/>
          <w:szCs w:val="24"/>
          <w:lang w:eastAsia="zh-CN"/>
        </w:rPr>
        <w:br w:type="page"/>
      </w:r>
    </w:p>
    <w:p w14:paraId="00E55BA5" w14:textId="77777777" w:rsidR="00B119C6" w:rsidRPr="00AA1DF1" w:rsidRDefault="00B119C6" w:rsidP="005641B0">
      <w:pPr>
        <w:pStyle w:val="OpNo"/>
      </w:pPr>
      <w:r w:rsidRPr="00AA1DF1">
        <w:lastRenderedPageBreak/>
        <w:t>PROJET D'AVIS 5</w:t>
      </w:r>
    </w:p>
    <w:p w14:paraId="79F9809C" w14:textId="77777777" w:rsidR="00B119C6" w:rsidRPr="00AA1DF1" w:rsidRDefault="00B119C6" w:rsidP="005641B0">
      <w:pPr>
        <w:pStyle w:val="Optitle"/>
      </w:pPr>
      <w:r w:rsidRPr="00AA1DF1">
        <w:t>Renforcement des écosystèmes de l'innovation</w:t>
      </w:r>
      <w:r w:rsidRPr="00AA1DF1">
        <w:br/>
        <w:t>et de l'entrepreneuriat centrés sur les TIC</w:t>
      </w:r>
    </w:p>
    <w:p w14:paraId="73C7DF4D" w14:textId="77777777" w:rsidR="00B119C6" w:rsidRPr="00AA1DF1" w:rsidRDefault="00B119C6" w:rsidP="00D960FA">
      <w:pPr>
        <w:pStyle w:val="Normalaftertitle"/>
        <w:jc w:val="both"/>
        <w:rPr>
          <w:rFonts w:asciiTheme="minorHAnsi" w:hAnsiTheme="minorHAnsi" w:cstheme="minorHAnsi"/>
          <w:szCs w:val="24"/>
        </w:rPr>
      </w:pPr>
      <w:r w:rsidRPr="00AA1DF1">
        <w:rPr>
          <w:szCs w:val="24"/>
        </w:rPr>
        <w:t>Le septième Forum mondial des politiques de télécommunication/technologies de l'information et de la communication (Nassau, 2026),</w:t>
      </w:r>
    </w:p>
    <w:p w14:paraId="55CE714D" w14:textId="77777777" w:rsidR="00B119C6" w:rsidRPr="00AA1DF1" w:rsidRDefault="00B119C6" w:rsidP="00434918">
      <w:pPr>
        <w:pStyle w:val="Call"/>
      </w:pPr>
      <w:proofErr w:type="gramStart"/>
      <w:r w:rsidRPr="00AA1DF1">
        <w:t>rappelant</w:t>
      </w:r>
      <w:proofErr w:type="gramEnd"/>
    </w:p>
    <w:p w14:paraId="6BDD7934" w14:textId="77777777" w:rsidR="00B119C6" w:rsidRPr="00AA1DF1" w:rsidRDefault="00B119C6" w:rsidP="00D960FA">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a)</w:t>
      </w:r>
      <w:r w:rsidRPr="00AA1DF1">
        <w:rPr>
          <w:szCs w:val="24"/>
        </w:rPr>
        <w:tab/>
        <w:t>la Résolution 80/173 de l'Assemblée générale des Nations Unies, intitulée "Document final de la réunion de haut niveau de l'Assemblée générale sur l'examen d'ensemble de la mise en œuvre des textes issus du Sommet mondial sur la société de l'information" (SMSI+20</w:t>
      </w:r>
      <w:proofErr w:type="gramStart"/>
      <w:r w:rsidRPr="00AA1DF1">
        <w:rPr>
          <w:szCs w:val="24"/>
        </w:rPr>
        <w:t>);</w:t>
      </w:r>
      <w:proofErr w:type="gramEnd"/>
    </w:p>
    <w:p w14:paraId="2A7F9EC0" w14:textId="77777777" w:rsidR="00B119C6" w:rsidRPr="00AA1DF1" w:rsidRDefault="00B119C6" w:rsidP="00D960FA">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b)</w:t>
      </w:r>
      <w:r w:rsidRPr="00AA1DF1">
        <w:rPr>
          <w:szCs w:val="24"/>
        </w:rPr>
        <w:tab/>
        <w:t>la Résolution 79/1 de l'Assemblée générale des Nations Unies, intitulée "Le Pacte pour l'avenir</w:t>
      </w:r>
      <w:proofErr w:type="gramStart"/>
      <w:r w:rsidRPr="00AA1DF1">
        <w:rPr>
          <w:szCs w:val="24"/>
        </w:rPr>
        <w:t>";</w:t>
      </w:r>
      <w:proofErr w:type="gramEnd"/>
    </w:p>
    <w:p w14:paraId="7CFA0416" w14:textId="77777777" w:rsidR="00B119C6" w:rsidRPr="00AA1DF1" w:rsidRDefault="00B119C6" w:rsidP="00D960FA">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c)</w:t>
      </w:r>
      <w:r w:rsidRPr="00AA1DF1">
        <w:rPr>
          <w:szCs w:val="24"/>
        </w:rPr>
        <w:tab/>
        <w:t>la Résolution 70/1 de l'Assemblée générale des Nations Unies, intitulée "Transformer notre monde: le Programme de développement durable à l'horizon 2030", en particulier l'Objectif de développement durable 8 qui vise à promouvoir une croissance économique soutenue, partagée et durable, le plein emploi productif et un travail décent pour tous, et l'Objectif de développement durable 9 dont l'objectif est de bâtir une infrastructure résiliente, promouvoir une industrialisation durable qui profite à tous et encourager l'innovation;</w:t>
      </w:r>
    </w:p>
    <w:p w14:paraId="1E7BC61E" w14:textId="77777777" w:rsidR="00B119C6" w:rsidRPr="00AA1DF1" w:rsidRDefault="00B119C6" w:rsidP="00D960FA">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d)</w:t>
      </w:r>
      <w:r w:rsidRPr="00AA1DF1">
        <w:rPr>
          <w:szCs w:val="24"/>
        </w:rPr>
        <w:tab/>
        <w:t>la Résolution 198 (Rév. Bucarest, 2022) de la Conférence de plénipotentiaires, intitulée "Autonomisation des jeunes au moyen des télécommunications et des technologies de l'information et de la communication</w:t>
      </w:r>
      <w:proofErr w:type="gramStart"/>
      <w:r w:rsidRPr="00AA1DF1">
        <w:rPr>
          <w:szCs w:val="24"/>
        </w:rPr>
        <w:t>";</w:t>
      </w:r>
      <w:proofErr w:type="gramEnd"/>
    </w:p>
    <w:p w14:paraId="0D6C25C6" w14:textId="77777777" w:rsidR="00B119C6" w:rsidRPr="00AA1DF1" w:rsidRDefault="00B119C6" w:rsidP="00D960FA">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e)</w:t>
      </w:r>
      <w:r w:rsidRPr="00AA1DF1">
        <w:rPr>
          <w:szCs w:val="24"/>
        </w:rPr>
        <w:tab/>
        <w:t xml:space="preserve">la Résolution 205 (Rév. Bucarest, 2022) de la Conférence de plénipotentiaires sur le rôle de l'UIT dans la promotion d'une innovation centrée sur les télécommunications/TIC pour appuyer l'économie et la société </w:t>
      </w:r>
      <w:proofErr w:type="gramStart"/>
      <w:r w:rsidRPr="00AA1DF1">
        <w:rPr>
          <w:szCs w:val="24"/>
        </w:rPr>
        <w:t>numériques;</w:t>
      </w:r>
      <w:proofErr w:type="gramEnd"/>
    </w:p>
    <w:p w14:paraId="08F1CB3D" w14:textId="77777777" w:rsidR="00B119C6" w:rsidRPr="00AA1DF1" w:rsidRDefault="00B119C6" w:rsidP="00D960FA">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f)</w:t>
      </w:r>
      <w:r w:rsidRPr="00AA1DF1">
        <w:rPr>
          <w:szCs w:val="24"/>
        </w:rPr>
        <w:tab/>
        <w:t>la Résolution 209 (Rév. Bucarest, 2022) de la Conférence de plénipotentiaires, intitulée "Encourager la participation des petites et moyennes entreprises aux travaux de l'Union",</w:t>
      </w:r>
    </w:p>
    <w:p w14:paraId="3F0EA061" w14:textId="77777777" w:rsidR="00B119C6" w:rsidRPr="00AA1DF1" w:rsidRDefault="00B119C6" w:rsidP="00434918">
      <w:pPr>
        <w:pStyle w:val="Call"/>
      </w:pPr>
      <w:proofErr w:type="gramStart"/>
      <w:r w:rsidRPr="00AA1DF1">
        <w:t>reconnaissant</w:t>
      </w:r>
      <w:proofErr w:type="gramEnd"/>
    </w:p>
    <w:p w14:paraId="2F2B6C13" w14:textId="77777777" w:rsidR="00B119C6" w:rsidRPr="00AA1DF1" w:rsidRDefault="00B119C6" w:rsidP="00D960FA">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a)</w:t>
      </w:r>
      <w:r w:rsidRPr="00AA1DF1">
        <w:rPr>
          <w:szCs w:val="24"/>
        </w:rPr>
        <w:tab/>
        <w:t xml:space="preserve">que les écosystèmes de l'innovation centrés sur les TIC peuvent favoriser le développement socio-économique et redynamiser les communautés, en réglant les problèmes environnementaux et en favorisant le développement durable tout en renforçant l'inclusion, en permettant de réaliser des économies d'échelle et en réduisant la fracture </w:t>
      </w:r>
      <w:proofErr w:type="gramStart"/>
      <w:r w:rsidRPr="00AA1DF1">
        <w:rPr>
          <w:szCs w:val="24"/>
        </w:rPr>
        <w:t>numérique;</w:t>
      </w:r>
      <w:proofErr w:type="gramEnd"/>
    </w:p>
    <w:p w14:paraId="2FDDEFA4" w14:textId="77777777" w:rsidR="00B119C6" w:rsidRPr="00AA1DF1" w:rsidRDefault="00B119C6" w:rsidP="00D960FA">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b)</w:t>
      </w:r>
      <w:r w:rsidRPr="00AA1DF1">
        <w:rPr>
          <w:szCs w:val="24"/>
        </w:rPr>
        <w:tab/>
        <w:t xml:space="preserve">que les jeunes, qui sont nés à l'ère du numérique, ont un rôle important à jouer dans les écosystèmes de l'innovation et l'entrepreneuriat centrés sur les </w:t>
      </w:r>
      <w:proofErr w:type="gramStart"/>
      <w:r w:rsidRPr="00AA1DF1">
        <w:rPr>
          <w:szCs w:val="24"/>
        </w:rPr>
        <w:t>TIC;</w:t>
      </w:r>
      <w:proofErr w:type="gramEnd"/>
    </w:p>
    <w:p w14:paraId="703F3F24" w14:textId="77777777" w:rsidR="00B119C6" w:rsidRPr="00AA1DF1" w:rsidRDefault="00B119C6" w:rsidP="00D960FA">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c)</w:t>
      </w:r>
      <w:r w:rsidRPr="00AA1DF1">
        <w:rPr>
          <w:szCs w:val="24"/>
        </w:rPr>
        <w:tab/>
        <w:t xml:space="preserve">qu'il est essentiel de soutenir les écosystèmes de l'innovation et l'entrepreneuriat centrés sur les TIC, notamment en favorisant un environnement propice, pour assurer la transformation et l'inclusion </w:t>
      </w:r>
      <w:proofErr w:type="gramStart"/>
      <w:r w:rsidRPr="00AA1DF1">
        <w:rPr>
          <w:szCs w:val="24"/>
        </w:rPr>
        <w:t>numériques;</w:t>
      </w:r>
      <w:proofErr w:type="gramEnd"/>
    </w:p>
    <w:p w14:paraId="45663CBE" w14:textId="77777777" w:rsidR="00B119C6" w:rsidRPr="00AA1DF1" w:rsidRDefault="00B119C6" w:rsidP="00D960FA">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d)</w:t>
      </w:r>
      <w:r w:rsidRPr="00AA1DF1">
        <w:rPr>
          <w:szCs w:val="24"/>
        </w:rPr>
        <w:tab/>
        <w:t xml:space="preserve">que les entrepreneurs de start-up et </w:t>
      </w:r>
      <w:proofErr w:type="gramStart"/>
      <w:r w:rsidRPr="00AA1DF1">
        <w:rPr>
          <w:szCs w:val="24"/>
        </w:rPr>
        <w:t>les micro</w:t>
      </w:r>
      <w:proofErr w:type="gramEnd"/>
      <w:r w:rsidRPr="00AA1DF1">
        <w:rPr>
          <w:szCs w:val="24"/>
        </w:rPr>
        <w:t xml:space="preserve">, petites et moyennes entreprises (MPME), en particulier dans les pays en développement et les zones non desservies ou mal desservies, peuvent être confrontés à des problèmes liés à l'innovation centrée sur les TIC et que ces problèmes devraient être abordés de manière </w:t>
      </w:r>
      <w:proofErr w:type="gramStart"/>
      <w:r w:rsidRPr="00AA1DF1">
        <w:rPr>
          <w:szCs w:val="24"/>
        </w:rPr>
        <w:t>globale;</w:t>
      </w:r>
      <w:proofErr w:type="gramEnd"/>
    </w:p>
    <w:p w14:paraId="7E3517D1" w14:textId="77777777" w:rsidR="00B119C6" w:rsidRPr="00AA1DF1" w:rsidRDefault="00B119C6" w:rsidP="00D960FA">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lastRenderedPageBreak/>
        <w:t>e)</w:t>
      </w:r>
      <w:r w:rsidRPr="00AA1DF1">
        <w:rPr>
          <w:szCs w:val="24"/>
        </w:rPr>
        <w:tab/>
        <w:t xml:space="preserve">que la fracture numérique constitue un obstacle majeur à l'entrepreneuriat dans le secteur des télécommunications/TIC et à l'innovation centrée sur les </w:t>
      </w:r>
      <w:proofErr w:type="gramStart"/>
      <w:r w:rsidRPr="00AA1DF1">
        <w:rPr>
          <w:szCs w:val="24"/>
        </w:rPr>
        <w:t>TIC;</w:t>
      </w:r>
      <w:proofErr w:type="gramEnd"/>
    </w:p>
    <w:p w14:paraId="55DFA21D" w14:textId="77777777" w:rsidR="00B119C6" w:rsidRPr="00AA1DF1" w:rsidRDefault="00B119C6" w:rsidP="00D960FA">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AA1DF1">
        <w:rPr>
          <w:i/>
          <w:iCs/>
          <w:szCs w:val="24"/>
        </w:rPr>
        <w:t>f)</w:t>
      </w:r>
      <w:r w:rsidRPr="00AA1DF1">
        <w:rPr>
          <w:szCs w:val="24"/>
        </w:rPr>
        <w:tab/>
        <w:t>que l'UIT contribue au développement durable de l'économie numérique mondiale en favorisant l'accès aux télécommunications/TIC et leur développement, en faisant progresser la normalisation de ces technologies et en encourageant les partenariats,</w:t>
      </w:r>
    </w:p>
    <w:p w14:paraId="7F5B0FAB" w14:textId="77777777" w:rsidR="00B119C6" w:rsidRPr="00AA1DF1" w:rsidRDefault="00B119C6" w:rsidP="00434918">
      <w:pPr>
        <w:pStyle w:val="Call"/>
      </w:pPr>
      <w:proofErr w:type="gramStart"/>
      <w:r w:rsidRPr="00AA1DF1">
        <w:t>considérant</w:t>
      </w:r>
      <w:proofErr w:type="gramEnd"/>
    </w:p>
    <w:p w14:paraId="63750ADB" w14:textId="77777777" w:rsidR="00B119C6" w:rsidRPr="00AA1DF1" w:rsidRDefault="00B119C6" w:rsidP="00D960FA">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proofErr w:type="gramStart"/>
      <w:r w:rsidRPr="00AA1DF1">
        <w:rPr>
          <w:szCs w:val="24"/>
        </w:rPr>
        <w:t>que</w:t>
      </w:r>
      <w:proofErr w:type="gramEnd"/>
      <w:r w:rsidRPr="00AA1DF1">
        <w:rPr>
          <w:szCs w:val="24"/>
        </w:rPr>
        <w:t xml:space="preserve"> les parties prenantes, notamment les gouvernements, le secteur privé, la société civile, les milieux techniques, les établissements universitaires et les organisations internationales, ont un rôle important à jouer dans un écosystème qui encourage et soutient l'innovation et l'entrepreneuriat centrés sur les TIC,</w:t>
      </w:r>
    </w:p>
    <w:p w14:paraId="1C2E5797" w14:textId="77777777" w:rsidR="00B119C6" w:rsidRPr="00AA1DF1" w:rsidRDefault="00B119C6" w:rsidP="00434918">
      <w:pPr>
        <w:pStyle w:val="Call"/>
      </w:pPr>
      <w:proofErr w:type="gramStart"/>
      <w:r w:rsidRPr="00AA1DF1">
        <w:t>est</w:t>
      </w:r>
      <w:proofErr w:type="gramEnd"/>
      <w:r w:rsidRPr="00AA1DF1">
        <w:t xml:space="preserve"> d'avis</w:t>
      </w:r>
    </w:p>
    <w:p w14:paraId="38E30224" w14:textId="77777777" w:rsidR="00B119C6" w:rsidRPr="00AA1DF1" w:rsidRDefault="00B119C6" w:rsidP="00D960FA">
      <w:pPr>
        <w:jc w:val="both"/>
        <w:rPr>
          <w:rFonts w:asciiTheme="minorHAnsi" w:hAnsiTheme="minorHAnsi" w:cstheme="minorHAnsi"/>
          <w:szCs w:val="24"/>
        </w:rPr>
      </w:pPr>
      <w:r w:rsidRPr="00AA1DF1">
        <w:rPr>
          <w:szCs w:val="24"/>
        </w:rPr>
        <w:t>1</w:t>
      </w:r>
      <w:r w:rsidRPr="00AA1DF1">
        <w:rPr>
          <w:szCs w:val="24"/>
        </w:rPr>
        <w:tab/>
        <w:t xml:space="preserve">que les télécommunications/TIC sont des catalyseurs essentiels de l'entrepreneuriat et offrent d'importantes perspectives de croissance, d'innovation et de développement </w:t>
      </w:r>
      <w:proofErr w:type="gramStart"/>
      <w:r w:rsidRPr="00AA1DF1">
        <w:rPr>
          <w:szCs w:val="24"/>
        </w:rPr>
        <w:t>durable;</w:t>
      </w:r>
      <w:proofErr w:type="gramEnd"/>
    </w:p>
    <w:p w14:paraId="77D5E116" w14:textId="77777777" w:rsidR="00B119C6" w:rsidRPr="00AA1DF1" w:rsidRDefault="00B119C6" w:rsidP="00D960FA">
      <w:pPr>
        <w:jc w:val="both"/>
        <w:rPr>
          <w:rFonts w:asciiTheme="minorHAnsi" w:hAnsiTheme="minorHAnsi" w:cstheme="minorHAnsi"/>
          <w:szCs w:val="24"/>
        </w:rPr>
      </w:pPr>
      <w:r w:rsidRPr="00AA1DF1">
        <w:rPr>
          <w:szCs w:val="24"/>
        </w:rPr>
        <w:t>2</w:t>
      </w:r>
      <w:r w:rsidRPr="00AA1DF1">
        <w:rPr>
          <w:szCs w:val="24"/>
        </w:rPr>
        <w:tab/>
        <w:t xml:space="preserve">que pour renforcer les écosystèmes de l'innovation et l'entrepreneuriat centrés sur les TIC, il faut faire intervenir des facteurs essentiels tels que l'accès au capital, aux télécommunications/TIC et à diverses compétences numériques, et encourager les partenariats public-privé, y compris pour le financement, garantir des marchés ouverts et concurrentiels qui permettent à de nouveaux acteurs de s'implanter, d'innover et de se développer, et rationaliser des cadres </w:t>
      </w:r>
      <w:proofErr w:type="gramStart"/>
      <w:r w:rsidRPr="00AA1DF1">
        <w:rPr>
          <w:szCs w:val="24"/>
        </w:rPr>
        <w:t>réglementaires;</w:t>
      </w:r>
      <w:proofErr w:type="gramEnd"/>
    </w:p>
    <w:p w14:paraId="63290A2B" w14:textId="77777777" w:rsidR="00B119C6" w:rsidRPr="00AA1DF1" w:rsidRDefault="00B119C6" w:rsidP="00D960FA">
      <w:pPr>
        <w:jc w:val="both"/>
        <w:rPr>
          <w:rFonts w:asciiTheme="minorHAnsi" w:hAnsiTheme="minorHAnsi" w:cstheme="minorHAnsi"/>
          <w:szCs w:val="24"/>
        </w:rPr>
      </w:pPr>
      <w:r w:rsidRPr="00AA1DF1">
        <w:rPr>
          <w:szCs w:val="24"/>
        </w:rPr>
        <w:t>3</w:t>
      </w:r>
      <w:r w:rsidRPr="00AA1DF1">
        <w:rPr>
          <w:szCs w:val="24"/>
        </w:rPr>
        <w:tab/>
        <w:t>que l'élaboration de politiques fondées sur des données factuelles et la mise en place de cadres réglementaires transparents et prévisibles qui encouragent la transformation numérique devraient être mises à jour conformément aux bonnes pratiques, car elles sont essentielles pour stimuler l'innovation et l'entrepreneuriat centrés sur les TIC dans l'intérêt des entrepreneurs et des MPME, tout en facilitant la collaboration avec les grandes entreprises et leur intégration dans les écosystèmes de l'innovation;</w:t>
      </w:r>
    </w:p>
    <w:p w14:paraId="3877F328" w14:textId="77777777" w:rsidR="00B119C6" w:rsidRPr="00AA1DF1" w:rsidRDefault="00B119C6" w:rsidP="00D960FA">
      <w:pPr>
        <w:jc w:val="both"/>
        <w:rPr>
          <w:rFonts w:asciiTheme="minorHAnsi" w:hAnsiTheme="minorHAnsi" w:cstheme="minorHAnsi"/>
          <w:szCs w:val="24"/>
        </w:rPr>
      </w:pPr>
      <w:r w:rsidRPr="00AA1DF1">
        <w:rPr>
          <w:szCs w:val="24"/>
        </w:rPr>
        <w:t>4</w:t>
      </w:r>
      <w:r w:rsidRPr="00AA1DF1">
        <w:rPr>
          <w:szCs w:val="24"/>
        </w:rPr>
        <w:tab/>
        <w:t>que des efforts soutenus sont indispensables pour exploiter les possibilités offertes par l'économie numérique et l'écosystème des télécommunications/TIC et pour permettre une participation et une intégration accrues à la transformation numérique, grâce auxquelles toutes les parties prenantes pourront contribuer à la mise en place d'un cadre politique solide et souple dans le secteur des télécommunications/</w:t>
      </w:r>
      <w:proofErr w:type="gramStart"/>
      <w:r w:rsidRPr="00AA1DF1">
        <w:rPr>
          <w:szCs w:val="24"/>
        </w:rPr>
        <w:t>TIC;</w:t>
      </w:r>
      <w:proofErr w:type="gramEnd"/>
    </w:p>
    <w:p w14:paraId="6CB80FB5" w14:textId="77777777" w:rsidR="00B119C6" w:rsidRPr="00D960FA" w:rsidRDefault="00B119C6" w:rsidP="00D960FA">
      <w:pPr>
        <w:jc w:val="both"/>
        <w:rPr>
          <w:rFonts w:asciiTheme="minorHAnsi" w:hAnsiTheme="minorHAnsi" w:cstheme="minorHAnsi"/>
          <w:spacing w:val="-2"/>
          <w:szCs w:val="24"/>
        </w:rPr>
      </w:pPr>
      <w:r w:rsidRPr="00D960FA">
        <w:rPr>
          <w:spacing w:val="-2"/>
          <w:szCs w:val="24"/>
        </w:rPr>
        <w:t>5</w:t>
      </w:r>
      <w:r w:rsidRPr="00D960FA">
        <w:rPr>
          <w:spacing w:val="-2"/>
          <w:szCs w:val="24"/>
        </w:rPr>
        <w:tab/>
        <w:t xml:space="preserve">que les logiciels à code source ouvert pourraient aider les entrepreneurs et les MPME à accéder aux services et technologies de télécommunication/TIC nouveaux et émergents et à les </w:t>
      </w:r>
      <w:proofErr w:type="gramStart"/>
      <w:r w:rsidRPr="00D960FA">
        <w:rPr>
          <w:spacing w:val="-2"/>
          <w:szCs w:val="24"/>
        </w:rPr>
        <w:t>déployer;</w:t>
      </w:r>
      <w:proofErr w:type="gramEnd"/>
    </w:p>
    <w:p w14:paraId="6C3F8C36" w14:textId="77777777" w:rsidR="00B119C6" w:rsidRPr="00AA1DF1" w:rsidRDefault="00B119C6" w:rsidP="00D960FA">
      <w:pPr>
        <w:jc w:val="both"/>
        <w:rPr>
          <w:rFonts w:asciiTheme="minorHAnsi" w:hAnsiTheme="minorHAnsi" w:cstheme="minorHAnsi"/>
          <w:szCs w:val="24"/>
        </w:rPr>
      </w:pPr>
      <w:r w:rsidRPr="00AA1DF1">
        <w:rPr>
          <w:szCs w:val="24"/>
        </w:rPr>
        <w:t>6</w:t>
      </w:r>
      <w:r w:rsidRPr="00AA1DF1">
        <w:rPr>
          <w:szCs w:val="24"/>
        </w:rPr>
        <w:tab/>
        <w:t xml:space="preserve">que la possibilité d'acquérir des compétences numériques et la qualité des formations y afférentes, notamment dans le cadre de programmes scolaires et de l'apprentissage tout au long de la vie, jouent un rôle essentiel dans le développement du potentiel d'innovation et d'entrepreneuriat d'une </w:t>
      </w:r>
      <w:proofErr w:type="gramStart"/>
      <w:r w:rsidRPr="00AA1DF1">
        <w:rPr>
          <w:szCs w:val="24"/>
        </w:rPr>
        <w:t>société;</w:t>
      </w:r>
      <w:proofErr w:type="gramEnd"/>
    </w:p>
    <w:p w14:paraId="5CF2DE63" w14:textId="77777777" w:rsidR="00B119C6" w:rsidRPr="00AA1DF1" w:rsidRDefault="00B119C6" w:rsidP="00D960FA">
      <w:pPr>
        <w:jc w:val="both"/>
        <w:rPr>
          <w:rFonts w:asciiTheme="minorHAnsi" w:hAnsiTheme="minorHAnsi" w:cstheme="minorHAnsi"/>
          <w:szCs w:val="24"/>
        </w:rPr>
      </w:pPr>
      <w:r w:rsidRPr="00AA1DF1">
        <w:rPr>
          <w:szCs w:val="24"/>
        </w:rPr>
        <w:t>7</w:t>
      </w:r>
      <w:r w:rsidRPr="00AA1DF1">
        <w:rPr>
          <w:szCs w:val="24"/>
        </w:rPr>
        <w:tab/>
        <w:t xml:space="preserve">qu'il est important de donner aux communautés non desservies ou mal desservies les moyens d'agir en tant qu'entrepreneurs, en s'efforçant de leur garantir l'accès aux facteurs clés de l'innovation, tels que le financement, et en prenant délibérément des mesures pour accélérer la participation des femmes et des </w:t>
      </w:r>
      <w:proofErr w:type="gramStart"/>
      <w:r w:rsidRPr="00AA1DF1">
        <w:rPr>
          <w:szCs w:val="24"/>
        </w:rPr>
        <w:t>jeunes;</w:t>
      </w:r>
      <w:proofErr w:type="gramEnd"/>
    </w:p>
    <w:p w14:paraId="6C4A7605" w14:textId="77777777" w:rsidR="00B119C6" w:rsidRPr="00AA1DF1" w:rsidRDefault="00B119C6" w:rsidP="00D960FA">
      <w:pPr>
        <w:jc w:val="both"/>
        <w:rPr>
          <w:rFonts w:asciiTheme="minorHAnsi" w:hAnsiTheme="minorHAnsi" w:cstheme="minorHAnsi"/>
          <w:szCs w:val="24"/>
        </w:rPr>
      </w:pPr>
      <w:r w:rsidRPr="00AA1DF1">
        <w:rPr>
          <w:szCs w:val="24"/>
        </w:rPr>
        <w:t>8</w:t>
      </w:r>
      <w:r w:rsidRPr="00AA1DF1">
        <w:rPr>
          <w:szCs w:val="24"/>
        </w:rPr>
        <w:tab/>
        <w:t>que l'UIT, dans le cadre de son mandat et des mécanismes existants, peut continuer de renforcer son rôle à l'appui des écosystèmes de l'innovation et de l'entrepreneuriat centrés sur les TIC, et contribuer au développement de l'économie numérique,</w:t>
      </w:r>
    </w:p>
    <w:p w14:paraId="7F9E99E5" w14:textId="77777777" w:rsidR="00B119C6" w:rsidRPr="00AA1DF1" w:rsidRDefault="00B119C6" w:rsidP="00D960FA">
      <w:pPr>
        <w:pStyle w:val="Call"/>
        <w:jc w:val="both"/>
      </w:pPr>
      <w:proofErr w:type="gramStart"/>
      <w:r w:rsidRPr="00AA1DF1">
        <w:lastRenderedPageBreak/>
        <w:t>invite</w:t>
      </w:r>
      <w:proofErr w:type="gramEnd"/>
      <w:r w:rsidRPr="00AA1DF1">
        <w:t xml:space="preserve"> les États Membres</w:t>
      </w:r>
    </w:p>
    <w:p w14:paraId="0282DE9B" w14:textId="77777777" w:rsidR="00B119C6" w:rsidRPr="00AA1DF1" w:rsidRDefault="00B119C6" w:rsidP="00D960FA">
      <w:pPr>
        <w:jc w:val="both"/>
        <w:rPr>
          <w:rFonts w:asciiTheme="minorHAnsi" w:hAnsiTheme="minorHAnsi" w:cstheme="minorHAnsi"/>
          <w:spacing w:val="-2"/>
          <w:szCs w:val="24"/>
        </w:rPr>
      </w:pPr>
      <w:r w:rsidRPr="00AA1DF1">
        <w:rPr>
          <w:szCs w:val="24"/>
        </w:rPr>
        <w:t>1</w:t>
      </w:r>
      <w:r w:rsidRPr="00AA1DF1">
        <w:rPr>
          <w:szCs w:val="24"/>
        </w:rPr>
        <w:tab/>
        <w:t>à promouvoir un environnement propice aux écosystèmes de l'innovation centrés sur les TIC en renforçant l'élaboration de politiques fondées sur des données factuelles ainsi que la mise en place de cadres réglementaires transparents et prévisibles, mis à jour conformément aux bonnes pratiques, et à envisager des politiques et des stratégies visant à soutenir l'innovation centrée sur les TIC, en donnant aux MPME les moyens de participer activement à l'économie numérique et de renforcer la concurrence;</w:t>
      </w:r>
    </w:p>
    <w:p w14:paraId="71A28FE3" w14:textId="77777777" w:rsidR="00B119C6" w:rsidRPr="00AA1DF1" w:rsidRDefault="00B119C6" w:rsidP="00D960FA">
      <w:pPr>
        <w:jc w:val="both"/>
        <w:rPr>
          <w:rFonts w:asciiTheme="minorHAnsi" w:hAnsiTheme="minorHAnsi" w:cstheme="minorHAnsi"/>
          <w:szCs w:val="24"/>
        </w:rPr>
      </w:pPr>
      <w:r w:rsidRPr="00AA1DF1">
        <w:rPr>
          <w:szCs w:val="24"/>
        </w:rPr>
        <w:t>2</w:t>
      </w:r>
      <w:r w:rsidRPr="00AA1DF1">
        <w:rPr>
          <w:szCs w:val="24"/>
        </w:rPr>
        <w:tab/>
        <w:t xml:space="preserve">à encourager les investissements en supprimant les obstacles dans les écosystèmes numériques et à créer des conditions propices à l'investissement et à </w:t>
      </w:r>
      <w:proofErr w:type="gramStart"/>
      <w:r w:rsidRPr="00AA1DF1">
        <w:rPr>
          <w:szCs w:val="24"/>
        </w:rPr>
        <w:t>l'innovation;</w:t>
      </w:r>
      <w:proofErr w:type="gramEnd"/>
    </w:p>
    <w:p w14:paraId="0476DE6C" w14:textId="77777777" w:rsidR="00B119C6" w:rsidRPr="00AA1DF1" w:rsidRDefault="00B119C6" w:rsidP="00D960FA">
      <w:pPr>
        <w:jc w:val="both"/>
        <w:rPr>
          <w:rFonts w:asciiTheme="minorHAnsi" w:hAnsiTheme="minorHAnsi" w:cstheme="minorHAnsi"/>
          <w:szCs w:val="24"/>
        </w:rPr>
      </w:pPr>
      <w:r w:rsidRPr="00AA1DF1">
        <w:rPr>
          <w:szCs w:val="24"/>
        </w:rPr>
        <w:t>3</w:t>
      </w:r>
      <w:r w:rsidRPr="00AA1DF1">
        <w:rPr>
          <w:szCs w:val="24"/>
        </w:rPr>
        <w:tab/>
        <w:t xml:space="preserve">à sensibiliser davantage l'opinion aux problèmes environnementaux dans le cadre d'initiatives visant à renforcer les écosystèmes de l'innovation et l'entrepreneuriat centrés sur les </w:t>
      </w:r>
      <w:proofErr w:type="gramStart"/>
      <w:r w:rsidRPr="00AA1DF1">
        <w:rPr>
          <w:szCs w:val="24"/>
        </w:rPr>
        <w:t>TIC;</w:t>
      </w:r>
      <w:proofErr w:type="gramEnd"/>
    </w:p>
    <w:p w14:paraId="5F3F8F74" w14:textId="77777777" w:rsidR="00B119C6" w:rsidRPr="00AA1DF1" w:rsidRDefault="00B119C6" w:rsidP="00D960FA">
      <w:pPr>
        <w:jc w:val="both"/>
        <w:rPr>
          <w:rFonts w:asciiTheme="minorHAnsi" w:hAnsiTheme="minorHAnsi" w:cstheme="minorHAnsi"/>
          <w:szCs w:val="24"/>
        </w:rPr>
      </w:pPr>
      <w:r w:rsidRPr="00AA1DF1">
        <w:rPr>
          <w:szCs w:val="24"/>
        </w:rPr>
        <w:t>4</w:t>
      </w:r>
      <w:r w:rsidRPr="00AA1DF1">
        <w:rPr>
          <w:szCs w:val="24"/>
        </w:rPr>
        <w:tab/>
        <w:t>à faciliter la transformation numérique et à aider, grâce à des mesures adaptées, les entrepreneurs et les entreprises en démarrage, y compris dans les communautés mal desservies ou non desservies, à mieux tirer parti des télécommunications/</w:t>
      </w:r>
      <w:proofErr w:type="gramStart"/>
      <w:r w:rsidRPr="00AA1DF1">
        <w:rPr>
          <w:szCs w:val="24"/>
        </w:rPr>
        <w:t>TIC;</w:t>
      </w:r>
      <w:proofErr w:type="gramEnd"/>
    </w:p>
    <w:p w14:paraId="246F3427" w14:textId="77777777" w:rsidR="00B119C6" w:rsidRPr="00AA1DF1" w:rsidRDefault="00B119C6" w:rsidP="00D960FA">
      <w:pPr>
        <w:widowControl w:val="0"/>
        <w:jc w:val="both"/>
        <w:rPr>
          <w:rFonts w:asciiTheme="minorHAnsi" w:hAnsiTheme="minorHAnsi" w:cstheme="minorHAnsi"/>
          <w:szCs w:val="24"/>
        </w:rPr>
      </w:pPr>
      <w:r w:rsidRPr="00AA1DF1">
        <w:rPr>
          <w:szCs w:val="24"/>
        </w:rPr>
        <w:t>5</w:t>
      </w:r>
      <w:r w:rsidRPr="00AA1DF1">
        <w:rPr>
          <w:szCs w:val="24"/>
        </w:rPr>
        <w:tab/>
        <w:t xml:space="preserve">à envisager de créer un écosystème de l'innovation centré sur les TIC qui favorise la participation des entreprises de toutes tailles (grandes, moyennes, petites et micro), tout en encourageant le développement des compétences axées sur les télécommunications/TIC afin de soutenir l'entrepreneuriat et l'innovation </w:t>
      </w:r>
      <w:proofErr w:type="gramStart"/>
      <w:r w:rsidRPr="00AA1DF1">
        <w:rPr>
          <w:szCs w:val="24"/>
        </w:rPr>
        <w:t>durables;</w:t>
      </w:r>
      <w:proofErr w:type="gramEnd"/>
    </w:p>
    <w:p w14:paraId="59307BEE" w14:textId="77777777" w:rsidR="00B119C6" w:rsidRPr="00AA1DF1" w:rsidRDefault="00B119C6" w:rsidP="00D960FA">
      <w:pPr>
        <w:jc w:val="both"/>
        <w:rPr>
          <w:rFonts w:asciiTheme="minorHAnsi" w:hAnsiTheme="minorHAnsi" w:cstheme="minorHAnsi"/>
          <w:szCs w:val="24"/>
        </w:rPr>
      </w:pPr>
      <w:r w:rsidRPr="00AA1DF1">
        <w:rPr>
          <w:szCs w:val="24"/>
        </w:rPr>
        <w:t>6</w:t>
      </w:r>
      <w:r w:rsidRPr="00AA1DF1">
        <w:rPr>
          <w:szCs w:val="24"/>
        </w:rPr>
        <w:tab/>
        <w:t>à prendre des mesures pour réduire la fracture numérique entre les hommes et les femmes, afin de soutenir l'innovation et l'entrepreneuriat centrés sur les TIC opérés par les femmes et les jeunes filles dans le secteur des télécommunications/</w:t>
      </w:r>
      <w:proofErr w:type="gramStart"/>
      <w:r w:rsidRPr="00AA1DF1">
        <w:rPr>
          <w:szCs w:val="24"/>
        </w:rPr>
        <w:t>TIC;</w:t>
      </w:r>
      <w:proofErr w:type="gramEnd"/>
    </w:p>
    <w:p w14:paraId="340F4968" w14:textId="77777777" w:rsidR="00B119C6" w:rsidRPr="00AA1DF1" w:rsidRDefault="00B119C6" w:rsidP="00D960FA">
      <w:pPr>
        <w:jc w:val="both"/>
        <w:rPr>
          <w:rFonts w:asciiTheme="minorHAnsi" w:hAnsiTheme="minorHAnsi" w:cstheme="minorHAnsi"/>
          <w:szCs w:val="24"/>
        </w:rPr>
      </w:pPr>
      <w:r w:rsidRPr="00AA1DF1">
        <w:rPr>
          <w:szCs w:val="24"/>
        </w:rPr>
        <w:t>7</w:t>
      </w:r>
      <w:r w:rsidRPr="00AA1DF1">
        <w:rPr>
          <w:szCs w:val="24"/>
        </w:rPr>
        <w:tab/>
        <w:t>à envisager de mettre en œuvre des cadres politiques pour l'innovation centrée sur les TIC axés sur la demande, afin d'accélérer la commercialisation et d'améliorer les conditions propices aux innovations centrées sur les TIC en tant que catalyseur de l'économie numérique,</w:t>
      </w:r>
    </w:p>
    <w:p w14:paraId="497FDC7E" w14:textId="77777777" w:rsidR="00B119C6" w:rsidRPr="00AA1DF1" w:rsidRDefault="00B119C6" w:rsidP="00434918">
      <w:pPr>
        <w:pStyle w:val="Call"/>
      </w:pPr>
      <w:proofErr w:type="gramStart"/>
      <w:r w:rsidRPr="00AA1DF1">
        <w:t>invite</w:t>
      </w:r>
      <w:proofErr w:type="gramEnd"/>
      <w:r w:rsidRPr="00AA1DF1">
        <w:t xml:space="preserve"> les États Membres, les Membres de Secteur et les autres parties prenantes</w:t>
      </w:r>
    </w:p>
    <w:p w14:paraId="493AB314" w14:textId="77777777" w:rsidR="00B119C6" w:rsidRPr="00AA1DF1" w:rsidRDefault="00B119C6" w:rsidP="00D960FA">
      <w:pPr>
        <w:jc w:val="both"/>
        <w:rPr>
          <w:rFonts w:asciiTheme="minorHAnsi" w:hAnsiTheme="minorHAnsi" w:cstheme="minorHAnsi"/>
          <w:szCs w:val="24"/>
        </w:rPr>
      </w:pPr>
      <w:r w:rsidRPr="00AA1DF1">
        <w:rPr>
          <w:szCs w:val="24"/>
        </w:rPr>
        <w:t>1</w:t>
      </w:r>
      <w:r w:rsidRPr="00AA1DF1">
        <w:rPr>
          <w:szCs w:val="24"/>
        </w:rPr>
        <w:tab/>
        <w:t xml:space="preserve">à favoriser l'élaboration de cadres politiques transparents, stables, prévisibles et concurrentiels pour promouvoir un écosystème de l'innovation centré sur les </w:t>
      </w:r>
      <w:proofErr w:type="gramStart"/>
      <w:r w:rsidRPr="00AA1DF1">
        <w:rPr>
          <w:szCs w:val="24"/>
        </w:rPr>
        <w:t>TIC;</w:t>
      </w:r>
      <w:proofErr w:type="gramEnd"/>
    </w:p>
    <w:p w14:paraId="6BF4CFEB" w14:textId="77777777" w:rsidR="00B119C6" w:rsidRPr="00AA1DF1" w:rsidRDefault="00B119C6" w:rsidP="00D960FA">
      <w:pPr>
        <w:jc w:val="both"/>
        <w:rPr>
          <w:rFonts w:asciiTheme="minorHAnsi" w:hAnsiTheme="minorHAnsi" w:cstheme="minorHAnsi"/>
          <w:szCs w:val="24"/>
        </w:rPr>
      </w:pPr>
      <w:r w:rsidRPr="00AA1DF1">
        <w:rPr>
          <w:szCs w:val="24"/>
        </w:rPr>
        <w:t>2</w:t>
      </w:r>
      <w:r w:rsidRPr="00AA1DF1">
        <w:rPr>
          <w:szCs w:val="24"/>
        </w:rPr>
        <w:tab/>
        <w:t xml:space="preserve">à faciliter les investissements public-privé en favorisant une collaboration plus étroite entre les centres d'enseignement et de recherche et le secteur privé, tout en envisageant de financer des stages et des bourses et en encourageant le développement des compétences axé sur les télécommunications/TIC dans les systèmes éducatifs nationaux, afin de favoriser les écosystèmes de l'innovation centrés sur les TIC qui stimulent </w:t>
      </w:r>
      <w:proofErr w:type="gramStart"/>
      <w:r w:rsidRPr="00AA1DF1">
        <w:rPr>
          <w:szCs w:val="24"/>
        </w:rPr>
        <w:t>l'entrepreneuriat;</w:t>
      </w:r>
      <w:proofErr w:type="gramEnd"/>
    </w:p>
    <w:p w14:paraId="29D9596B" w14:textId="77777777" w:rsidR="00B119C6" w:rsidRPr="00AA1DF1" w:rsidRDefault="00B119C6" w:rsidP="00D960FA">
      <w:pPr>
        <w:jc w:val="both"/>
        <w:rPr>
          <w:rFonts w:asciiTheme="minorHAnsi" w:hAnsiTheme="minorHAnsi" w:cstheme="minorHAnsi"/>
          <w:szCs w:val="24"/>
        </w:rPr>
      </w:pPr>
      <w:r w:rsidRPr="00AA1DF1">
        <w:rPr>
          <w:szCs w:val="24"/>
        </w:rPr>
        <w:t>3</w:t>
      </w:r>
      <w:r w:rsidRPr="00AA1DF1">
        <w:rPr>
          <w:szCs w:val="24"/>
        </w:rPr>
        <w:tab/>
        <w:t xml:space="preserve">à promouvoir et à développer les partenariats public-privé pour appuyer l'infrastructure des télécommunications/TIC, les pépinières d'entreprises et le financement de départ </w:t>
      </w:r>
      <w:proofErr w:type="gramStart"/>
      <w:r w:rsidRPr="00AA1DF1">
        <w:rPr>
          <w:szCs w:val="24"/>
        </w:rPr>
        <w:t>des start-up</w:t>
      </w:r>
      <w:proofErr w:type="gramEnd"/>
      <w:r w:rsidRPr="00AA1DF1">
        <w:rPr>
          <w:szCs w:val="24"/>
        </w:rPr>
        <w:t xml:space="preserve"> du secteur des </w:t>
      </w:r>
      <w:proofErr w:type="gramStart"/>
      <w:r w:rsidRPr="00AA1DF1">
        <w:rPr>
          <w:szCs w:val="24"/>
        </w:rPr>
        <w:t>TIC;</w:t>
      </w:r>
      <w:proofErr w:type="gramEnd"/>
    </w:p>
    <w:p w14:paraId="124818D8" w14:textId="77777777" w:rsidR="00B119C6" w:rsidRPr="00AA1DF1" w:rsidRDefault="00B119C6" w:rsidP="00D960FA">
      <w:pPr>
        <w:keepLines/>
        <w:jc w:val="both"/>
        <w:rPr>
          <w:rFonts w:asciiTheme="minorHAnsi" w:hAnsiTheme="minorHAnsi" w:cstheme="minorHAnsi"/>
          <w:szCs w:val="24"/>
        </w:rPr>
      </w:pPr>
      <w:r w:rsidRPr="00AA1DF1">
        <w:rPr>
          <w:szCs w:val="24"/>
        </w:rPr>
        <w:t>4</w:t>
      </w:r>
      <w:r w:rsidRPr="00AA1DF1">
        <w:rPr>
          <w:szCs w:val="24"/>
        </w:rPr>
        <w:tab/>
        <w:t xml:space="preserve">à favoriser la participation et le développement des entreprises de toutes tailles (grandes, moyennes, petites et micro), tout en favorisant la transformation numérique de l'ensemble de la chaîne de valeur, et à échanger par anticipation les bonnes pratiques qui accompagnent les MPME dans leur volonté de transformation </w:t>
      </w:r>
      <w:proofErr w:type="gramStart"/>
      <w:r w:rsidRPr="00AA1DF1">
        <w:rPr>
          <w:szCs w:val="24"/>
        </w:rPr>
        <w:t>numérique;</w:t>
      </w:r>
      <w:proofErr w:type="gramEnd"/>
    </w:p>
    <w:p w14:paraId="72EDC812" w14:textId="77777777" w:rsidR="00B119C6" w:rsidRPr="00AA1DF1" w:rsidRDefault="00B119C6" w:rsidP="00D960FA">
      <w:pPr>
        <w:jc w:val="both"/>
        <w:rPr>
          <w:rFonts w:asciiTheme="minorHAnsi" w:hAnsiTheme="minorHAnsi" w:cstheme="minorHAnsi"/>
          <w:szCs w:val="24"/>
        </w:rPr>
      </w:pPr>
      <w:r w:rsidRPr="00AA1DF1">
        <w:rPr>
          <w:szCs w:val="24"/>
        </w:rPr>
        <w:t>5</w:t>
      </w:r>
      <w:r w:rsidRPr="00AA1DF1">
        <w:rPr>
          <w:szCs w:val="24"/>
        </w:rPr>
        <w:tab/>
        <w:t xml:space="preserve">à soutenir et mettre en place, dans le cadre de partenariats avec le secteur privé et les établissements universitaires, des initiatives visant à promouvoir auprès des jeunes l'entrepreneuriat centré sur les TIC, tout en renforçant l'offre de talents numériques et en mettant </w:t>
      </w:r>
      <w:r w:rsidRPr="00AA1DF1">
        <w:rPr>
          <w:szCs w:val="24"/>
        </w:rPr>
        <w:lastRenderedPageBreak/>
        <w:t xml:space="preserve">en place des programmes ciblés de formation aux compétences numériques et de maîtrise des outils numériques, afin de combler les lacunes existantes en matière de </w:t>
      </w:r>
      <w:proofErr w:type="gramStart"/>
      <w:r w:rsidRPr="00AA1DF1">
        <w:rPr>
          <w:szCs w:val="24"/>
        </w:rPr>
        <w:t>compétence;</w:t>
      </w:r>
      <w:proofErr w:type="gramEnd"/>
    </w:p>
    <w:p w14:paraId="27213DD2" w14:textId="77777777" w:rsidR="00B119C6" w:rsidRPr="00AA1DF1" w:rsidRDefault="00B119C6" w:rsidP="00D960FA">
      <w:pPr>
        <w:jc w:val="both"/>
        <w:rPr>
          <w:rFonts w:asciiTheme="minorHAnsi" w:hAnsiTheme="minorHAnsi" w:cstheme="minorHAnsi"/>
          <w:szCs w:val="24"/>
        </w:rPr>
      </w:pPr>
      <w:r w:rsidRPr="00AA1DF1">
        <w:rPr>
          <w:szCs w:val="24"/>
        </w:rPr>
        <w:t>6</w:t>
      </w:r>
      <w:r w:rsidRPr="00AA1DF1">
        <w:rPr>
          <w:szCs w:val="24"/>
        </w:rPr>
        <w:tab/>
        <w:t xml:space="preserve">à encourager l'innovation et l'entrepreneuriat centrés sur les TIC au sein des populations locales en appuyant les programmes communautaires et les solutions complémentaires, tout en tenant compte des divers points de vue et besoins de toutes les parties prenantes, y compris le secteur privé, la société civile et les milieux techniques et </w:t>
      </w:r>
      <w:proofErr w:type="gramStart"/>
      <w:r w:rsidRPr="00AA1DF1">
        <w:rPr>
          <w:szCs w:val="24"/>
        </w:rPr>
        <w:t>universitaires;</w:t>
      </w:r>
      <w:proofErr w:type="gramEnd"/>
    </w:p>
    <w:p w14:paraId="414D6EB1" w14:textId="77777777" w:rsidR="00B119C6" w:rsidRPr="00AA1DF1" w:rsidRDefault="00B119C6" w:rsidP="00D960FA">
      <w:pPr>
        <w:jc w:val="both"/>
        <w:rPr>
          <w:rFonts w:asciiTheme="minorHAnsi" w:hAnsiTheme="minorHAnsi" w:cstheme="minorHAnsi"/>
          <w:szCs w:val="24"/>
        </w:rPr>
      </w:pPr>
      <w:r w:rsidRPr="00AA1DF1">
        <w:rPr>
          <w:szCs w:val="24"/>
        </w:rPr>
        <w:t>7</w:t>
      </w:r>
      <w:r w:rsidRPr="00AA1DF1">
        <w:rPr>
          <w:szCs w:val="24"/>
        </w:rPr>
        <w:tab/>
        <w:t xml:space="preserve">à soutenir la recherche sur les obstacles aux activités entrepreneuriales centrées sur les TIC, à mettre en œuvre des stratégies adaptées pour surmonter ces obstacles et à échanger de bonnes pratiques sur les initiatives régionales, locales et nationales qui favorisent les écosystèmes de l'innovation et l'entrepreneuriat centrés sur les </w:t>
      </w:r>
      <w:proofErr w:type="gramStart"/>
      <w:r w:rsidRPr="00AA1DF1">
        <w:rPr>
          <w:szCs w:val="24"/>
        </w:rPr>
        <w:t>TIC;</w:t>
      </w:r>
      <w:proofErr w:type="gramEnd"/>
    </w:p>
    <w:p w14:paraId="529C4821" w14:textId="77777777" w:rsidR="00B119C6" w:rsidRPr="00AA1DF1" w:rsidRDefault="00B119C6" w:rsidP="00D960FA">
      <w:pPr>
        <w:jc w:val="both"/>
        <w:rPr>
          <w:rFonts w:asciiTheme="minorHAnsi" w:hAnsiTheme="minorHAnsi" w:cstheme="minorHAnsi"/>
          <w:szCs w:val="24"/>
        </w:rPr>
      </w:pPr>
      <w:r w:rsidRPr="00AA1DF1">
        <w:rPr>
          <w:szCs w:val="24"/>
        </w:rPr>
        <w:t>8</w:t>
      </w:r>
      <w:r w:rsidRPr="00AA1DF1">
        <w:rPr>
          <w:szCs w:val="24"/>
        </w:rPr>
        <w:tab/>
        <w:t xml:space="preserve">à encourager la coopération internationale et régionale, afin d'échanger des bonnes pratiques et de contribuer au renforcement des capacités pour tirer parti des avantages des télécommunications/TIC et réduire la fracture </w:t>
      </w:r>
      <w:proofErr w:type="gramStart"/>
      <w:r w:rsidRPr="00AA1DF1">
        <w:rPr>
          <w:szCs w:val="24"/>
        </w:rPr>
        <w:t>numérique;</w:t>
      </w:r>
      <w:proofErr w:type="gramEnd"/>
    </w:p>
    <w:p w14:paraId="5087ECEF" w14:textId="77777777" w:rsidR="00B119C6" w:rsidRPr="00AA1DF1" w:rsidRDefault="00B119C6" w:rsidP="00D960FA">
      <w:pPr>
        <w:jc w:val="both"/>
        <w:rPr>
          <w:rFonts w:asciiTheme="minorHAnsi" w:hAnsiTheme="minorHAnsi" w:cstheme="minorHAnsi"/>
          <w:szCs w:val="24"/>
        </w:rPr>
      </w:pPr>
      <w:r w:rsidRPr="00AA1DF1">
        <w:rPr>
          <w:szCs w:val="24"/>
        </w:rPr>
        <w:t>9</w:t>
      </w:r>
      <w:r w:rsidRPr="00AA1DF1">
        <w:rPr>
          <w:szCs w:val="24"/>
        </w:rPr>
        <w:tab/>
        <w:t xml:space="preserve">à encourager les MPME à participer à des initiatives internationales à code source ouvert pour les services et les technologies de télécommunication/TIC nouveaux et </w:t>
      </w:r>
      <w:proofErr w:type="gramStart"/>
      <w:r w:rsidRPr="00AA1DF1">
        <w:rPr>
          <w:szCs w:val="24"/>
        </w:rPr>
        <w:t>émergents;</w:t>
      </w:r>
      <w:proofErr w:type="gramEnd"/>
    </w:p>
    <w:p w14:paraId="09996997" w14:textId="77777777" w:rsidR="00B119C6" w:rsidRPr="00AA1DF1" w:rsidRDefault="00B119C6" w:rsidP="00D960FA">
      <w:pPr>
        <w:jc w:val="both"/>
        <w:rPr>
          <w:rFonts w:asciiTheme="minorHAnsi" w:hAnsiTheme="minorHAnsi" w:cstheme="minorHAnsi"/>
          <w:szCs w:val="24"/>
        </w:rPr>
      </w:pPr>
      <w:r w:rsidRPr="00AA1DF1">
        <w:rPr>
          <w:szCs w:val="24"/>
        </w:rPr>
        <w:t>10</w:t>
      </w:r>
      <w:r w:rsidRPr="00AA1DF1">
        <w:rPr>
          <w:szCs w:val="24"/>
        </w:rPr>
        <w:tab/>
        <w:t>à promouvoir la collaboration entre le secteur privé et les établissements universitaires pour favoriser la durabilité des innovations centrées sur les TIC,</w:t>
      </w:r>
    </w:p>
    <w:p w14:paraId="5D747462" w14:textId="77777777" w:rsidR="00B119C6" w:rsidRPr="00AA1DF1" w:rsidRDefault="00B119C6" w:rsidP="00434918">
      <w:pPr>
        <w:pStyle w:val="Call"/>
      </w:pPr>
      <w:proofErr w:type="gramStart"/>
      <w:r w:rsidRPr="00AA1DF1">
        <w:t>invite</w:t>
      </w:r>
      <w:proofErr w:type="gramEnd"/>
      <w:r w:rsidRPr="00AA1DF1">
        <w:t xml:space="preserve"> la Secrétaire générale</w:t>
      </w:r>
    </w:p>
    <w:p w14:paraId="57A1CC16" w14:textId="77777777" w:rsidR="00B119C6" w:rsidRDefault="00B119C6" w:rsidP="00D960FA">
      <w:pPr>
        <w:jc w:val="both"/>
        <w:rPr>
          <w:szCs w:val="24"/>
        </w:rPr>
      </w:pPr>
      <w:proofErr w:type="gramStart"/>
      <w:r w:rsidRPr="00AA1DF1">
        <w:rPr>
          <w:szCs w:val="24"/>
        </w:rPr>
        <w:t>à</w:t>
      </w:r>
      <w:proofErr w:type="gramEnd"/>
      <w:r w:rsidRPr="00AA1DF1">
        <w:rPr>
          <w:szCs w:val="24"/>
        </w:rPr>
        <w:t xml:space="preserve"> renforcer le rôle de l'UIT, dans le cadre de son mandat et des mécanismes existants, en tant que plate-forme de collaboration et de dialogue entre les États Membres, les Membres de Secteur et les établissements universitaires, de renforcement des capacités et d'échange de bonnes pratiques sur les écosystèmes de l'innovation et l'entrepreneuriat centrés sur les TIC.</w:t>
      </w:r>
    </w:p>
    <w:p w14:paraId="770D38FA" w14:textId="77777777" w:rsidR="00D960FA" w:rsidRPr="00AA1DF1" w:rsidRDefault="00D960FA" w:rsidP="00D960FA">
      <w:pPr>
        <w:jc w:val="both"/>
      </w:pPr>
    </w:p>
    <w:p w14:paraId="6C4F1F56" w14:textId="48B255E8" w:rsidR="00495100" w:rsidRPr="00AA1DF1" w:rsidRDefault="00B119C6" w:rsidP="00F733CF">
      <w:pPr>
        <w:jc w:val="center"/>
      </w:pPr>
      <w:r w:rsidRPr="00AA1DF1">
        <w:t>______________</w:t>
      </w:r>
      <w:bookmarkEnd w:id="3"/>
    </w:p>
    <w:sectPr w:rsidR="00495100" w:rsidRPr="00AA1DF1" w:rsidSect="003A0B7D">
      <w:headerReference w:type="default" r:id="rId54"/>
      <w:footerReference w:type="first" r:id="rId55"/>
      <w:type w:val="continuous"/>
      <w:pgSz w:w="11913" w:h="16834"/>
      <w:pgMar w:top="1418" w:right="1134" w:bottom="1418" w:left="1134" w:header="720" w:footer="720" w:gutter="0"/>
      <w:paperSrc w:first="15" w:other="15"/>
      <w:cols w:space="720"/>
      <w:titlePg/>
    </w:sectPr>
  </w:body>
</w:document>
</file>

<file path=word/customizations.xml><?xml version="1.0" encoding="utf-8"?>
<wne:tcg xmlns:r="http://schemas.openxmlformats.org/officeDocument/2006/relationships" xmlns:wne="http://schemas.microsoft.com/office/word/2006/wordml">
  <wne:keymaps>
    <wne:keymap wne:kcmPrimary="034D">
      <wne:macro wne:macroName="TEMPLATEPROJECT.MACROS.POOLSETREASONS"/>
    </wne:keymap>
    <wne:keymap wne:kcmPrimary="0350">
      <wne:macro wne:macroName="TEMPLATEPROJECT.MACROS.POOLPVSTYLES"/>
    </wne:keymap>
    <wne:keymap wne:kcmPrimary="0353">
      <wne:acd wne:acdName="acd1"/>
    </wne:keymap>
  </wne:keymaps>
  <wne:toolbars>
    <wne:acdManifest>
      <wne:acdEntry wne:acdName="acd0"/>
      <wne:acdEntry wne:acdName="acd1"/>
    </wne:acdManifest>
    <wne:toolbarData r:id="rId1"/>
  </wne:toolbars>
  <wne:acds>
    <wne:acd wne:acdName="acd0" wne:fciIndexBasedOn="0065"/>
    <wne:acd wne:argValue="AgBOAG8AcgBtAGEAbAAgAHAAdg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38A84" w14:textId="77777777" w:rsidR="00EA2935" w:rsidRDefault="00EA2935">
      <w:r>
        <w:separator/>
      </w:r>
    </w:p>
  </w:endnote>
  <w:endnote w:type="continuationSeparator" w:id="0">
    <w:p w14:paraId="30D701AF" w14:textId="77777777" w:rsidR="00EA2935" w:rsidRDefault="00EA2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7C66" w14:textId="5A968863" w:rsidR="000C467B" w:rsidRPr="00490624" w:rsidRDefault="00490624" w:rsidP="00490624">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Pr>
          <w:rStyle w:val="Hyperlink"/>
          <w:color w:val="00A3E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70257" w14:textId="77777777" w:rsidR="00EA2935" w:rsidRDefault="00EA2935">
      <w:r>
        <w:t>____________________</w:t>
      </w:r>
    </w:p>
  </w:footnote>
  <w:footnote w:type="continuationSeparator" w:id="0">
    <w:p w14:paraId="270C5174" w14:textId="77777777" w:rsidR="00EA2935" w:rsidRDefault="00EA2935">
      <w:r>
        <w:continuationSeparator/>
      </w:r>
    </w:p>
  </w:footnote>
  <w:footnote w:id="1">
    <w:p w14:paraId="6E357979" w14:textId="77777777" w:rsidR="00C00850" w:rsidRPr="0051405B" w:rsidRDefault="00C00850" w:rsidP="002841B8">
      <w:pPr>
        <w:pStyle w:val="FootnoteText"/>
        <w:spacing w:before="80"/>
        <w:jc w:val="both"/>
      </w:pPr>
      <w:r w:rsidRPr="00D10E8A">
        <w:rPr>
          <w:rStyle w:val="FootnoteReference"/>
        </w:rPr>
        <w:footnoteRef/>
      </w:r>
      <w:r w:rsidRPr="00644952">
        <w:rPr>
          <w:sz w:val="20"/>
          <w:lang w:val="en-US"/>
        </w:rPr>
        <w:tab/>
      </w:r>
      <w:r w:rsidRPr="00C00850">
        <w:rPr>
          <w:szCs w:val="24"/>
          <w:lang w:val="en-US"/>
        </w:rPr>
        <w:t xml:space="preserve">Ammanath, B. (2024), </w:t>
      </w:r>
      <w:r w:rsidRPr="00C00850">
        <w:rPr>
          <w:i/>
          <w:iCs/>
          <w:szCs w:val="24"/>
          <w:lang w:val="en-US"/>
        </w:rPr>
        <w:t xml:space="preserve">How to manage AI's energy demand – today, tomorrow and in the future. </w:t>
      </w:r>
      <w:r w:rsidRPr="00C00850">
        <w:rPr>
          <w:i/>
          <w:iCs/>
          <w:szCs w:val="24"/>
        </w:rPr>
        <w:t>(</w:t>
      </w:r>
      <w:r w:rsidRPr="00C00850">
        <w:rPr>
          <w:szCs w:val="24"/>
        </w:rPr>
        <w:t xml:space="preserve">Comment gérer la demande en énergie de l'IA – aujourd'hui, demain et dans le futur). Forum économique mondial. Extrait de </w:t>
      </w:r>
      <w:hyperlink r:id="rId1" w:history="1">
        <w:r w:rsidRPr="00C00850">
          <w:rPr>
            <w:rStyle w:val="Hyperlink"/>
            <w:szCs w:val="24"/>
          </w:rPr>
          <w:t>https://www.weforum.org/agenda/2024/04/how-to-manage-ais-energy-demand-today-tomorrow-and-in-the-future/</w:t>
        </w:r>
      </w:hyperlink>
      <w:r w:rsidRPr="00C00850">
        <w:rPr>
          <w:szCs w:val="24"/>
        </w:rPr>
        <w:t>.</w:t>
      </w:r>
      <w:hyperlink r:id="rId2" w:history="1"/>
    </w:p>
  </w:footnote>
  <w:footnote w:id="2">
    <w:p w14:paraId="103B1E2D" w14:textId="47914430" w:rsidR="00C00850" w:rsidRPr="00C00850" w:rsidRDefault="00C00850" w:rsidP="002841B8">
      <w:pPr>
        <w:pStyle w:val="FootnoteText"/>
        <w:spacing w:before="80"/>
        <w:jc w:val="both"/>
      </w:pPr>
      <w:r w:rsidRPr="00D10E8A">
        <w:rPr>
          <w:rStyle w:val="FootnoteReference"/>
        </w:rPr>
        <w:footnoteRef/>
      </w:r>
      <w:r>
        <w:tab/>
      </w:r>
      <w:r w:rsidRPr="00C00850">
        <w:rPr>
          <w:szCs w:val="24"/>
        </w:rPr>
        <w:t xml:space="preserve">Union internationale des télécommunications (2025), </w:t>
      </w:r>
      <w:r w:rsidRPr="00C00850">
        <w:rPr>
          <w:i/>
          <w:iCs/>
          <w:szCs w:val="24"/>
        </w:rPr>
        <w:t xml:space="preserve">Greening Digital Companies </w:t>
      </w:r>
      <w:r w:rsidRPr="00C00850">
        <w:rPr>
          <w:szCs w:val="24"/>
        </w:rPr>
        <w:t xml:space="preserve">(Rendre les entreprises numériques plus vertes). Extrait de </w:t>
      </w:r>
      <w:hyperlink r:id="rId3" w:history="1">
        <w:r w:rsidRPr="00C00850">
          <w:rPr>
            <w:rStyle w:val="Hyperlink"/>
            <w:szCs w:val="24"/>
          </w:rPr>
          <w:t>https://www.itu.int/en/ITU-D/Environment/Pages/Publications/GDC-25.aspx</w:t>
        </w:r>
      </w:hyperlink>
      <w:r w:rsidRPr="00C00850">
        <w:rPr>
          <w:szCs w:val="24"/>
        </w:rPr>
        <w:t>.</w:t>
      </w:r>
    </w:p>
  </w:footnote>
  <w:footnote w:id="3">
    <w:p w14:paraId="71F98503" w14:textId="5D8EBE56" w:rsidR="002A06C7" w:rsidRPr="002B624C" w:rsidRDefault="002A06C7" w:rsidP="004523A7">
      <w:pPr>
        <w:pStyle w:val="FootnoteText"/>
        <w:jc w:val="both"/>
      </w:pPr>
      <w:r w:rsidRPr="00C51599">
        <w:rPr>
          <w:rStyle w:val="FootnoteReference"/>
        </w:rPr>
        <w:footnoteRef/>
      </w:r>
      <w:r>
        <w:tab/>
        <w:t>Les objections formulées par certains membres du GEI au sujet du "changement climatique" s'appliquent aux références au changement climatique ultérieures dans l'ensemble du rapport de la Secrétaire générale et des avis qui lui sont annexés.</w:t>
      </w:r>
    </w:p>
  </w:footnote>
  <w:footnote w:id="4">
    <w:p w14:paraId="0FF8CB95" w14:textId="13252819" w:rsidR="002A06C7" w:rsidRPr="002B624C" w:rsidRDefault="002A06C7" w:rsidP="004523A7">
      <w:pPr>
        <w:pStyle w:val="FootnoteText"/>
        <w:jc w:val="both"/>
      </w:pPr>
      <w:r w:rsidRPr="00D10E8A">
        <w:rPr>
          <w:rStyle w:val="FootnoteReference"/>
        </w:rPr>
        <w:footnoteRef/>
      </w:r>
      <w:r>
        <w:tab/>
        <w:t>Les objections formulées par certains membres du GEI concernant les Objectifs de développement durable s'appliquent aux références aux Objectifs de développement durable ultérieures dans le rapport de la Secrétaire générale et dans les avis qui y sont annexés.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C6D5" w14:textId="77777777" w:rsidR="00490624" w:rsidRDefault="00490624" w:rsidP="00490624">
    <w:pPr>
      <w:pStyle w:val="Header"/>
    </w:pPr>
    <w:r>
      <w:fldChar w:fldCharType="begin"/>
    </w:r>
    <w:r>
      <w:instrText xml:space="preserve"> PAGE   \* MERGEFORMAT </w:instrText>
    </w:r>
    <w:r>
      <w:fldChar w:fldCharType="separate"/>
    </w:r>
    <w:r>
      <w:t>2</w:t>
    </w:r>
    <w:r>
      <w:fldChar w:fldCharType="end"/>
    </w:r>
  </w:p>
  <w:p w14:paraId="650D8FD2" w14:textId="14907C04" w:rsidR="00BD1614" w:rsidRPr="00490624" w:rsidRDefault="00490624" w:rsidP="00490624">
    <w:pPr>
      <w:pStyle w:val="Header"/>
    </w:pPr>
    <w:r>
      <w:t>WTPF-26/</w:t>
    </w:r>
    <w:r w:rsidR="00D57B4D">
      <w:t>2</w:t>
    </w:r>
    <w:r>
      <w:t>-F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D5E"/>
    <w:rsid w:val="000054D8"/>
    <w:rsid w:val="00055C50"/>
    <w:rsid w:val="00056CCA"/>
    <w:rsid w:val="00060D74"/>
    <w:rsid w:val="00072D5C"/>
    <w:rsid w:val="0008398C"/>
    <w:rsid w:val="00084308"/>
    <w:rsid w:val="0009232F"/>
    <w:rsid w:val="000A2BC9"/>
    <w:rsid w:val="000B14B6"/>
    <w:rsid w:val="000C467B"/>
    <w:rsid w:val="000D15FB"/>
    <w:rsid w:val="000F58F7"/>
    <w:rsid w:val="001051E4"/>
    <w:rsid w:val="001354EA"/>
    <w:rsid w:val="00136FCE"/>
    <w:rsid w:val="001528C8"/>
    <w:rsid w:val="00153BA4"/>
    <w:rsid w:val="001941AD"/>
    <w:rsid w:val="0019732C"/>
    <w:rsid w:val="001A0682"/>
    <w:rsid w:val="001B4D8D"/>
    <w:rsid w:val="001C3790"/>
    <w:rsid w:val="001D31B2"/>
    <w:rsid w:val="001D4F2C"/>
    <w:rsid w:val="001E1B9B"/>
    <w:rsid w:val="001E2226"/>
    <w:rsid w:val="001F0B24"/>
    <w:rsid w:val="001F6233"/>
    <w:rsid w:val="00230D1A"/>
    <w:rsid w:val="002355CD"/>
    <w:rsid w:val="0025067F"/>
    <w:rsid w:val="00252A40"/>
    <w:rsid w:val="00270B2F"/>
    <w:rsid w:val="002712F9"/>
    <w:rsid w:val="002841B8"/>
    <w:rsid w:val="002A06C7"/>
    <w:rsid w:val="002A0E1B"/>
    <w:rsid w:val="002A7A1D"/>
    <w:rsid w:val="002C1059"/>
    <w:rsid w:val="002C2F9C"/>
    <w:rsid w:val="002C37AB"/>
    <w:rsid w:val="002D5B95"/>
    <w:rsid w:val="002E1AF7"/>
    <w:rsid w:val="002F40AF"/>
    <w:rsid w:val="00304DFD"/>
    <w:rsid w:val="00322DEA"/>
    <w:rsid w:val="00355FBD"/>
    <w:rsid w:val="00371863"/>
    <w:rsid w:val="00381461"/>
    <w:rsid w:val="00391C12"/>
    <w:rsid w:val="003A0B7D"/>
    <w:rsid w:val="003A45C2"/>
    <w:rsid w:val="003B1823"/>
    <w:rsid w:val="003B7A11"/>
    <w:rsid w:val="003C4BE2"/>
    <w:rsid w:val="003D147D"/>
    <w:rsid w:val="003D637A"/>
    <w:rsid w:val="00413CB9"/>
    <w:rsid w:val="00430015"/>
    <w:rsid w:val="00434918"/>
    <w:rsid w:val="004523A7"/>
    <w:rsid w:val="004678D0"/>
    <w:rsid w:val="00482954"/>
    <w:rsid w:val="00490624"/>
    <w:rsid w:val="00495100"/>
    <w:rsid w:val="004951C0"/>
    <w:rsid w:val="004C7646"/>
    <w:rsid w:val="004E74AB"/>
    <w:rsid w:val="005056AF"/>
    <w:rsid w:val="0051199F"/>
    <w:rsid w:val="0051405B"/>
    <w:rsid w:val="00524001"/>
    <w:rsid w:val="00563698"/>
    <w:rsid w:val="005641B0"/>
    <w:rsid w:val="00564B63"/>
    <w:rsid w:val="00575DC7"/>
    <w:rsid w:val="005836C2"/>
    <w:rsid w:val="005A05BD"/>
    <w:rsid w:val="005A4EFD"/>
    <w:rsid w:val="005A5ABE"/>
    <w:rsid w:val="005C2ECC"/>
    <w:rsid w:val="005C6744"/>
    <w:rsid w:val="005E419E"/>
    <w:rsid w:val="005E5736"/>
    <w:rsid w:val="005F63BD"/>
    <w:rsid w:val="00611CF1"/>
    <w:rsid w:val="006201D9"/>
    <w:rsid w:val="0062756D"/>
    <w:rsid w:val="006277DB"/>
    <w:rsid w:val="00635B7B"/>
    <w:rsid w:val="00655B98"/>
    <w:rsid w:val="006710E6"/>
    <w:rsid w:val="00686973"/>
    <w:rsid w:val="00696B2D"/>
    <w:rsid w:val="006A2656"/>
    <w:rsid w:val="006A3475"/>
    <w:rsid w:val="006A6342"/>
    <w:rsid w:val="006B6C9C"/>
    <w:rsid w:val="006C7AE3"/>
    <w:rsid w:val="006D55E8"/>
    <w:rsid w:val="006E1921"/>
    <w:rsid w:val="006F36F9"/>
    <w:rsid w:val="0070576B"/>
    <w:rsid w:val="00713335"/>
    <w:rsid w:val="00717FAC"/>
    <w:rsid w:val="00727C2F"/>
    <w:rsid w:val="00735F13"/>
    <w:rsid w:val="007575CC"/>
    <w:rsid w:val="007717F2"/>
    <w:rsid w:val="00772E3B"/>
    <w:rsid w:val="0078134C"/>
    <w:rsid w:val="007A3E96"/>
    <w:rsid w:val="007A47E9"/>
    <w:rsid w:val="007A5830"/>
    <w:rsid w:val="007D21FB"/>
    <w:rsid w:val="00801154"/>
    <w:rsid w:val="00801256"/>
    <w:rsid w:val="008264FC"/>
    <w:rsid w:val="008407A7"/>
    <w:rsid w:val="008703CB"/>
    <w:rsid w:val="008B61AF"/>
    <w:rsid w:val="008C33C2"/>
    <w:rsid w:val="008C6137"/>
    <w:rsid w:val="008E2DB4"/>
    <w:rsid w:val="00901DD5"/>
    <w:rsid w:val="00901E77"/>
    <w:rsid w:val="0090735B"/>
    <w:rsid w:val="00911311"/>
    <w:rsid w:val="00912D57"/>
    <w:rsid w:val="00912D5E"/>
    <w:rsid w:val="00934340"/>
    <w:rsid w:val="00955620"/>
    <w:rsid w:val="00956DC7"/>
    <w:rsid w:val="00966CD3"/>
    <w:rsid w:val="00987A20"/>
    <w:rsid w:val="0099381A"/>
    <w:rsid w:val="009A0E15"/>
    <w:rsid w:val="009A1288"/>
    <w:rsid w:val="009C3BA8"/>
    <w:rsid w:val="009D4037"/>
    <w:rsid w:val="009F0592"/>
    <w:rsid w:val="00A20E72"/>
    <w:rsid w:val="00A246DC"/>
    <w:rsid w:val="00A47BAF"/>
    <w:rsid w:val="00A50DC7"/>
    <w:rsid w:val="00A542D3"/>
    <w:rsid w:val="00A5784F"/>
    <w:rsid w:val="00A615EC"/>
    <w:rsid w:val="00A83048"/>
    <w:rsid w:val="00A8436E"/>
    <w:rsid w:val="00A95B66"/>
    <w:rsid w:val="00AA1DF1"/>
    <w:rsid w:val="00AB190D"/>
    <w:rsid w:val="00AC20C8"/>
    <w:rsid w:val="00AE0667"/>
    <w:rsid w:val="00B119C6"/>
    <w:rsid w:val="00B23CD4"/>
    <w:rsid w:val="00B41E0A"/>
    <w:rsid w:val="00B56DE0"/>
    <w:rsid w:val="00B71F12"/>
    <w:rsid w:val="00B76FEC"/>
    <w:rsid w:val="00B96B1E"/>
    <w:rsid w:val="00BB2A6F"/>
    <w:rsid w:val="00BD1614"/>
    <w:rsid w:val="00BD382C"/>
    <w:rsid w:val="00BD5C12"/>
    <w:rsid w:val="00BD5DA6"/>
    <w:rsid w:val="00BF7D25"/>
    <w:rsid w:val="00C00850"/>
    <w:rsid w:val="00C010C0"/>
    <w:rsid w:val="00C0405F"/>
    <w:rsid w:val="00C209C0"/>
    <w:rsid w:val="00C40CB5"/>
    <w:rsid w:val="00C54CE6"/>
    <w:rsid w:val="00C550C5"/>
    <w:rsid w:val="00C575E2"/>
    <w:rsid w:val="00C7368B"/>
    <w:rsid w:val="00C92746"/>
    <w:rsid w:val="00CC4DC5"/>
    <w:rsid w:val="00CE1A7C"/>
    <w:rsid w:val="00CE496F"/>
    <w:rsid w:val="00D0464B"/>
    <w:rsid w:val="00D12C74"/>
    <w:rsid w:val="00D17A8C"/>
    <w:rsid w:val="00D2263F"/>
    <w:rsid w:val="00D56483"/>
    <w:rsid w:val="00D5658F"/>
    <w:rsid w:val="00D56AD6"/>
    <w:rsid w:val="00D57B4D"/>
    <w:rsid w:val="00D70019"/>
    <w:rsid w:val="00D714FC"/>
    <w:rsid w:val="00D74B58"/>
    <w:rsid w:val="00D82ABE"/>
    <w:rsid w:val="00D960FA"/>
    <w:rsid w:val="00DA4ABA"/>
    <w:rsid w:val="00DA685B"/>
    <w:rsid w:val="00DA742B"/>
    <w:rsid w:val="00DF25C1"/>
    <w:rsid w:val="00DF48F7"/>
    <w:rsid w:val="00DF4964"/>
    <w:rsid w:val="00DF4D73"/>
    <w:rsid w:val="00DF79B0"/>
    <w:rsid w:val="00E1047D"/>
    <w:rsid w:val="00E4050B"/>
    <w:rsid w:val="00E43434"/>
    <w:rsid w:val="00E443FA"/>
    <w:rsid w:val="00E54FCE"/>
    <w:rsid w:val="00E60DA1"/>
    <w:rsid w:val="00E921A2"/>
    <w:rsid w:val="00E93D35"/>
    <w:rsid w:val="00EA2935"/>
    <w:rsid w:val="00EA45DB"/>
    <w:rsid w:val="00EC1877"/>
    <w:rsid w:val="00ED2CD9"/>
    <w:rsid w:val="00EE6F24"/>
    <w:rsid w:val="00F07DA7"/>
    <w:rsid w:val="00F10D82"/>
    <w:rsid w:val="00F23453"/>
    <w:rsid w:val="00F3254F"/>
    <w:rsid w:val="00F43C55"/>
    <w:rsid w:val="00F564C1"/>
    <w:rsid w:val="00F62996"/>
    <w:rsid w:val="00F63FB7"/>
    <w:rsid w:val="00F733CF"/>
    <w:rsid w:val="00F77FA2"/>
    <w:rsid w:val="00F8357A"/>
    <w:rsid w:val="00F912F0"/>
    <w:rsid w:val="00F94D05"/>
    <w:rsid w:val="00FA1B77"/>
    <w:rsid w:val="00FB4B65"/>
    <w:rsid w:val="00FB74B8"/>
    <w:rsid w:val="00FC49E0"/>
    <w:rsid w:val="00FF0484"/>
    <w:rsid w:val="00FF2C60"/>
    <w:rsid w:val="00FF4E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F7E724"/>
  <w15:docId w15:val="{F7996034-3CD0-499A-8D2F-018CE164A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0E6"/>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5A4EFD"/>
    <w:pPr>
      <w:keepNext/>
      <w:keepLines/>
      <w:spacing w:before="480"/>
      <w:ind w:left="567" w:hanging="567"/>
      <w:outlineLvl w:val="0"/>
    </w:pPr>
    <w:rPr>
      <w:b/>
      <w:sz w:val="28"/>
    </w:rPr>
  </w:style>
  <w:style w:type="paragraph" w:styleId="Heading2">
    <w:name w:val="heading 2"/>
    <w:basedOn w:val="Heading1"/>
    <w:next w:val="Normal"/>
    <w:qFormat/>
    <w:rsid w:val="00686973"/>
    <w:pPr>
      <w:spacing w:before="320"/>
      <w:outlineLvl w:val="1"/>
    </w:pPr>
    <w:rPr>
      <w:sz w:val="24"/>
    </w:rPr>
  </w:style>
  <w:style w:type="paragraph" w:styleId="Heading3">
    <w:name w:val="heading 3"/>
    <w:basedOn w:val="Heading1"/>
    <w:next w:val="Normal"/>
    <w:qFormat/>
    <w:rsid w:val="00686973"/>
    <w:pPr>
      <w:spacing w:before="200"/>
      <w:outlineLvl w:val="2"/>
    </w:pPr>
    <w:rPr>
      <w:sz w:val="24"/>
    </w:rPr>
  </w:style>
  <w:style w:type="paragraph" w:styleId="Heading4">
    <w:name w:val="heading 4"/>
    <w:basedOn w:val="Heading3"/>
    <w:next w:val="Normal"/>
    <w:qFormat/>
    <w:rsid w:val="003A0B7D"/>
    <w:pPr>
      <w:ind w:left="1134" w:hanging="1134"/>
      <w:outlineLvl w:val="3"/>
    </w:pPr>
  </w:style>
  <w:style w:type="paragraph" w:styleId="Heading5">
    <w:name w:val="heading 5"/>
    <w:basedOn w:val="Heading4"/>
    <w:next w:val="Normal"/>
    <w:qFormat/>
    <w:rsid w:val="003A0B7D"/>
    <w:pPr>
      <w:outlineLvl w:val="4"/>
    </w:pPr>
  </w:style>
  <w:style w:type="paragraph" w:styleId="Heading6">
    <w:name w:val="heading 6"/>
    <w:basedOn w:val="Heading4"/>
    <w:next w:val="Normal"/>
    <w:qFormat/>
    <w:rsid w:val="003A0B7D"/>
    <w:pPr>
      <w:outlineLvl w:val="5"/>
    </w:pPr>
  </w:style>
  <w:style w:type="paragraph" w:styleId="Heading7">
    <w:name w:val="heading 7"/>
    <w:basedOn w:val="Heading4"/>
    <w:next w:val="Normal"/>
    <w:qFormat/>
    <w:rsid w:val="003A0B7D"/>
    <w:pPr>
      <w:ind w:left="1701" w:hanging="1701"/>
      <w:outlineLvl w:val="6"/>
    </w:pPr>
  </w:style>
  <w:style w:type="paragraph" w:styleId="Heading8">
    <w:name w:val="heading 8"/>
    <w:basedOn w:val="Heading4"/>
    <w:next w:val="Normal"/>
    <w:qFormat/>
    <w:rsid w:val="003A0B7D"/>
    <w:pPr>
      <w:ind w:left="1701" w:hanging="1701"/>
      <w:outlineLvl w:val="7"/>
    </w:pPr>
  </w:style>
  <w:style w:type="paragraph" w:styleId="Heading9">
    <w:name w:val="heading 9"/>
    <w:basedOn w:val="Heading4"/>
    <w:next w:val="Normal"/>
    <w:qFormat/>
    <w:rsid w:val="003A0B7D"/>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3A0B7D"/>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3A0B7D"/>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Date">
    <w:name w:val="Date"/>
    <w:basedOn w:val="Normal"/>
    <w:rsid w:val="003A0B7D"/>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paragraph" w:styleId="Footer">
    <w:name w:val="footer"/>
    <w:basedOn w:val="Normal"/>
    <w:rsid w:val="003A0B7D"/>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3A0B7D"/>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5A4EFD"/>
    <w:rPr>
      <w:rFonts w:ascii="Calibri" w:hAnsi="Calibri"/>
      <w:position w:val="6"/>
      <w:sz w:val="16"/>
    </w:rPr>
  </w:style>
  <w:style w:type="paragraph" w:styleId="FootnoteText">
    <w:name w:val="footnote text"/>
    <w:basedOn w:val="Normal"/>
    <w:rsid w:val="002841B8"/>
    <w:pPr>
      <w:keepLines/>
      <w:tabs>
        <w:tab w:val="left" w:pos="256"/>
      </w:tabs>
      <w:ind w:left="256" w:hanging="256"/>
    </w:pPr>
    <w:rPr>
      <w:sz w:val="22"/>
    </w:rPr>
  </w:style>
  <w:style w:type="paragraph" w:styleId="NormalIndent">
    <w:name w:val="Normal Indent"/>
    <w:basedOn w:val="Normal"/>
    <w:rsid w:val="003A0B7D"/>
    <w:pPr>
      <w:ind w:left="567"/>
    </w:pPr>
  </w:style>
  <w:style w:type="paragraph" w:customStyle="1" w:styleId="Tablelegend">
    <w:name w:val="Table_legend"/>
    <w:basedOn w:val="Tabletext"/>
    <w:rsid w:val="003A0B7D"/>
    <w:pPr>
      <w:spacing w:before="120"/>
    </w:pPr>
  </w:style>
  <w:style w:type="paragraph" w:customStyle="1" w:styleId="Tabletext">
    <w:name w:val="Table_text"/>
    <w:basedOn w:val="Normal"/>
    <w:rsid w:val="003A0B7D"/>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3A0B7D"/>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3A0B7D"/>
    <w:pPr>
      <w:keepNext/>
      <w:spacing w:before="560" w:after="120"/>
      <w:jc w:val="center"/>
    </w:pPr>
    <w:rPr>
      <w:caps/>
    </w:rPr>
  </w:style>
  <w:style w:type="paragraph" w:customStyle="1" w:styleId="enumlev1">
    <w:name w:val="enumlev1"/>
    <w:basedOn w:val="Normal"/>
    <w:rsid w:val="00A50DC7"/>
    <w:pPr>
      <w:tabs>
        <w:tab w:val="clear" w:pos="567"/>
        <w:tab w:val="left" w:pos="851"/>
      </w:tabs>
      <w:spacing w:before="80"/>
      <w:ind w:left="851" w:hanging="851"/>
    </w:pPr>
  </w:style>
  <w:style w:type="paragraph" w:customStyle="1" w:styleId="enumlev2">
    <w:name w:val="enumlev2"/>
    <w:basedOn w:val="enumlev1"/>
    <w:rsid w:val="004523A7"/>
    <w:pPr>
      <w:ind w:left="1135" w:hanging="284"/>
    </w:pPr>
  </w:style>
  <w:style w:type="paragraph" w:customStyle="1" w:styleId="enumlev3">
    <w:name w:val="enumlev3"/>
    <w:basedOn w:val="enumlev2"/>
    <w:rsid w:val="003A0B7D"/>
    <w:pPr>
      <w:ind w:left="1701"/>
    </w:pPr>
  </w:style>
  <w:style w:type="paragraph" w:customStyle="1" w:styleId="Tablehead">
    <w:name w:val="Table_head"/>
    <w:basedOn w:val="Tabletext"/>
    <w:rsid w:val="003A0B7D"/>
    <w:pPr>
      <w:spacing w:before="120" w:after="120"/>
      <w:jc w:val="center"/>
    </w:pPr>
    <w:rPr>
      <w:b/>
    </w:rPr>
  </w:style>
  <w:style w:type="paragraph" w:customStyle="1" w:styleId="Normalaftertitle">
    <w:name w:val="Normal after title"/>
    <w:basedOn w:val="Normal"/>
    <w:next w:val="Normal"/>
    <w:rsid w:val="003A0B7D"/>
    <w:pPr>
      <w:spacing w:before="240"/>
    </w:pPr>
  </w:style>
  <w:style w:type="paragraph" w:customStyle="1" w:styleId="AnnexNo">
    <w:name w:val="Annex_No"/>
    <w:basedOn w:val="Normal"/>
    <w:next w:val="Annexref"/>
    <w:rsid w:val="00686973"/>
    <w:pPr>
      <w:spacing w:before="720"/>
      <w:jc w:val="center"/>
    </w:pPr>
    <w:rPr>
      <w:caps/>
      <w:sz w:val="28"/>
    </w:rPr>
  </w:style>
  <w:style w:type="paragraph" w:customStyle="1" w:styleId="Annexref">
    <w:name w:val="Annex_ref"/>
    <w:basedOn w:val="Normal"/>
    <w:next w:val="Annextitle"/>
    <w:rsid w:val="00686973"/>
    <w:pPr>
      <w:jc w:val="center"/>
    </w:pPr>
    <w:rPr>
      <w:sz w:val="28"/>
    </w:rPr>
  </w:style>
  <w:style w:type="paragraph" w:customStyle="1" w:styleId="Annextitle">
    <w:name w:val="Annex_title"/>
    <w:basedOn w:val="Normal"/>
    <w:next w:val="Normal"/>
    <w:rsid w:val="00686973"/>
    <w:pPr>
      <w:spacing w:before="240" w:after="240"/>
      <w:jc w:val="center"/>
    </w:pPr>
    <w:rPr>
      <w:b/>
      <w:sz w:val="28"/>
    </w:rPr>
  </w:style>
  <w:style w:type="paragraph" w:customStyle="1" w:styleId="AppendixNo">
    <w:name w:val="Appendix_No"/>
    <w:basedOn w:val="AnnexNo"/>
    <w:next w:val="Appendixref"/>
    <w:rsid w:val="00686973"/>
  </w:style>
  <w:style w:type="paragraph" w:customStyle="1" w:styleId="Appendixref">
    <w:name w:val="Appendix_ref"/>
    <w:basedOn w:val="Annexref"/>
    <w:next w:val="Appendixtitle"/>
    <w:rsid w:val="003A0B7D"/>
  </w:style>
  <w:style w:type="paragraph" w:customStyle="1" w:styleId="Appendixtitle">
    <w:name w:val="Appendix_title"/>
    <w:basedOn w:val="Annextitle"/>
    <w:next w:val="Normal"/>
    <w:rsid w:val="003A0B7D"/>
  </w:style>
  <w:style w:type="paragraph" w:customStyle="1" w:styleId="Reftitle">
    <w:name w:val="Ref_title"/>
    <w:basedOn w:val="Normal"/>
    <w:next w:val="Reftext"/>
    <w:rsid w:val="00686973"/>
    <w:pPr>
      <w:spacing w:before="480"/>
      <w:jc w:val="center"/>
    </w:pPr>
    <w:rPr>
      <w:caps/>
      <w:sz w:val="28"/>
    </w:rPr>
  </w:style>
  <w:style w:type="paragraph" w:customStyle="1" w:styleId="Reftext">
    <w:name w:val="Ref_text"/>
    <w:basedOn w:val="Normal"/>
    <w:rsid w:val="003A0B7D"/>
    <w:pPr>
      <w:ind w:left="567" w:hanging="567"/>
    </w:pPr>
  </w:style>
  <w:style w:type="paragraph" w:customStyle="1" w:styleId="Rectitle">
    <w:name w:val="Rec_title"/>
    <w:basedOn w:val="Normal"/>
    <w:next w:val="Heading1"/>
    <w:rsid w:val="005A4EFD"/>
    <w:pPr>
      <w:spacing w:before="240"/>
      <w:jc w:val="center"/>
    </w:pPr>
    <w:rPr>
      <w:b/>
      <w:sz w:val="28"/>
    </w:rPr>
  </w:style>
  <w:style w:type="paragraph" w:customStyle="1" w:styleId="Call">
    <w:name w:val="Call"/>
    <w:basedOn w:val="Normal"/>
    <w:next w:val="Normal"/>
    <w:rsid w:val="003A0B7D"/>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686973"/>
    <w:pPr>
      <w:spacing w:before="720"/>
      <w:jc w:val="center"/>
    </w:pPr>
    <w:rPr>
      <w:caps/>
      <w:sz w:val="28"/>
    </w:rPr>
  </w:style>
  <w:style w:type="paragraph" w:customStyle="1" w:styleId="toc0">
    <w:name w:val="toc 0"/>
    <w:basedOn w:val="Normal"/>
    <w:next w:val="TOC1"/>
    <w:rsid w:val="003A0B7D"/>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686973"/>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3A0B7D"/>
    <w:pPr>
      <w:tabs>
        <w:tab w:val="clear" w:pos="567"/>
        <w:tab w:val="left" w:pos="851"/>
      </w:tabs>
    </w:pPr>
  </w:style>
  <w:style w:type="paragraph" w:customStyle="1" w:styleId="MinusFootnote">
    <w:name w:val="MinusFootnote"/>
    <w:basedOn w:val="Normal"/>
    <w:rsid w:val="003A0B7D"/>
    <w:pPr>
      <w:ind w:left="-1701" w:hanging="284"/>
    </w:pPr>
  </w:style>
  <w:style w:type="paragraph" w:customStyle="1" w:styleId="Title3">
    <w:name w:val="Title 3"/>
    <w:basedOn w:val="Title2"/>
    <w:next w:val="Normalaftertitle"/>
    <w:rsid w:val="003A0B7D"/>
    <w:rPr>
      <w:caps w:val="0"/>
    </w:rPr>
  </w:style>
  <w:style w:type="paragraph" w:customStyle="1" w:styleId="Title2">
    <w:name w:val="Title 2"/>
    <w:basedOn w:val="Source"/>
    <w:next w:val="Title3"/>
    <w:rsid w:val="003A0B7D"/>
    <w:pPr>
      <w:spacing w:before="240"/>
    </w:pPr>
    <w:rPr>
      <w:b w:val="0"/>
      <w:caps/>
    </w:rPr>
  </w:style>
  <w:style w:type="paragraph" w:customStyle="1" w:styleId="Source">
    <w:name w:val="Source"/>
    <w:basedOn w:val="Normal"/>
    <w:next w:val="Title1"/>
    <w:rsid w:val="00F564C1"/>
    <w:pPr>
      <w:spacing w:before="840"/>
      <w:jc w:val="center"/>
    </w:pPr>
    <w:rPr>
      <w:b/>
      <w:sz w:val="28"/>
    </w:rPr>
  </w:style>
  <w:style w:type="paragraph" w:customStyle="1" w:styleId="Title1">
    <w:name w:val="Title 1"/>
    <w:basedOn w:val="Source"/>
    <w:next w:val="Title2"/>
    <w:rsid w:val="003A0B7D"/>
    <w:pPr>
      <w:spacing w:before="240"/>
    </w:pPr>
    <w:rPr>
      <w:b w:val="0"/>
      <w:caps/>
    </w:rPr>
  </w:style>
  <w:style w:type="paragraph" w:customStyle="1" w:styleId="ArtNo">
    <w:name w:val="Art_No"/>
    <w:basedOn w:val="Normal"/>
    <w:next w:val="Arttitle"/>
    <w:rsid w:val="00686973"/>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686973"/>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3A0B7D"/>
  </w:style>
  <w:style w:type="paragraph" w:customStyle="1" w:styleId="Chaptitle">
    <w:name w:val="Chap_title"/>
    <w:basedOn w:val="Arttitle"/>
    <w:next w:val="Normal"/>
    <w:rsid w:val="003A0B7D"/>
  </w:style>
  <w:style w:type="paragraph" w:customStyle="1" w:styleId="Reasons">
    <w:name w:val="Reasons"/>
    <w:basedOn w:val="Normal"/>
    <w:rsid w:val="003A0B7D"/>
  </w:style>
  <w:style w:type="paragraph" w:customStyle="1" w:styleId="ResNo">
    <w:name w:val="Res_No"/>
    <w:basedOn w:val="AnnexNo"/>
    <w:next w:val="Restitle"/>
    <w:rsid w:val="003A0B7D"/>
  </w:style>
  <w:style w:type="paragraph" w:customStyle="1" w:styleId="Restitle">
    <w:name w:val="Res_title"/>
    <w:basedOn w:val="Annextitle"/>
    <w:next w:val="Normal"/>
    <w:rsid w:val="005A4EFD"/>
  </w:style>
  <w:style w:type="paragraph" w:customStyle="1" w:styleId="AnnexNoS2">
    <w:name w:val="Annex_No_S2"/>
    <w:basedOn w:val="AnnexNo"/>
    <w:next w:val="AnnexrefS2"/>
    <w:rsid w:val="00686973"/>
    <w:pPr>
      <w:tabs>
        <w:tab w:val="clear" w:pos="567"/>
        <w:tab w:val="clear" w:pos="1134"/>
        <w:tab w:val="clear" w:pos="1701"/>
        <w:tab w:val="clear" w:pos="2268"/>
        <w:tab w:val="clear" w:pos="2835"/>
        <w:tab w:val="left" w:pos="851"/>
      </w:tabs>
      <w:jc w:val="left"/>
    </w:pPr>
    <w:rPr>
      <w:b/>
      <w:sz w:val="24"/>
    </w:rPr>
  </w:style>
  <w:style w:type="paragraph" w:customStyle="1" w:styleId="AnnexrefS2">
    <w:name w:val="Annex_ref_S2"/>
    <w:basedOn w:val="Annexref"/>
    <w:next w:val="AnnextitleS2"/>
    <w:rsid w:val="00686973"/>
    <w:pPr>
      <w:tabs>
        <w:tab w:val="clear" w:pos="567"/>
        <w:tab w:val="clear" w:pos="1134"/>
        <w:tab w:val="clear" w:pos="1701"/>
        <w:tab w:val="clear" w:pos="2268"/>
        <w:tab w:val="clear" w:pos="2835"/>
        <w:tab w:val="left" w:pos="851"/>
      </w:tabs>
      <w:jc w:val="left"/>
    </w:pPr>
    <w:rPr>
      <w:b/>
      <w:sz w:val="24"/>
    </w:rPr>
  </w:style>
  <w:style w:type="paragraph" w:customStyle="1" w:styleId="AnnextitleS2">
    <w:name w:val="Annex_title_S2"/>
    <w:basedOn w:val="Annex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NormalS2">
    <w:name w:val="Normal_S2"/>
    <w:basedOn w:val="Normal"/>
    <w:rsid w:val="003A0B7D"/>
    <w:pPr>
      <w:tabs>
        <w:tab w:val="clear" w:pos="567"/>
        <w:tab w:val="clear" w:pos="1134"/>
        <w:tab w:val="clear" w:pos="1701"/>
        <w:tab w:val="clear" w:pos="2268"/>
        <w:tab w:val="clear" w:pos="2835"/>
        <w:tab w:val="left" w:pos="851"/>
      </w:tabs>
    </w:pPr>
    <w:rPr>
      <w:b/>
    </w:rPr>
  </w:style>
  <w:style w:type="paragraph" w:customStyle="1" w:styleId="Section1">
    <w:name w:val="Section 1"/>
    <w:basedOn w:val="ChapNo"/>
    <w:next w:val="Normal"/>
    <w:rsid w:val="003A0B7D"/>
    <w:rPr>
      <w:caps w:val="0"/>
    </w:rPr>
  </w:style>
  <w:style w:type="paragraph" w:customStyle="1" w:styleId="Section2">
    <w:name w:val="Section 2"/>
    <w:basedOn w:val="Section1"/>
    <w:next w:val="Normal"/>
    <w:rsid w:val="003A0B7D"/>
    <w:pPr>
      <w:spacing w:before="240"/>
    </w:pPr>
    <w:rPr>
      <w:b/>
      <w:i/>
    </w:rPr>
  </w:style>
  <w:style w:type="paragraph" w:customStyle="1" w:styleId="AppendixNoS2">
    <w:name w:val="Appendix_No_S2"/>
    <w:basedOn w:val="AppendixNo"/>
    <w:next w:val="AppendixrefS2"/>
    <w:rsid w:val="00686973"/>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686973"/>
    <w:pPr>
      <w:tabs>
        <w:tab w:val="clear" w:pos="567"/>
        <w:tab w:val="clear" w:pos="1134"/>
        <w:tab w:val="clear" w:pos="1701"/>
        <w:tab w:val="clear" w:pos="2268"/>
        <w:tab w:val="clear" w:pos="2835"/>
        <w:tab w:val="left" w:pos="851"/>
      </w:tabs>
      <w:jc w:val="left"/>
    </w:pPr>
    <w:rPr>
      <w:b/>
      <w:sz w:val="24"/>
    </w:rPr>
  </w:style>
  <w:style w:type="paragraph" w:customStyle="1" w:styleId="AppendixtitleS2">
    <w:name w:val="Appendix_title_S2"/>
    <w:basedOn w:val="Appendix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686973"/>
    <w:pPr>
      <w:tabs>
        <w:tab w:val="left" w:pos="851"/>
      </w:tabs>
      <w:jc w:val="left"/>
    </w:pPr>
    <w:rPr>
      <w:b/>
      <w:sz w:val="24"/>
    </w:rPr>
  </w:style>
  <w:style w:type="paragraph" w:customStyle="1" w:styleId="ArttitleS2">
    <w:name w:val="Art_title_S2"/>
    <w:basedOn w:val="Arttitle"/>
    <w:next w:val="NormalS2"/>
    <w:rsid w:val="00686973"/>
    <w:pPr>
      <w:tabs>
        <w:tab w:val="left" w:pos="851"/>
      </w:tabs>
      <w:jc w:val="left"/>
    </w:pPr>
    <w:rPr>
      <w:sz w:val="24"/>
    </w:rPr>
  </w:style>
  <w:style w:type="paragraph" w:customStyle="1" w:styleId="ChapNoS2">
    <w:name w:val="Chap_No_S2"/>
    <w:basedOn w:val="ChapNo"/>
    <w:next w:val="ChaptitleS2"/>
    <w:rsid w:val="005A4EFD"/>
    <w:pPr>
      <w:tabs>
        <w:tab w:val="left" w:pos="851"/>
      </w:tabs>
      <w:jc w:val="left"/>
    </w:pPr>
    <w:rPr>
      <w:b/>
      <w:sz w:val="24"/>
    </w:rPr>
  </w:style>
  <w:style w:type="paragraph" w:customStyle="1" w:styleId="ChaptitleS2">
    <w:name w:val="Chap_title_S2"/>
    <w:basedOn w:val="Chaptitle"/>
    <w:next w:val="NormalS2"/>
    <w:rsid w:val="00686973"/>
    <w:pPr>
      <w:tabs>
        <w:tab w:val="left" w:pos="851"/>
      </w:tabs>
      <w:jc w:val="left"/>
    </w:pPr>
    <w:rPr>
      <w:sz w:val="24"/>
    </w:rPr>
  </w:style>
  <w:style w:type="paragraph" w:customStyle="1" w:styleId="enumlev1S2">
    <w:name w:val="enumlev1_S2"/>
    <w:basedOn w:val="enumlev1"/>
    <w:rsid w:val="003A0B7D"/>
    <w:pPr>
      <w:tabs>
        <w:tab w:val="clear" w:pos="1134"/>
        <w:tab w:val="clear" w:pos="1701"/>
        <w:tab w:val="clear" w:pos="2268"/>
        <w:tab w:val="clear" w:pos="2835"/>
      </w:tabs>
      <w:ind w:left="0" w:firstLine="0"/>
    </w:pPr>
    <w:rPr>
      <w:b/>
    </w:rPr>
  </w:style>
  <w:style w:type="paragraph" w:customStyle="1" w:styleId="enumlev2S2">
    <w:name w:val="enumlev2_S2"/>
    <w:basedOn w:val="enumlev2"/>
    <w:rsid w:val="003A0B7D"/>
    <w:pPr>
      <w:tabs>
        <w:tab w:val="clear" w:pos="1134"/>
        <w:tab w:val="clear" w:pos="1701"/>
        <w:tab w:val="clear" w:pos="2268"/>
        <w:tab w:val="clear" w:pos="2835"/>
      </w:tabs>
      <w:ind w:left="0" w:firstLine="0"/>
    </w:pPr>
    <w:rPr>
      <w:b/>
    </w:rPr>
  </w:style>
  <w:style w:type="paragraph" w:customStyle="1" w:styleId="enumlev3S2">
    <w:name w:val="enumlev3_S2"/>
    <w:basedOn w:val="enumlev3"/>
    <w:rsid w:val="003A0B7D"/>
    <w:pPr>
      <w:tabs>
        <w:tab w:val="clear" w:pos="1134"/>
        <w:tab w:val="clear" w:pos="1701"/>
        <w:tab w:val="clear" w:pos="2268"/>
        <w:tab w:val="clear" w:pos="2835"/>
      </w:tabs>
      <w:ind w:left="0" w:firstLine="0"/>
    </w:pPr>
    <w:rPr>
      <w:b/>
    </w:rPr>
  </w:style>
  <w:style w:type="paragraph" w:customStyle="1" w:styleId="FootnoteTextS2">
    <w:name w:val="Footnote Text_S2"/>
    <w:basedOn w:val="FootnoteText"/>
    <w:rsid w:val="003A0B7D"/>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686973"/>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3A0B7D"/>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3A0B7D"/>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3A0B7D"/>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3A0B7D"/>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3A0B7D"/>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3A0B7D"/>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3A0B7D"/>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3A0B7D"/>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3A0B7D"/>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3A0B7D"/>
    <w:pPr>
      <w:tabs>
        <w:tab w:val="clear" w:pos="567"/>
        <w:tab w:val="clear" w:pos="1134"/>
        <w:tab w:val="clear" w:pos="1701"/>
        <w:tab w:val="clear" w:pos="2268"/>
        <w:tab w:val="clear" w:pos="2835"/>
        <w:tab w:val="left" w:pos="851"/>
      </w:tabs>
      <w:ind w:left="0"/>
    </w:pPr>
    <w:rPr>
      <w:b/>
    </w:rPr>
  </w:style>
  <w:style w:type="paragraph" w:customStyle="1" w:styleId="ReasonsS2">
    <w:name w:val="Reasons_S2"/>
    <w:basedOn w:val="Reasons"/>
    <w:rsid w:val="003A0B7D"/>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686973"/>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686973"/>
    <w:pPr>
      <w:tabs>
        <w:tab w:val="clear" w:pos="567"/>
        <w:tab w:val="clear" w:pos="1134"/>
        <w:tab w:val="clear" w:pos="1701"/>
        <w:tab w:val="clear" w:pos="2268"/>
        <w:tab w:val="clear" w:pos="2835"/>
        <w:tab w:val="left" w:pos="851"/>
      </w:tabs>
      <w:jc w:val="left"/>
    </w:pPr>
    <w:rPr>
      <w:caps/>
      <w:sz w:val="24"/>
    </w:rPr>
  </w:style>
  <w:style w:type="paragraph" w:customStyle="1" w:styleId="ReftextS2">
    <w:name w:val="Ref_text_S2"/>
    <w:basedOn w:val="Reftext"/>
    <w:rsid w:val="003A0B7D"/>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686973"/>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686973"/>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686973"/>
    <w:pPr>
      <w:tabs>
        <w:tab w:val="left" w:pos="851"/>
      </w:tabs>
      <w:jc w:val="left"/>
    </w:pPr>
    <w:rPr>
      <w:caps/>
      <w:sz w:val="24"/>
    </w:rPr>
  </w:style>
  <w:style w:type="paragraph" w:customStyle="1" w:styleId="Section2S2">
    <w:name w:val="Section 2_S2"/>
    <w:basedOn w:val="Section2"/>
    <w:next w:val="NormalS2"/>
    <w:rsid w:val="005A4EFD"/>
    <w:pPr>
      <w:tabs>
        <w:tab w:val="left" w:pos="851"/>
      </w:tabs>
      <w:jc w:val="left"/>
    </w:pPr>
    <w:rPr>
      <w:sz w:val="24"/>
    </w:rPr>
  </w:style>
  <w:style w:type="paragraph" w:customStyle="1" w:styleId="TableNoS2">
    <w:name w:val="Table_No_S2"/>
    <w:basedOn w:val="TableNo"/>
    <w:next w:val="TabletitleS2"/>
    <w:rsid w:val="003A0B7D"/>
    <w:pPr>
      <w:keepNext w:val="0"/>
      <w:tabs>
        <w:tab w:val="clear" w:pos="567"/>
        <w:tab w:val="clear" w:pos="1134"/>
        <w:tab w:val="clear" w:pos="1701"/>
        <w:tab w:val="clear" w:pos="2268"/>
        <w:tab w:val="clear" w:pos="2835"/>
        <w:tab w:val="left" w:pos="851"/>
      </w:tabs>
      <w:jc w:val="left"/>
    </w:pPr>
    <w:rPr>
      <w:b/>
    </w:rPr>
  </w:style>
  <w:style w:type="paragraph" w:customStyle="1" w:styleId="TabletitleS2">
    <w:name w:val="Table_title_S2"/>
    <w:basedOn w:val="Tabletitle"/>
    <w:next w:val="TabletextS2"/>
    <w:rsid w:val="003A0B7D"/>
    <w:pPr>
      <w:keepNext w:val="0"/>
      <w:tabs>
        <w:tab w:val="clear" w:pos="2948"/>
        <w:tab w:val="clear" w:pos="4082"/>
        <w:tab w:val="left" w:pos="851"/>
      </w:tabs>
      <w:jc w:val="left"/>
    </w:pPr>
  </w:style>
  <w:style w:type="paragraph" w:customStyle="1" w:styleId="TabletextS2">
    <w:name w:val="Table_text_S2"/>
    <w:basedOn w:val="Tabletext"/>
    <w:rsid w:val="003A0B7D"/>
    <w:pPr>
      <w:tabs>
        <w:tab w:val="left" w:pos="851"/>
      </w:tabs>
    </w:pPr>
    <w:rPr>
      <w:b/>
    </w:rPr>
  </w:style>
  <w:style w:type="paragraph" w:customStyle="1" w:styleId="TablelegendS2">
    <w:name w:val="Table_legend_S2"/>
    <w:basedOn w:val="Tablelegend"/>
    <w:rsid w:val="003A0B7D"/>
    <w:pPr>
      <w:tabs>
        <w:tab w:val="left" w:pos="851"/>
      </w:tabs>
      <w:spacing w:after="0"/>
    </w:pPr>
    <w:rPr>
      <w:b/>
    </w:rPr>
  </w:style>
  <w:style w:type="paragraph" w:customStyle="1" w:styleId="FooterS2">
    <w:name w:val="Footer_S2"/>
    <w:basedOn w:val="Footer"/>
    <w:rsid w:val="003A0B7D"/>
    <w:pPr>
      <w:tabs>
        <w:tab w:val="clear" w:pos="5954"/>
        <w:tab w:val="clear" w:pos="9639"/>
        <w:tab w:val="left" w:pos="3686"/>
        <w:tab w:val="right" w:pos="7655"/>
      </w:tabs>
      <w:ind w:left="-1985"/>
    </w:pPr>
  </w:style>
  <w:style w:type="paragraph" w:customStyle="1" w:styleId="HeaderS2">
    <w:name w:val="Header_S2"/>
    <w:basedOn w:val="Normal"/>
    <w:rsid w:val="003A0B7D"/>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3A0B7D"/>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3A0B7D"/>
    <w:pPr>
      <w:tabs>
        <w:tab w:val="left" w:pos="851"/>
      </w:tabs>
      <w:jc w:val="left"/>
    </w:pPr>
  </w:style>
  <w:style w:type="paragraph" w:customStyle="1" w:styleId="NoteS2">
    <w:name w:val="Note_S2"/>
    <w:basedOn w:val="Note"/>
    <w:rsid w:val="003A0B7D"/>
    <w:pPr>
      <w:tabs>
        <w:tab w:val="clear" w:pos="1134"/>
        <w:tab w:val="clear" w:pos="1701"/>
        <w:tab w:val="clear" w:pos="2268"/>
        <w:tab w:val="clear" w:pos="2835"/>
      </w:tabs>
    </w:pPr>
    <w:rPr>
      <w:b/>
    </w:rPr>
  </w:style>
  <w:style w:type="paragraph" w:customStyle="1" w:styleId="Heading1c">
    <w:name w:val="Heading 1c"/>
    <w:basedOn w:val="Heading1"/>
    <w:next w:val="Normal"/>
    <w:rsid w:val="00CC4DC5"/>
    <w:pPr>
      <w:ind w:left="0" w:firstLine="0"/>
      <w:jc w:val="center"/>
      <w:outlineLvl w:val="9"/>
    </w:pPr>
  </w:style>
  <w:style w:type="paragraph" w:customStyle="1" w:styleId="Heading2i">
    <w:name w:val="Heading 2i"/>
    <w:basedOn w:val="Heading2"/>
    <w:next w:val="Normal"/>
    <w:rsid w:val="005A4EFD"/>
    <w:rPr>
      <w:b w:val="0"/>
      <w:i/>
    </w:rPr>
  </w:style>
  <w:style w:type="paragraph" w:customStyle="1" w:styleId="Heading1cS2">
    <w:name w:val="Heading 1c_S2"/>
    <w:basedOn w:val="Heading1c"/>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FirstFooter">
    <w:name w:val="FirstFooter"/>
    <w:basedOn w:val="Footer"/>
    <w:rsid w:val="003A0B7D"/>
    <w:rPr>
      <w:caps w:val="0"/>
    </w:rPr>
  </w:style>
  <w:style w:type="paragraph" w:customStyle="1" w:styleId="Headingb">
    <w:name w:val="Heading_b"/>
    <w:basedOn w:val="Heading3"/>
    <w:next w:val="Normal"/>
    <w:rsid w:val="003A0B7D"/>
    <w:pPr>
      <w:spacing w:before="160"/>
      <w:outlineLvl w:val="0"/>
    </w:pPr>
  </w:style>
  <w:style w:type="paragraph" w:styleId="TOC9">
    <w:name w:val="toc 9"/>
    <w:basedOn w:val="Normal"/>
    <w:next w:val="Normal"/>
    <w:rsid w:val="003A0B7D"/>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5A4EFD"/>
    <w:pPr>
      <w:spacing w:before="160"/>
      <w:outlineLvl w:val="0"/>
    </w:pPr>
    <w:rPr>
      <w:b w:val="0"/>
      <w:i/>
    </w:rPr>
  </w:style>
  <w:style w:type="paragraph" w:customStyle="1" w:styleId="HeadingbS2">
    <w:name w:val="Headingb_S2"/>
    <w:basedOn w:val="Headingb"/>
    <w:next w:val="NormalS2"/>
    <w:rsid w:val="003A0B7D"/>
    <w:pPr>
      <w:tabs>
        <w:tab w:val="clear" w:pos="567"/>
        <w:tab w:val="clear" w:pos="1134"/>
        <w:tab w:val="clear" w:pos="1701"/>
        <w:tab w:val="clear" w:pos="2268"/>
        <w:tab w:val="clear" w:pos="2835"/>
        <w:tab w:val="left" w:pos="851"/>
      </w:tabs>
    </w:pPr>
  </w:style>
  <w:style w:type="paragraph" w:customStyle="1" w:styleId="HeadingiS2">
    <w:name w:val="Headingi_S2"/>
    <w:basedOn w:val="Headingi"/>
    <w:next w:val="NormalS2"/>
    <w:rsid w:val="003A0B7D"/>
    <w:pPr>
      <w:tabs>
        <w:tab w:val="clear" w:pos="567"/>
        <w:tab w:val="clear" w:pos="1134"/>
        <w:tab w:val="clear" w:pos="1701"/>
        <w:tab w:val="clear" w:pos="2268"/>
        <w:tab w:val="clear" w:pos="2835"/>
        <w:tab w:val="left" w:pos="851"/>
      </w:tabs>
    </w:pPr>
    <w:rPr>
      <w:b/>
      <w:i w:val="0"/>
    </w:rPr>
  </w:style>
  <w:style w:type="paragraph" w:customStyle="1" w:styleId="Heading2iS2">
    <w:name w:val="Heading 2i_S2"/>
    <w:basedOn w:val="Heading2i"/>
    <w:next w:val="NormalS2"/>
    <w:rsid w:val="003A0B7D"/>
    <w:pPr>
      <w:tabs>
        <w:tab w:val="clear" w:pos="567"/>
        <w:tab w:val="clear" w:pos="1134"/>
        <w:tab w:val="clear" w:pos="1701"/>
        <w:tab w:val="clear" w:pos="2268"/>
        <w:tab w:val="clear" w:pos="2835"/>
        <w:tab w:val="left" w:pos="851"/>
      </w:tabs>
    </w:pPr>
    <w:rPr>
      <w:b/>
      <w:i w:val="0"/>
    </w:rPr>
  </w:style>
  <w:style w:type="character" w:styleId="PageNumber">
    <w:name w:val="page number"/>
    <w:basedOn w:val="DefaultParagraphFont"/>
    <w:rsid w:val="005A4EFD"/>
    <w:rPr>
      <w:rFonts w:ascii="Calibri" w:hAnsi="Calibri"/>
    </w:rPr>
  </w:style>
  <w:style w:type="character" w:styleId="Hyperlink">
    <w:name w:val="Hyperlink"/>
    <w:basedOn w:val="DefaultParagraphFont"/>
    <w:uiPriority w:val="99"/>
    <w:rsid w:val="00911311"/>
    <w:rPr>
      <w:rFonts w:ascii="Calibri" w:hAnsi="Calibri"/>
      <w:color w:val="0070C0"/>
      <w:u w:val="single"/>
    </w:rPr>
  </w:style>
  <w:style w:type="paragraph" w:customStyle="1" w:styleId="firstfooter0">
    <w:name w:val="firstfooter"/>
    <w:basedOn w:val="Normal"/>
    <w:rsid w:val="00966CD3"/>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3A0B7D"/>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3A0B7D"/>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686973"/>
    <w:pPr>
      <w:spacing w:before="320"/>
      <w:outlineLvl w:val="1"/>
    </w:pPr>
    <w:rPr>
      <w:sz w:val="24"/>
    </w:rPr>
  </w:style>
  <w:style w:type="paragraph" w:customStyle="1" w:styleId="Heading3pv">
    <w:name w:val="Heading 3pv"/>
    <w:basedOn w:val="Heading1pv"/>
    <w:next w:val="Normalpv"/>
    <w:rsid w:val="00686973"/>
    <w:pPr>
      <w:spacing w:before="200"/>
      <w:outlineLvl w:val="2"/>
    </w:pPr>
    <w:rPr>
      <w:sz w:val="24"/>
    </w:rPr>
  </w:style>
  <w:style w:type="paragraph" w:customStyle="1" w:styleId="NormalendS2">
    <w:name w:val="Normal_end_S2"/>
    <w:basedOn w:val="Normal"/>
    <w:qFormat/>
    <w:rsid w:val="006C7AE3"/>
  </w:style>
  <w:style w:type="paragraph" w:customStyle="1" w:styleId="Dectitle">
    <w:name w:val="Dec_title"/>
    <w:basedOn w:val="Restitle"/>
    <w:next w:val="Normalaftertitle"/>
    <w:qFormat/>
    <w:rsid w:val="00C92746"/>
  </w:style>
  <w:style w:type="paragraph" w:customStyle="1" w:styleId="DecNo">
    <w:name w:val="Dec_No"/>
    <w:basedOn w:val="ResNo"/>
    <w:next w:val="Dectitle"/>
    <w:qFormat/>
    <w:rsid w:val="00C92746"/>
  </w:style>
  <w:style w:type="paragraph" w:customStyle="1" w:styleId="DectitleS2">
    <w:name w:val="Dec_title_S2"/>
    <w:basedOn w:val="RestitleS2"/>
    <w:next w:val="Normal"/>
    <w:qFormat/>
    <w:rsid w:val="00C92746"/>
  </w:style>
  <w:style w:type="paragraph" w:customStyle="1" w:styleId="DecNoS2">
    <w:name w:val="Dec_No_S2"/>
    <w:basedOn w:val="ResNoS2"/>
    <w:next w:val="DectitleS2"/>
    <w:qFormat/>
    <w:rsid w:val="00C92746"/>
  </w:style>
  <w:style w:type="paragraph" w:customStyle="1" w:styleId="SectionNo">
    <w:name w:val="Section_No"/>
    <w:basedOn w:val="ArtNo"/>
    <w:next w:val="Normal"/>
    <w:qFormat/>
    <w:rsid w:val="0090735B"/>
    <w:rPr>
      <w:lang w:val="en-GB"/>
    </w:rPr>
  </w:style>
  <w:style w:type="paragraph" w:customStyle="1" w:styleId="SectionNoS2">
    <w:name w:val="Section_No_S2"/>
    <w:basedOn w:val="ArtNoS2"/>
    <w:next w:val="Normal"/>
    <w:qFormat/>
    <w:rsid w:val="0090735B"/>
    <w:rPr>
      <w:lang w:val="en-GB"/>
    </w:rPr>
  </w:style>
  <w:style w:type="paragraph" w:customStyle="1" w:styleId="Sectiontitle">
    <w:name w:val="Section_title"/>
    <w:basedOn w:val="Arttitle"/>
    <w:next w:val="Normalaftertitle"/>
    <w:qFormat/>
    <w:rsid w:val="0090735B"/>
    <w:rPr>
      <w:lang w:val="en-GB"/>
    </w:rPr>
  </w:style>
  <w:style w:type="paragraph" w:customStyle="1" w:styleId="SectiontitleS2">
    <w:name w:val="Section_title_S2"/>
    <w:basedOn w:val="ArttitleS2"/>
    <w:next w:val="Normal"/>
    <w:qFormat/>
    <w:rsid w:val="0090735B"/>
    <w:rPr>
      <w:lang w:val="en-GB"/>
    </w:rPr>
  </w:style>
  <w:style w:type="paragraph" w:customStyle="1" w:styleId="Proposal">
    <w:name w:val="Proposal"/>
    <w:basedOn w:val="Normal"/>
    <w:next w:val="Normal"/>
    <w:rsid w:val="008B61AF"/>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BD1614"/>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lang w:val="fr-CH"/>
    </w:rPr>
  </w:style>
  <w:style w:type="paragraph" w:customStyle="1" w:styleId="Committee">
    <w:name w:val="Committee"/>
    <w:basedOn w:val="Normal"/>
    <w:qFormat/>
    <w:rsid w:val="00BD1614"/>
    <w:pPr>
      <w:framePr w:hSpace="180" w:wrap="around" w:hAnchor="margin" w:y="-675"/>
      <w:tabs>
        <w:tab w:val="clear" w:pos="567"/>
        <w:tab w:val="clear" w:pos="1701"/>
        <w:tab w:val="clear" w:pos="2835"/>
        <w:tab w:val="left" w:pos="1871"/>
      </w:tabs>
      <w:spacing w:before="0" w:after="48" w:line="240" w:lineRule="atLeast"/>
    </w:pPr>
    <w:rPr>
      <w:rFonts w:asciiTheme="minorHAnsi" w:hAnsiTheme="minorHAnsi" w:cstheme="minorHAnsi"/>
      <w:b/>
      <w:szCs w:val="24"/>
      <w:lang w:val="en-US"/>
    </w:rPr>
  </w:style>
  <w:style w:type="character" w:customStyle="1" w:styleId="HeaderChar">
    <w:name w:val="Header Char"/>
    <w:basedOn w:val="DefaultParagraphFont"/>
    <w:link w:val="Header"/>
    <w:rsid w:val="00BD1614"/>
    <w:rPr>
      <w:rFonts w:ascii="Calibri" w:hAnsi="Calibri"/>
      <w:sz w:val="18"/>
      <w:lang w:val="fr-FR" w:eastAsia="en-US"/>
    </w:rPr>
  </w:style>
  <w:style w:type="paragraph" w:styleId="BalloonText">
    <w:name w:val="Balloon Text"/>
    <w:basedOn w:val="Normal"/>
    <w:link w:val="BalloonTextChar"/>
    <w:rsid w:val="00AE0667"/>
    <w:pPr>
      <w:spacing w:before="0"/>
    </w:pPr>
    <w:rPr>
      <w:rFonts w:ascii="Tahoma" w:hAnsi="Tahoma" w:cs="Tahoma"/>
      <w:sz w:val="16"/>
      <w:szCs w:val="16"/>
    </w:rPr>
  </w:style>
  <w:style w:type="character" w:customStyle="1" w:styleId="BalloonTextChar">
    <w:name w:val="Balloon Text Char"/>
    <w:basedOn w:val="DefaultParagraphFont"/>
    <w:link w:val="BalloonText"/>
    <w:rsid w:val="00AE0667"/>
    <w:rPr>
      <w:rFonts w:ascii="Tahoma" w:hAnsi="Tahoma" w:cs="Tahoma"/>
      <w:sz w:val="16"/>
      <w:szCs w:val="16"/>
      <w:lang w:val="fr-FR" w:eastAsia="en-US"/>
    </w:rPr>
  </w:style>
  <w:style w:type="paragraph" w:customStyle="1" w:styleId="Optitle">
    <w:name w:val="Op_title"/>
    <w:basedOn w:val="Rectitle"/>
    <w:next w:val="Normalaftertitle"/>
    <w:qFormat/>
    <w:rsid w:val="009A1288"/>
    <w:pPr>
      <w:keepNext/>
      <w:keepLines/>
      <w:spacing w:before="120"/>
    </w:pPr>
    <w:rPr>
      <w:bCs/>
      <w:lang w:val="en-GB"/>
    </w:rPr>
  </w:style>
  <w:style w:type="paragraph" w:customStyle="1" w:styleId="VolumeTitle">
    <w:name w:val="VolumeTitle"/>
    <w:basedOn w:val="Normal"/>
    <w:next w:val="Normal"/>
    <w:rsid w:val="00270B2F"/>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character" w:customStyle="1" w:styleId="href">
    <w:name w:val="href"/>
    <w:basedOn w:val="DefaultParagraphFont"/>
    <w:rsid w:val="006710E6"/>
    <w:rPr>
      <w:color w:val="auto"/>
    </w:rPr>
  </w:style>
  <w:style w:type="character" w:styleId="UnresolvedMention">
    <w:name w:val="Unresolved Mention"/>
    <w:basedOn w:val="DefaultParagraphFont"/>
    <w:uiPriority w:val="99"/>
    <w:semiHidden/>
    <w:unhideWhenUsed/>
    <w:rsid w:val="007575CC"/>
    <w:rPr>
      <w:color w:val="605E5C"/>
      <w:shd w:val="clear" w:color="auto" w:fill="E1DFDD"/>
    </w:rPr>
  </w:style>
  <w:style w:type="character" w:styleId="FollowedHyperlink">
    <w:name w:val="FollowedHyperlink"/>
    <w:basedOn w:val="DefaultParagraphFont"/>
    <w:semiHidden/>
    <w:unhideWhenUsed/>
    <w:rsid w:val="00901E77"/>
    <w:rPr>
      <w:color w:val="800080" w:themeColor="followedHyperlink"/>
      <w:u w:val="single"/>
    </w:rPr>
  </w:style>
  <w:style w:type="character" w:styleId="PlaceholderText">
    <w:name w:val="Placeholder Text"/>
    <w:basedOn w:val="DefaultParagraphFont"/>
    <w:uiPriority w:val="99"/>
    <w:semiHidden/>
    <w:rsid w:val="00490624"/>
    <w:rPr>
      <w:color w:val="666666"/>
    </w:rPr>
  </w:style>
  <w:style w:type="paragraph" w:styleId="ListParagraph">
    <w:name w:val="List Paragraph"/>
    <w:basedOn w:val="Normal"/>
    <w:link w:val="ListParagraphChar"/>
    <w:uiPriority w:val="34"/>
    <w:qFormat/>
    <w:rsid w:val="00C550C5"/>
    <w:pPr>
      <w:tabs>
        <w:tab w:val="clear" w:pos="567"/>
        <w:tab w:val="left" w:pos="851"/>
      </w:tabs>
      <w:ind w:left="720"/>
      <w:contextualSpacing/>
    </w:pPr>
    <w:rPr>
      <w:lang w:val="en-GB"/>
    </w:rPr>
  </w:style>
  <w:style w:type="character" w:customStyle="1" w:styleId="ListParagraphChar">
    <w:name w:val="List Paragraph Char"/>
    <w:link w:val="ListParagraph"/>
    <w:uiPriority w:val="34"/>
    <w:locked/>
    <w:rsid w:val="00C550C5"/>
    <w:rPr>
      <w:rFonts w:ascii="Calibri" w:hAnsi="Calibri"/>
      <w:sz w:val="24"/>
      <w:lang w:val="en-GB" w:eastAsia="en-US"/>
    </w:rPr>
  </w:style>
  <w:style w:type="character" w:styleId="CommentReference">
    <w:name w:val="annotation reference"/>
    <w:basedOn w:val="DefaultParagraphFont"/>
    <w:semiHidden/>
    <w:unhideWhenUsed/>
    <w:rsid w:val="00717FAC"/>
    <w:rPr>
      <w:sz w:val="16"/>
      <w:szCs w:val="16"/>
    </w:rPr>
  </w:style>
  <w:style w:type="paragraph" w:styleId="CommentText">
    <w:name w:val="annotation text"/>
    <w:basedOn w:val="Normal"/>
    <w:link w:val="CommentTextChar"/>
    <w:semiHidden/>
    <w:unhideWhenUsed/>
    <w:rsid w:val="00717FAC"/>
    <w:rPr>
      <w:sz w:val="20"/>
    </w:rPr>
  </w:style>
  <w:style w:type="character" w:customStyle="1" w:styleId="CommentTextChar">
    <w:name w:val="Comment Text Char"/>
    <w:basedOn w:val="DefaultParagraphFont"/>
    <w:link w:val="CommentText"/>
    <w:semiHidden/>
    <w:rsid w:val="00717FAC"/>
    <w:rPr>
      <w:rFonts w:ascii="Calibri" w:hAnsi="Calibri"/>
      <w:lang w:val="fr-FR" w:eastAsia="en-US"/>
    </w:rPr>
  </w:style>
  <w:style w:type="paragraph" w:styleId="CommentSubject">
    <w:name w:val="annotation subject"/>
    <w:basedOn w:val="CommentText"/>
    <w:next w:val="CommentText"/>
    <w:link w:val="CommentSubjectChar"/>
    <w:semiHidden/>
    <w:unhideWhenUsed/>
    <w:rsid w:val="00717FAC"/>
    <w:rPr>
      <w:b/>
      <w:bCs/>
    </w:rPr>
  </w:style>
  <w:style w:type="character" w:customStyle="1" w:styleId="CommentSubjectChar">
    <w:name w:val="Comment Subject Char"/>
    <w:basedOn w:val="CommentTextChar"/>
    <w:link w:val="CommentSubject"/>
    <w:semiHidden/>
    <w:rsid w:val="00717FAC"/>
    <w:rPr>
      <w:rFonts w:ascii="Calibri" w:hAnsi="Calibri"/>
      <w:b/>
      <w:bCs/>
      <w:lang w:val="fr-FR" w:eastAsia="en-US"/>
    </w:rPr>
  </w:style>
  <w:style w:type="paragraph" w:styleId="Revision">
    <w:name w:val="Revision"/>
    <w:hidden/>
    <w:uiPriority w:val="99"/>
    <w:semiHidden/>
    <w:rsid w:val="00717FAC"/>
    <w:rPr>
      <w:rFonts w:ascii="Calibri" w:hAnsi="Calibri"/>
      <w:sz w:val="24"/>
      <w:lang w:val="fr-FR" w:eastAsia="en-US"/>
    </w:rPr>
  </w:style>
  <w:style w:type="paragraph" w:customStyle="1" w:styleId="OpNo">
    <w:name w:val="Op_No"/>
    <w:basedOn w:val="RecNo"/>
    <w:rsid w:val="009A1288"/>
    <w:pPr>
      <w:keepNext/>
      <w:keepLine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1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yperlink" Target="https://www.itu.int/md/S25-CL-C-0126/fr" TargetMode="External"/><Relationship Id="rId18" Type="http://schemas.openxmlformats.org/officeDocument/2006/relationships/hyperlink" Target="https://www.itu.int/en/council/Documents/basic-texts-2023/RES-002-f.pdf" TargetMode="External"/><Relationship Id="rId26" Type="http://schemas.openxmlformats.org/officeDocument/2006/relationships/hyperlink" Target="https://www.itu.int/en/mediacentre/backgrounders/Pages/skills-development-digital-economy.aspx" TargetMode="External"/><Relationship Id="rId39" Type="http://schemas.openxmlformats.org/officeDocument/2006/relationships/hyperlink" Target="https://www.itu.int/initiatives/green-digital-action/" TargetMode="External"/><Relationship Id="rId21" Type="http://schemas.openxmlformats.org/officeDocument/2006/relationships/hyperlink" Target="https://www.itu.int/md/S24-SG-CIR-0044/fr" TargetMode="External"/><Relationship Id="rId34" Type="http://schemas.openxmlformats.org/officeDocument/2006/relationships/hyperlink" Target="https://aiforgood.itu.int/ai-skills-coalition/" TargetMode="External"/><Relationship Id="rId42" Type="http://schemas.openxmlformats.org/officeDocument/2006/relationships/hyperlink" Target="https://www.itu.int/digital-resilience/submarine-cables/" TargetMode="External"/><Relationship Id="rId47" Type="http://schemas.openxmlformats.org/officeDocument/2006/relationships/hyperlink" Target="https://www.itu.int/ssf/" TargetMode="External"/><Relationship Id="rId50" Type="http://schemas.openxmlformats.org/officeDocument/2006/relationships/hyperlink" Target="https://www.itu.int/itu-d/sites/innovation-alliance/" TargetMode="External"/><Relationship Id="rId55"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hyperlink" Target="https://www.itu.int/en/council/Pages/ieg-wtpf-26.aspx" TargetMode="External"/><Relationship Id="rId29" Type="http://schemas.openxmlformats.org/officeDocument/2006/relationships/hyperlink" Target="https://academy.itu.int/itu-d/projects-activities/research-publications/digital-skills-toolkit" TargetMode="External"/><Relationship Id="rId11" Type="http://schemas.openxmlformats.org/officeDocument/2006/relationships/hyperlink" Target="https://www.itu.int/en/council/Documents/basic-texts-2023/RES-002-E.pdf" TargetMode="External"/><Relationship Id="rId24" Type="http://schemas.openxmlformats.org/officeDocument/2006/relationships/hyperlink" Target="https://www.itu.int/en/mediacentre/backgrounders/Pages/skills-development-digital-economy.aspx" TargetMode="External"/><Relationship Id="rId32" Type="http://schemas.openxmlformats.org/officeDocument/2006/relationships/hyperlink" Target="https://academy.itu.int/research-advocacy-and-convening-platforms/research-publications/digital-skills-toolkit" TargetMode="External"/><Relationship Id="rId37" Type="http://schemas.openxmlformats.org/officeDocument/2006/relationships/hyperlink" Target="https://www.itu.int/initiatives/green-digital-action/" TargetMode="External"/><Relationship Id="rId40" Type="http://schemas.openxmlformats.org/officeDocument/2006/relationships/hyperlink" Target="https://www.itu.int/digital-resilience/submarine-cables/" TargetMode="External"/><Relationship Id="rId45" Type="http://schemas.openxmlformats.org/officeDocument/2006/relationships/hyperlink" Target="https://www.itu.int/ssf/" TargetMode="External"/><Relationship Id="rId53" Type="http://schemas.openxmlformats.org/officeDocument/2006/relationships/hyperlink" Target="https://www.itu.int/itu-d/sites/innovation-alliance/" TargetMode="External"/><Relationship Id="rId5" Type="http://schemas.openxmlformats.org/officeDocument/2006/relationships/settings" Target="settings.xml"/><Relationship Id="rId19" Type="http://schemas.openxmlformats.org/officeDocument/2006/relationships/hyperlink" Target="https://www.itu.int/en/council/Documents/basic-texts-2023/RES-002-E.pdf"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itu.int/en/council/Documents/basic-texts-2023/RES-002-f.pdf" TargetMode="External"/><Relationship Id="rId22" Type="http://schemas.openxmlformats.org/officeDocument/2006/relationships/hyperlink" Target="https://www.itu.int/md/S24-CL-C-0136/en" TargetMode="External"/><Relationship Id="rId27" Type="http://schemas.openxmlformats.org/officeDocument/2006/relationships/hyperlink" Target="https://www.itu.int/en/mediacentre/backgrounders/Pages/skills-development-digital-economy.aspx" TargetMode="External"/><Relationship Id="rId30" Type="http://schemas.openxmlformats.org/officeDocument/2006/relationships/hyperlink" Target="https://aiforgood.itu.int/ai-skills-coalition/" TargetMode="External"/><Relationship Id="rId35" Type="http://schemas.openxmlformats.org/officeDocument/2006/relationships/hyperlink" Target="https://aiforgood.itu.int/ai-skills-coalition/" TargetMode="External"/><Relationship Id="rId43" Type="http://schemas.openxmlformats.org/officeDocument/2006/relationships/hyperlink" Target="https://www.itu.int/en/digital-resilience/submarine-cables/Pages/default.aspx" TargetMode="External"/><Relationship Id="rId48" Type="http://schemas.openxmlformats.org/officeDocument/2006/relationships/hyperlink" Target="https://www.itu.int/ssf/"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itu.int/itu-d/sites/innovation-alliance/" TargetMode="External"/><Relationship Id="rId3" Type="http://schemas.openxmlformats.org/officeDocument/2006/relationships/numbering" Target="numbering.xml"/><Relationship Id="rId12" Type="http://schemas.openxmlformats.org/officeDocument/2006/relationships/hyperlink" Target="https://www.itu.int/en/council/Documents/basic-texts-2023/RES-002-E.pdf" TargetMode="External"/><Relationship Id="rId17" Type="http://schemas.openxmlformats.org/officeDocument/2006/relationships/hyperlink" Target="http://www.itu.int/en/council/Pages/ieg-wtpf-26.aspx" TargetMode="External"/><Relationship Id="rId25" Type="http://schemas.openxmlformats.org/officeDocument/2006/relationships/hyperlink" Target="https://www.itu.int/en/mediacentre/backgrounders/Pages/skills-development-digital-economy.aspx" TargetMode="External"/><Relationship Id="rId33" Type="http://schemas.openxmlformats.org/officeDocument/2006/relationships/hyperlink" Target="https://academy.itu.int/itu-d/projects-activities/research-publications/digital-skills-toolkit" TargetMode="External"/><Relationship Id="rId38" Type="http://schemas.openxmlformats.org/officeDocument/2006/relationships/hyperlink" Target="https://www.itu.int/initiatives/green-digital-action/" TargetMode="External"/><Relationship Id="rId46" Type="http://schemas.openxmlformats.org/officeDocument/2006/relationships/hyperlink" Target="https://www.itu.int/ssf/" TargetMode="External"/><Relationship Id="rId20" Type="http://schemas.openxmlformats.org/officeDocument/2006/relationships/hyperlink" Target="https://www.itu.int/md/S24-CL-C-0136/fr" TargetMode="External"/><Relationship Id="rId41" Type="http://schemas.openxmlformats.org/officeDocument/2006/relationships/hyperlink" Target="https://www.itu.int/en/digital-resilience/submarine-cables/Pages/default.aspx" TargetMode="External"/><Relationship Id="rId54"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hyperlink" Target="https://www.itu.int/en/council/Documents/basic-texts-2023/RES-002-E.pdf" TargetMode="External"/><Relationship Id="rId23" Type="http://schemas.openxmlformats.org/officeDocument/2006/relationships/hyperlink" Target="https://www.itu.int/md/S24-SG-CIR-0044/en" TargetMode="External"/><Relationship Id="rId28" Type="http://schemas.openxmlformats.org/officeDocument/2006/relationships/hyperlink" Target="https://academy.itu.int/research-advocacy-and-convening-platforms/research-publications/digital-skills-toolkit" TargetMode="External"/><Relationship Id="rId36" Type="http://schemas.openxmlformats.org/officeDocument/2006/relationships/hyperlink" Target="https://www.itu.int/initiatives/green-digital-action/" TargetMode="External"/><Relationship Id="rId49" Type="http://schemas.openxmlformats.org/officeDocument/2006/relationships/hyperlink" Target="https://www.itu.int/ssf/" TargetMode="External"/><Relationship Id="rId57" Type="http://schemas.openxmlformats.org/officeDocument/2006/relationships/theme" Target="theme/theme1.xml"/><Relationship Id="rId10" Type="http://schemas.openxmlformats.org/officeDocument/2006/relationships/hyperlink" Target="https://www.itu.int/en/council/Documents/basic-texts-2023/RES-002-f.pdf" TargetMode="External"/><Relationship Id="rId31" Type="http://schemas.openxmlformats.org/officeDocument/2006/relationships/hyperlink" Target="https://aiforgood.itu.int/ai-skills-coalition/" TargetMode="External"/><Relationship Id="rId44" Type="http://schemas.openxmlformats.org/officeDocument/2006/relationships/hyperlink" Target="https://www.itu.int/ssf/" TargetMode="External"/><Relationship Id="rId52" Type="http://schemas.openxmlformats.org/officeDocument/2006/relationships/hyperlink" Target="https://www.itu.int/itu-d/sites/innovation-allian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tu.int/en/ITU-D/Environment/Pages/Publications/GDC-25.aspx" TargetMode="External"/><Relationship Id="rId2" Type="http://schemas.openxmlformats.org/officeDocument/2006/relationships/hyperlink" Target="https://www.weforum.org/agenda/2024/04/how-to-manage-ais-energy-demand-today-tomorrow-and-in-the-future/" TargetMode="External"/><Relationship Id="rId1" Type="http://schemas.openxmlformats.org/officeDocument/2006/relationships/hyperlink" Target="https://www.weforum.org/agenda/2024/04/how-to-manage-ais-energy-demand-today-tomorrow-and-in-the-fu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F2A05-FD7E-4093-9702-679374771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51</Pages>
  <Words>21078</Words>
  <Characters>120145</Characters>
  <Application>Microsoft Office Word</Application>
  <DocSecurity>0</DocSecurity>
  <Lines>1001</Lines>
  <Paragraphs>281</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140942</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de la Secrétaire générale Rapport de la Secrétaire générale sur le septième Forum mondial des politiques de télécommunication et des technologies de l'information et de la communication de 2026, tel que finalisé par le GEI-FMPT-26</dc:title>
  <dc:subject>World telecommunication/information and communication technology policy forum</dc:subject>
  <cp:keywords>WTPF, WTPF-26</cp:keywords>
  <dc:description/>
  <dcterms:created xsi:type="dcterms:W3CDTF">2026-08-19T07:11:00Z</dcterms:created>
  <dcterms:modified xsi:type="dcterms:W3CDTF">2026-08-19T12:01:00Z</dcterms:modified>
  <cp:category>Conference document</cp:category>
</cp:coreProperties>
</file>