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rsidRPr="006975BE" w14:paraId="4178E629" w14:textId="77777777" w:rsidTr="004D7CC5">
        <w:trPr>
          <w:cantSplit/>
          <w:trHeight w:hRule="exact" w:val="1417"/>
        </w:trPr>
        <w:tc>
          <w:tcPr>
            <w:tcW w:w="10031" w:type="dxa"/>
            <w:gridSpan w:val="2"/>
            <w:tcMar>
              <w:left w:w="0" w:type="dxa"/>
              <w:right w:w="0" w:type="dxa"/>
            </w:tcMar>
            <w:vAlign w:val="center"/>
          </w:tcPr>
          <w:p w14:paraId="7D29A3AC" w14:textId="5F008C52" w:rsidR="00161CDA" w:rsidRPr="006975BE" w:rsidRDefault="003A0EAD" w:rsidP="003038E3">
            <w:pPr>
              <w:spacing w:before="0" w:line="240" w:lineRule="atLeast"/>
              <w:rPr>
                <w:rFonts w:cstheme="minorHAnsi"/>
              </w:rPr>
            </w:pPr>
            <w:r>
              <w:rPr>
                <w:rFonts w:cstheme="minorHAnsi"/>
                <w:noProof/>
              </w:rPr>
              <w:drawing>
                <wp:inline distT="0" distB="0" distL="0" distR="0" wp14:anchorId="33141DE6" wp14:editId="06CB5056">
                  <wp:extent cx="6660000" cy="971807"/>
                  <wp:effectExtent l="0" t="0" r="7620" b="0"/>
                  <wp:docPr id="18823580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8090" name="Picture 18823580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6975BE" w14:paraId="0513AA45" w14:textId="77777777" w:rsidTr="004D7CC5">
        <w:trPr>
          <w:cantSplit/>
          <w:trHeight w:val="283"/>
        </w:trPr>
        <w:tc>
          <w:tcPr>
            <w:tcW w:w="10031" w:type="dxa"/>
            <w:gridSpan w:val="2"/>
            <w:tcBorders>
              <w:bottom w:val="single" w:sz="12" w:space="0" w:color="71716F"/>
            </w:tcBorders>
          </w:tcPr>
          <w:p w14:paraId="5622834B" w14:textId="77777777" w:rsidR="00EF3B7A" w:rsidRPr="006975BE" w:rsidRDefault="00EF3B7A" w:rsidP="003038E3">
            <w:pPr>
              <w:spacing w:before="0"/>
              <w:rPr>
                <w:rFonts w:cstheme="minorHAnsi"/>
                <w:szCs w:val="24"/>
              </w:rPr>
            </w:pPr>
            <w:bookmarkStart w:id="0" w:name="ditulogo"/>
            <w:bookmarkStart w:id="1" w:name="dhead"/>
            <w:bookmarkEnd w:id="0"/>
          </w:p>
        </w:tc>
      </w:tr>
      <w:tr w:rsidR="001A16ED" w:rsidRPr="006975BE" w14:paraId="2B7ED7B1" w14:textId="77777777" w:rsidTr="004D7CC5">
        <w:trPr>
          <w:cantSplit/>
          <w:trHeight w:val="255"/>
        </w:trPr>
        <w:tc>
          <w:tcPr>
            <w:tcW w:w="7230" w:type="dxa"/>
            <w:tcBorders>
              <w:top w:val="single" w:sz="12" w:space="0" w:color="71716F"/>
            </w:tcBorders>
          </w:tcPr>
          <w:p w14:paraId="5E77BA42" w14:textId="77777777" w:rsidR="001A16ED" w:rsidRPr="006975BE"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323161BA" w14:textId="77777777" w:rsidR="001A16ED" w:rsidRPr="006975BE" w:rsidRDefault="001A16ED" w:rsidP="003038E3">
            <w:pPr>
              <w:spacing w:before="0"/>
              <w:rPr>
                <w:rFonts w:cstheme="minorHAnsi"/>
                <w:sz w:val="20"/>
              </w:rPr>
            </w:pPr>
          </w:p>
        </w:tc>
      </w:tr>
      <w:tr w:rsidR="0042354C" w:rsidRPr="006975BE" w14:paraId="1C7CA085" w14:textId="77777777" w:rsidTr="004D7CC5">
        <w:trPr>
          <w:cantSplit/>
          <w:trHeight w:val="23"/>
        </w:trPr>
        <w:tc>
          <w:tcPr>
            <w:tcW w:w="7230" w:type="dxa"/>
          </w:tcPr>
          <w:p w14:paraId="3C2560D7" w14:textId="77777777" w:rsidR="0042354C" w:rsidRPr="006975BE"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0100F326" w14:textId="69AF7C7F" w:rsidR="0042354C" w:rsidRPr="006975BE" w:rsidRDefault="0042354C" w:rsidP="0042354C">
            <w:pPr>
              <w:spacing w:before="0"/>
              <w:rPr>
                <w:rFonts w:cstheme="minorHAnsi"/>
                <w:b/>
                <w:szCs w:val="24"/>
              </w:rPr>
            </w:pPr>
            <w:r w:rsidRPr="006975BE">
              <w:rPr>
                <w:rFonts w:cstheme="minorHAnsi"/>
                <w:b/>
                <w:szCs w:val="24"/>
              </w:rPr>
              <w:t>Document WTPF-26/</w:t>
            </w:r>
            <w:r w:rsidR="00C64ED7" w:rsidRPr="006975BE">
              <w:rPr>
                <w:rFonts w:cstheme="minorHAnsi"/>
                <w:b/>
                <w:szCs w:val="24"/>
              </w:rPr>
              <w:t>2</w:t>
            </w:r>
            <w:r w:rsidRPr="006975BE">
              <w:rPr>
                <w:rFonts w:cstheme="minorHAnsi"/>
                <w:b/>
                <w:szCs w:val="24"/>
              </w:rPr>
              <w:t>-E</w:t>
            </w:r>
          </w:p>
        </w:tc>
      </w:tr>
      <w:tr w:rsidR="0042354C" w:rsidRPr="006975BE" w14:paraId="2678E55C" w14:textId="77777777" w:rsidTr="004D7CC5">
        <w:trPr>
          <w:cantSplit/>
          <w:trHeight w:val="23"/>
        </w:trPr>
        <w:tc>
          <w:tcPr>
            <w:tcW w:w="7230" w:type="dxa"/>
          </w:tcPr>
          <w:p w14:paraId="7426CC21" w14:textId="4DD51121" w:rsidR="0042354C" w:rsidRPr="006975BE" w:rsidRDefault="0042354C" w:rsidP="0042354C">
            <w:pPr>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0F721413" w14:textId="588E952F" w:rsidR="0042354C" w:rsidRPr="006975BE" w:rsidRDefault="005F7E83" w:rsidP="0042354C">
            <w:pPr>
              <w:spacing w:before="0"/>
              <w:rPr>
                <w:rFonts w:cstheme="minorHAnsi"/>
                <w:b/>
                <w:bCs/>
                <w:szCs w:val="24"/>
              </w:rPr>
            </w:pPr>
            <w:r>
              <w:rPr>
                <w:rFonts w:cstheme="minorHAnsi"/>
                <w:b/>
                <w:bCs/>
                <w:szCs w:val="24"/>
              </w:rPr>
              <w:t>11 August</w:t>
            </w:r>
            <w:r w:rsidR="00C64ED7" w:rsidRPr="006975BE">
              <w:rPr>
                <w:rFonts w:cstheme="minorHAnsi"/>
                <w:b/>
                <w:bCs/>
                <w:szCs w:val="24"/>
              </w:rPr>
              <w:t xml:space="preserve"> 2026</w:t>
            </w:r>
          </w:p>
        </w:tc>
      </w:tr>
      <w:tr w:rsidR="001A16ED" w:rsidRPr="006975BE" w14:paraId="60BFCE45" w14:textId="77777777" w:rsidTr="004D7CC5">
        <w:trPr>
          <w:cantSplit/>
          <w:trHeight w:val="23"/>
        </w:trPr>
        <w:tc>
          <w:tcPr>
            <w:tcW w:w="7230" w:type="dxa"/>
          </w:tcPr>
          <w:p w14:paraId="0703C6B4" w14:textId="77777777" w:rsidR="001A16ED" w:rsidRPr="006975BE" w:rsidRDefault="001A16ED" w:rsidP="003038E3">
            <w:pPr>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36EA976C" w14:textId="77777777" w:rsidR="001A16ED" w:rsidRPr="006975BE" w:rsidRDefault="0044665A" w:rsidP="003038E3">
            <w:pPr>
              <w:tabs>
                <w:tab w:val="left" w:pos="993"/>
              </w:tabs>
              <w:spacing w:before="0"/>
              <w:rPr>
                <w:rFonts w:cstheme="minorHAnsi"/>
                <w:b/>
                <w:szCs w:val="24"/>
              </w:rPr>
            </w:pPr>
            <w:r w:rsidRPr="006975BE">
              <w:rPr>
                <w:rFonts w:cstheme="minorHAnsi"/>
                <w:b/>
                <w:szCs w:val="24"/>
              </w:rPr>
              <w:t>Original: English</w:t>
            </w:r>
          </w:p>
        </w:tc>
      </w:tr>
      <w:tr w:rsidR="001A16ED" w:rsidRPr="006975BE" w14:paraId="2703489C" w14:textId="77777777" w:rsidTr="004D7CC5">
        <w:trPr>
          <w:cantSplit/>
          <w:trHeight w:val="23"/>
        </w:trPr>
        <w:tc>
          <w:tcPr>
            <w:tcW w:w="10031" w:type="dxa"/>
            <w:gridSpan w:val="2"/>
          </w:tcPr>
          <w:p w14:paraId="39590435" w14:textId="77777777" w:rsidR="001A16ED" w:rsidRPr="006975BE" w:rsidRDefault="001A16ED" w:rsidP="003038E3">
            <w:pPr>
              <w:tabs>
                <w:tab w:val="left" w:pos="993"/>
              </w:tabs>
              <w:rPr>
                <w:rFonts w:ascii="Verdana" w:hAnsi="Verdana"/>
                <w:b/>
                <w:szCs w:val="24"/>
              </w:rPr>
            </w:pPr>
          </w:p>
        </w:tc>
      </w:tr>
      <w:tr w:rsidR="001A16ED" w:rsidRPr="006975BE" w14:paraId="1CCC56D6" w14:textId="77777777" w:rsidTr="004D7CC5">
        <w:trPr>
          <w:cantSplit/>
          <w:trHeight w:val="23"/>
        </w:trPr>
        <w:tc>
          <w:tcPr>
            <w:tcW w:w="10031" w:type="dxa"/>
            <w:gridSpan w:val="2"/>
          </w:tcPr>
          <w:p w14:paraId="44055CF7" w14:textId="0BCFA351" w:rsidR="001A16ED" w:rsidRPr="006975BE" w:rsidRDefault="00C64ED7" w:rsidP="003038E3">
            <w:pPr>
              <w:pStyle w:val="Source"/>
            </w:pPr>
            <w:r w:rsidRPr="006975BE">
              <w:t>Report by the Secretary-General</w:t>
            </w:r>
          </w:p>
        </w:tc>
      </w:tr>
      <w:tr w:rsidR="001A16ED" w:rsidRPr="006975BE" w14:paraId="41285127" w14:textId="77777777" w:rsidTr="004D7CC5">
        <w:trPr>
          <w:cantSplit/>
          <w:trHeight w:val="23"/>
        </w:trPr>
        <w:tc>
          <w:tcPr>
            <w:tcW w:w="10031" w:type="dxa"/>
            <w:gridSpan w:val="2"/>
          </w:tcPr>
          <w:p w14:paraId="662C00D1" w14:textId="43E52F78" w:rsidR="001A16ED" w:rsidRPr="006975BE" w:rsidRDefault="00C64ED7" w:rsidP="00C64ED7">
            <w:pPr>
              <w:pStyle w:val="Title1"/>
            </w:pPr>
            <w:r w:rsidRPr="006975BE">
              <w:t xml:space="preserve">for the Seventh World Telecommunication/Information and </w:t>
            </w:r>
            <w:r w:rsidRPr="006975BE">
              <w:br/>
              <w:t xml:space="preserve">Communication Technology Policy Forum 2026 as finalized </w:t>
            </w:r>
            <w:r w:rsidR="00D448DE" w:rsidRPr="006975BE">
              <w:br/>
            </w:r>
            <w:r w:rsidRPr="006975BE">
              <w:t>by the IEG-WTPF-26</w:t>
            </w:r>
          </w:p>
        </w:tc>
      </w:tr>
    </w:tbl>
    <w:p w14:paraId="3D4CB3B5" w14:textId="77777777" w:rsidR="00C64ED7" w:rsidRPr="006975BE" w:rsidRDefault="00C64ED7" w:rsidP="00306959">
      <w:pPr>
        <w:pStyle w:val="Heading1"/>
        <w:spacing w:before="480"/>
      </w:pPr>
      <w:bookmarkStart w:id="8" w:name="_Hlk182852311"/>
      <w:bookmarkEnd w:id="6"/>
      <w:bookmarkEnd w:id="7"/>
      <w:r w:rsidRPr="006975BE">
        <w:t>1</w:t>
      </w:r>
      <w:r w:rsidRPr="006975BE">
        <w:tab/>
        <w:t>Preamble</w:t>
      </w:r>
    </w:p>
    <w:p w14:paraId="42970E74" w14:textId="77777777" w:rsidR="00C64ED7" w:rsidRPr="006975BE" w:rsidRDefault="00C64ED7" w:rsidP="00A447BC">
      <w:pPr>
        <w:pStyle w:val="Heading2"/>
      </w:pPr>
      <w:r w:rsidRPr="006975BE">
        <w:rPr>
          <w:spacing w:val="-4"/>
          <w:sz w:val="22"/>
          <w:szCs w:val="22"/>
        </w:rPr>
        <w:t>1.1</w:t>
      </w:r>
      <w:r w:rsidRPr="006975BE">
        <w:rPr>
          <w:spacing w:val="-4"/>
          <w:sz w:val="22"/>
          <w:szCs w:val="22"/>
        </w:rPr>
        <w:tab/>
      </w:r>
      <w:r w:rsidRPr="006975BE">
        <w:t>The Seventh World Telecommunication/Information and Communication Technology Policy Forum 2026 (WTPF-26)</w:t>
      </w:r>
    </w:p>
    <w:p w14:paraId="381260F7" w14:textId="77777777" w:rsidR="00C64ED7" w:rsidRPr="006975BE" w:rsidRDefault="00C64ED7" w:rsidP="007B20D8">
      <w:pPr>
        <w:jc w:val="both"/>
        <w:rPr>
          <w:rFonts w:eastAsiaTheme="minorEastAsia"/>
          <w:b/>
          <w:szCs w:val="24"/>
          <w:lang w:eastAsia="zh-CN"/>
        </w:rPr>
      </w:pPr>
      <w:r w:rsidRPr="006975BE">
        <w:rPr>
          <w:rFonts w:eastAsiaTheme="minorEastAsia"/>
          <w:bCs/>
          <w:szCs w:val="24"/>
          <w:lang w:eastAsia="zh-CN"/>
        </w:rPr>
        <w:t>1.1.1</w:t>
      </w:r>
      <w:r w:rsidRPr="006975BE">
        <w:rPr>
          <w:rFonts w:eastAsiaTheme="minorEastAsia"/>
          <w:bCs/>
          <w:szCs w:val="24"/>
          <w:lang w:eastAsia="zh-CN"/>
        </w:rPr>
        <w:tab/>
      </w:r>
      <w:r w:rsidRPr="006975BE">
        <w:rPr>
          <w:rFonts w:eastAsiaTheme="minorEastAsia"/>
          <w:szCs w:val="24"/>
          <w:lang w:eastAsia="zh-CN"/>
        </w:rPr>
        <w:t xml:space="preserve">Originally </w:t>
      </w:r>
      <w:r w:rsidRPr="006975BE">
        <w:rPr>
          <w:rFonts w:eastAsiaTheme="minorEastAsia" w:cstheme="minorHAnsi"/>
          <w:szCs w:val="24"/>
          <w:lang w:val="en-US" w:eastAsia="zh-CN"/>
        </w:rPr>
        <w:t>established</w:t>
      </w:r>
      <w:r w:rsidRPr="006975BE">
        <w:rPr>
          <w:rFonts w:eastAsiaTheme="minorEastAsia"/>
          <w:szCs w:val="24"/>
          <w:lang w:eastAsia="zh-CN"/>
        </w:rPr>
        <w:t xml:space="preserve"> by the Plenipotentiary Conference (Kyoto, 1994) of the International Telecommunication Union (ITU), the World Telecommunication/Information and Communication Technology Policy Forum (WTPF) </w:t>
      </w:r>
      <w:proofErr w:type="gramStart"/>
      <w:r w:rsidRPr="006975BE">
        <w:rPr>
          <w:rFonts w:eastAsiaTheme="minorEastAsia"/>
          <w:szCs w:val="24"/>
          <w:lang w:eastAsia="zh-CN"/>
        </w:rPr>
        <w:t>has</w:t>
      </w:r>
      <w:proofErr w:type="gramEnd"/>
      <w:r w:rsidRPr="006975BE">
        <w:rPr>
          <w:rFonts w:eastAsiaTheme="minorEastAsia"/>
          <w:szCs w:val="24"/>
          <w:lang w:eastAsia="zh-CN"/>
        </w:rPr>
        <w:t xml:space="preserve"> been successfully convened in 1996, 1998, 2001, 2009, 2013 and 2021. By its </w:t>
      </w:r>
      <w:hyperlink r:id="rId8">
        <w:r w:rsidRPr="006975BE">
          <w:rPr>
            <w:rStyle w:val="Hyperlink"/>
            <w:lang w:eastAsia="zh-CN"/>
          </w:rPr>
          <w:t>Resolution 2 (Rev. Bucharest, 2022)</w:t>
        </w:r>
      </w:hyperlink>
      <w:r w:rsidRPr="006975BE">
        <w:rPr>
          <w:rFonts w:eastAsiaTheme="minorEastAsia"/>
          <w:szCs w:val="24"/>
          <w:lang w:eastAsia="zh-CN"/>
        </w:rPr>
        <w:t xml:space="preserve">, the Plenipotentiary Conference of the ITU resolved to hold the next WTPF in 2026. </w:t>
      </w:r>
    </w:p>
    <w:p w14:paraId="341EC1FE" w14:textId="663CB687" w:rsidR="00C64ED7" w:rsidRPr="006975BE" w:rsidRDefault="00C64ED7" w:rsidP="007B20D8">
      <w:pPr>
        <w:jc w:val="both"/>
        <w:rPr>
          <w:rFonts w:asciiTheme="minorHAnsi" w:eastAsiaTheme="minorEastAsia" w:hAnsiTheme="minorHAnsi" w:cstheme="minorBidi"/>
          <w:b/>
          <w:szCs w:val="24"/>
          <w:lang w:eastAsia="zh-CN"/>
        </w:rPr>
      </w:pPr>
      <w:r w:rsidRPr="006975BE">
        <w:rPr>
          <w:rFonts w:asciiTheme="minorHAnsi" w:eastAsiaTheme="minorEastAsia" w:hAnsiTheme="minorHAnsi" w:cstheme="minorBidi"/>
          <w:bCs/>
          <w:szCs w:val="24"/>
          <w:lang w:eastAsia="zh-CN"/>
        </w:rPr>
        <w:t>1.1.2</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The purpose of WTPF is to provide a venue for exchanging views and information and thereby creating a shared vision among policy-makers worldwide on challenges and opportunities arising from the new and emerging telecommunication/ICT services and technologies, and to consider any other policy issue in telecommunications/ICTs which would benefit from a global exchange of views, in addition to the adoption of opinions reflecting common viewpoints as per </w:t>
      </w:r>
      <w:hyperlink r:id="rId9" w:history="1">
        <w:r w:rsidRPr="006975BE">
          <w:rPr>
            <w:rFonts w:asciiTheme="minorHAnsi" w:eastAsiaTheme="minorEastAsia" w:hAnsiTheme="minorHAnsi" w:cstheme="minorBidi"/>
            <w:szCs w:val="24"/>
            <w:lang w:eastAsia="zh-CN"/>
          </w:rPr>
          <w:t>Resolution 2 (Rev. Bucharest, 2022)</w:t>
        </w:r>
      </w:hyperlink>
      <w:r w:rsidRPr="006975BE">
        <w:rPr>
          <w:rFonts w:asciiTheme="minorHAnsi" w:eastAsiaTheme="minorEastAsia" w:hAnsiTheme="minorHAnsi" w:cstheme="minorBidi"/>
          <w:szCs w:val="24"/>
          <w:lang w:eastAsia="zh-CN"/>
        </w:rPr>
        <w:t>.</w:t>
      </w:r>
    </w:p>
    <w:p w14:paraId="1B04F415" w14:textId="74781B14" w:rsidR="00C64ED7" w:rsidRPr="006975BE" w:rsidRDefault="00C64ED7" w:rsidP="007B20D8">
      <w:pPr>
        <w:jc w:val="both"/>
        <w:rPr>
          <w:rFonts w:asciiTheme="minorHAnsi" w:eastAsiaTheme="minorEastAsia" w:hAnsiTheme="minorHAnsi" w:cstheme="minorBidi"/>
          <w:b/>
          <w:szCs w:val="24"/>
          <w:lang w:eastAsia="zh-CN"/>
        </w:rPr>
      </w:pPr>
      <w:r w:rsidRPr="006975BE">
        <w:rPr>
          <w:rFonts w:asciiTheme="minorHAnsi" w:eastAsiaTheme="minorEastAsia" w:hAnsiTheme="minorHAnsi" w:cstheme="minorBidi"/>
          <w:bCs/>
          <w:szCs w:val="24"/>
          <w:lang w:eastAsia="zh-CN"/>
        </w:rPr>
        <w:t>1.1.3</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By its </w:t>
      </w:r>
      <w:hyperlink r:id="rId10" w:history="1">
        <w:r w:rsidRPr="006975BE">
          <w:rPr>
            <w:rStyle w:val="Hyperlink"/>
            <w:rFonts w:asciiTheme="minorHAnsi" w:eastAsiaTheme="minorEastAsia" w:hAnsiTheme="minorHAnsi" w:cstheme="minorHAnsi"/>
            <w:szCs w:val="24"/>
            <w:lang w:eastAsia="zh-CN"/>
          </w:rPr>
          <w:t>Decision 641 (</w:t>
        </w:r>
        <w:proofErr w:type="spellStart"/>
        <w:r w:rsidRPr="006975BE">
          <w:rPr>
            <w:rStyle w:val="Hyperlink"/>
            <w:rFonts w:asciiTheme="minorHAnsi" w:eastAsiaTheme="minorEastAsia" w:hAnsiTheme="minorHAnsi" w:cstheme="minorHAnsi"/>
            <w:szCs w:val="24"/>
            <w:lang w:eastAsia="zh-CN"/>
          </w:rPr>
          <w:t>C24</w:t>
        </w:r>
        <w:proofErr w:type="spellEnd"/>
        <w:r w:rsidRPr="006975BE">
          <w:rPr>
            <w:rStyle w:val="Hyperlink"/>
            <w:rFonts w:asciiTheme="minorHAnsi" w:eastAsiaTheme="minorEastAsia" w:hAnsiTheme="minorHAnsi" w:cstheme="minorHAnsi"/>
            <w:szCs w:val="24"/>
            <w:lang w:eastAsia="zh-CN"/>
          </w:rPr>
          <w:t xml:space="preserve">, last amended </w:t>
        </w:r>
        <w:proofErr w:type="spellStart"/>
        <w:r w:rsidRPr="006975BE">
          <w:rPr>
            <w:rStyle w:val="Hyperlink"/>
            <w:rFonts w:asciiTheme="minorHAnsi" w:eastAsiaTheme="minorEastAsia" w:hAnsiTheme="minorHAnsi" w:cstheme="minorHAnsi"/>
            <w:szCs w:val="24"/>
            <w:lang w:eastAsia="zh-CN"/>
          </w:rPr>
          <w:t>C25</w:t>
        </w:r>
        <w:proofErr w:type="spellEnd"/>
        <w:r w:rsidRPr="006975BE">
          <w:rPr>
            <w:rStyle w:val="Hyperlink"/>
            <w:rFonts w:asciiTheme="minorHAnsi" w:eastAsiaTheme="minorEastAsia" w:hAnsiTheme="minorHAnsi" w:cstheme="minorHAnsi"/>
            <w:szCs w:val="24"/>
            <w:lang w:eastAsia="zh-CN"/>
          </w:rPr>
          <w:t>)</w:t>
        </w:r>
      </w:hyperlink>
      <w:r w:rsidR="005C3510" w:rsidRPr="006975BE">
        <w:rPr>
          <w:rFonts w:asciiTheme="minorHAnsi" w:eastAsiaTheme="minorEastAsia" w:hAnsiTheme="minorHAnsi" w:cstheme="minorBidi"/>
          <w:szCs w:val="24"/>
          <w:lang w:eastAsia="zh-CN"/>
        </w:rPr>
        <w:t xml:space="preserve">, </w:t>
      </w:r>
      <w:r w:rsidRPr="006975BE">
        <w:rPr>
          <w:rFonts w:asciiTheme="minorHAnsi" w:eastAsiaTheme="minorEastAsia" w:hAnsiTheme="minorHAnsi" w:cstheme="minorBidi"/>
          <w:szCs w:val="24"/>
          <w:lang w:eastAsia="zh-CN"/>
        </w:rPr>
        <w:t xml:space="preserve">the ITU </w:t>
      </w:r>
      <w:r w:rsidRPr="006975BE">
        <w:rPr>
          <w:rFonts w:eastAsiaTheme="minorEastAsia"/>
          <w:szCs w:val="24"/>
          <w:lang w:eastAsia="zh-CN"/>
        </w:rPr>
        <w:t>Council</w:t>
      </w:r>
      <w:r w:rsidRPr="006975BE">
        <w:rPr>
          <w:rFonts w:asciiTheme="minorHAnsi" w:eastAsiaTheme="minorEastAsia" w:hAnsiTheme="minorHAnsi" w:cstheme="minorBidi"/>
          <w:szCs w:val="24"/>
          <w:lang w:eastAsia="zh-CN"/>
        </w:rPr>
        <w:t xml:space="preserve"> decided that </w:t>
      </w:r>
      <w:r w:rsidRPr="006975BE">
        <w:rPr>
          <w:rFonts w:asciiTheme="minorHAnsi" w:eastAsiaTheme="minorEastAsia" w:hAnsiTheme="minorHAnsi" w:cstheme="minorHAnsi"/>
          <w:szCs w:val="24"/>
          <w:lang w:eastAsia="zh-CN"/>
        </w:rPr>
        <w:t>the theme for WTPF-26 is as follows:</w:t>
      </w:r>
    </w:p>
    <w:p w14:paraId="2814960F" w14:textId="77777777" w:rsidR="00C64ED7" w:rsidRPr="006975BE" w:rsidRDefault="00C64ED7" w:rsidP="006A3CD9">
      <w:pPr>
        <w:pStyle w:val="enumlev1"/>
        <w:jc w:val="both"/>
        <w:rPr>
          <w:rFonts w:eastAsiaTheme="minorEastAsia"/>
          <w:iCs/>
          <w:szCs w:val="24"/>
          <w:lang w:eastAsia="zh-CN"/>
        </w:rPr>
      </w:pPr>
      <w:r w:rsidRPr="006975BE">
        <w:rPr>
          <w:rFonts w:eastAsiaTheme="minorEastAsia"/>
          <w:szCs w:val="24"/>
          <w:lang w:eastAsia="zh-CN"/>
        </w:rPr>
        <w:tab/>
        <w:t>“</w:t>
      </w:r>
      <w:r w:rsidRPr="006975BE">
        <w:rPr>
          <w:rFonts w:eastAsiaTheme="minorEastAsia"/>
          <w:b/>
          <w:i/>
          <w:szCs w:val="24"/>
          <w:lang w:eastAsia="zh-CN"/>
        </w:rPr>
        <w:t>Accelerating an inclusive, sustainable, resilient, and innovative digital future</w:t>
      </w:r>
      <w:r w:rsidRPr="006975BE">
        <w:rPr>
          <w:rFonts w:eastAsiaTheme="minorEastAsia"/>
          <w:szCs w:val="24"/>
          <w:lang w:eastAsia="zh-CN"/>
        </w:rPr>
        <w:t>: In this regard, the WTPF-26 will discuss opportunities, challenges and policies to address the following:</w:t>
      </w:r>
    </w:p>
    <w:p w14:paraId="38CD7B6A" w14:textId="77777777" w:rsidR="00C64ED7" w:rsidRPr="006975BE" w:rsidRDefault="00C64ED7" w:rsidP="006A3CD9">
      <w:pPr>
        <w:pStyle w:val="enumlev2"/>
        <w:jc w:val="both"/>
        <w:rPr>
          <w:rFonts w:eastAsiaTheme="minorEastAsia"/>
          <w:szCs w:val="24"/>
          <w:lang w:eastAsia="zh-CN"/>
        </w:rPr>
      </w:pPr>
      <w:r w:rsidRPr="006975BE">
        <w:rPr>
          <w:rFonts w:eastAsiaTheme="minorEastAsia"/>
          <w:szCs w:val="24"/>
          <w:lang w:eastAsia="zh-CN"/>
        </w:rPr>
        <w:t>–</w:t>
      </w:r>
      <w:r w:rsidRPr="006975BE">
        <w:rPr>
          <w:rFonts w:eastAsiaTheme="minorEastAsia"/>
          <w:szCs w:val="24"/>
          <w:lang w:eastAsia="zh-CN"/>
        </w:rPr>
        <w:tab/>
        <w:t>bridging digital divides, particularly on gender and age as well as skills and connectivity</w:t>
      </w:r>
    </w:p>
    <w:p w14:paraId="3E0473AA" w14:textId="77777777" w:rsidR="00C64ED7" w:rsidRPr="006975BE" w:rsidRDefault="00C64ED7" w:rsidP="006A3CD9">
      <w:pPr>
        <w:pStyle w:val="enumlev2"/>
        <w:jc w:val="both"/>
        <w:rPr>
          <w:rFonts w:eastAsiaTheme="minorEastAsia"/>
          <w:szCs w:val="24"/>
          <w:lang w:eastAsia="zh-CN"/>
        </w:rPr>
      </w:pPr>
      <w:r w:rsidRPr="006975BE">
        <w:rPr>
          <w:rFonts w:eastAsiaTheme="minorEastAsia"/>
          <w:szCs w:val="24"/>
          <w:lang w:eastAsia="zh-CN"/>
        </w:rPr>
        <w:t>–</w:t>
      </w:r>
      <w:r w:rsidRPr="006975BE">
        <w:rPr>
          <w:rFonts w:eastAsiaTheme="minorEastAsia"/>
          <w:szCs w:val="24"/>
          <w:lang w:eastAsia="zh-CN"/>
        </w:rPr>
        <w:tab/>
        <w:t>green digital transformation: climate change and environmental sustainability</w:t>
      </w:r>
    </w:p>
    <w:p w14:paraId="4BD618A6" w14:textId="77777777" w:rsidR="00C64ED7" w:rsidRPr="006975BE" w:rsidRDefault="00C64ED7" w:rsidP="006A3CD9">
      <w:pPr>
        <w:pStyle w:val="enumlev2"/>
        <w:jc w:val="both"/>
        <w:rPr>
          <w:rFonts w:eastAsiaTheme="minorEastAsia"/>
          <w:szCs w:val="24"/>
          <w:lang w:eastAsia="zh-CN"/>
        </w:rPr>
      </w:pPr>
      <w:r w:rsidRPr="006975BE">
        <w:rPr>
          <w:rFonts w:eastAsiaTheme="minorEastAsia"/>
          <w:szCs w:val="24"/>
          <w:lang w:eastAsia="zh-CN"/>
        </w:rPr>
        <w:t>–</w:t>
      </w:r>
      <w:r w:rsidRPr="006975BE">
        <w:rPr>
          <w:rFonts w:eastAsiaTheme="minorEastAsia"/>
          <w:szCs w:val="24"/>
          <w:lang w:eastAsia="zh-CN"/>
        </w:rPr>
        <w:tab/>
        <w:t>resilience of telecommunication/ICTs</w:t>
      </w:r>
    </w:p>
    <w:p w14:paraId="6F7C749D" w14:textId="77777777" w:rsidR="00C64ED7" w:rsidRPr="006975BE" w:rsidRDefault="00C64ED7" w:rsidP="006A3CD9">
      <w:pPr>
        <w:pStyle w:val="enumlev2"/>
        <w:jc w:val="both"/>
        <w:rPr>
          <w:rFonts w:eastAsiaTheme="minorEastAsia"/>
          <w:szCs w:val="24"/>
          <w:lang w:eastAsia="zh-CN"/>
        </w:rPr>
      </w:pPr>
      <w:r w:rsidRPr="006975BE">
        <w:rPr>
          <w:rFonts w:eastAsiaTheme="minorEastAsia"/>
          <w:szCs w:val="24"/>
          <w:lang w:eastAsia="zh-CN"/>
        </w:rPr>
        <w:t>–</w:t>
      </w:r>
      <w:r w:rsidRPr="006975BE">
        <w:rPr>
          <w:rFonts w:eastAsiaTheme="minorEastAsia"/>
          <w:szCs w:val="24"/>
          <w:lang w:eastAsia="zh-CN"/>
        </w:rPr>
        <w:tab/>
        <w:t xml:space="preserve">space connectivity </w:t>
      </w:r>
    </w:p>
    <w:p w14:paraId="1492A2D9" w14:textId="41E50317" w:rsidR="00C64ED7" w:rsidRPr="006975BE" w:rsidRDefault="00C64ED7" w:rsidP="006A3CD9">
      <w:pPr>
        <w:pStyle w:val="enumlev2"/>
        <w:jc w:val="both"/>
        <w:rPr>
          <w:rFonts w:eastAsiaTheme="minorEastAsia"/>
          <w:szCs w:val="24"/>
          <w:lang w:eastAsia="zh-CN"/>
        </w:rPr>
      </w:pPr>
      <w:r w:rsidRPr="006975BE">
        <w:rPr>
          <w:rFonts w:eastAsiaTheme="minorEastAsia"/>
          <w:szCs w:val="24"/>
          <w:lang w:eastAsia="zh-CN"/>
        </w:rPr>
        <w:t>–</w:t>
      </w:r>
      <w:r w:rsidRPr="006975BE">
        <w:rPr>
          <w:rFonts w:eastAsiaTheme="minorEastAsia"/>
          <w:szCs w:val="24"/>
          <w:lang w:eastAsia="zh-CN"/>
        </w:rPr>
        <w:tab/>
        <w:t>strengthening ICT-centric innovation ecosystems and entrepreneurship”</w:t>
      </w:r>
      <w:r w:rsidR="00F56933" w:rsidRPr="006975BE">
        <w:rPr>
          <w:rFonts w:eastAsiaTheme="minorEastAsia"/>
          <w:szCs w:val="24"/>
          <w:lang w:eastAsia="zh-CN"/>
        </w:rPr>
        <w:t>.</w:t>
      </w:r>
    </w:p>
    <w:p w14:paraId="587E2364"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lastRenderedPageBreak/>
        <w:t>1.1.4</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WTPF-26 shall not produce prescriptive regulatory outcomes; however, it shall prepare reports and adopt </w:t>
      </w:r>
      <w:r w:rsidRPr="006975BE">
        <w:rPr>
          <w:rFonts w:eastAsiaTheme="minorEastAsia"/>
          <w:szCs w:val="24"/>
          <w:lang w:eastAsia="zh-CN"/>
        </w:rPr>
        <w:t>non</w:t>
      </w:r>
      <w:r w:rsidRPr="006975BE">
        <w:rPr>
          <w:rFonts w:asciiTheme="minorHAnsi" w:eastAsiaTheme="minorEastAsia" w:hAnsiTheme="minorHAnsi" w:cstheme="minorBidi"/>
          <w:szCs w:val="24"/>
          <w:lang w:eastAsia="zh-CN"/>
        </w:rPr>
        <w:t>-</w:t>
      </w:r>
      <w:r w:rsidRPr="006975BE">
        <w:rPr>
          <w:rFonts w:asciiTheme="minorHAnsi" w:eastAsiaTheme="minorEastAsia" w:hAnsiTheme="minorHAnsi" w:cstheme="minorHAnsi"/>
          <w:szCs w:val="24"/>
          <w:lang w:eastAsia="zh-CN"/>
        </w:rPr>
        <w:t>binding</w:t>
      </w:r>
      <w:r w:rsidRPr="006975BE">
        <w:rPr>
          <w:rFonts w:asciiTheme="minorHAnsi" w:eastAsiaTheme="minorEastAsia" w:hAnsiTheme="minorHAnsi" w:cstheme="minorBidi"/>
          <w:szCs w:val="24"/>
          <w:lang w:eastAsia="zh-CN"/>
        </w:rPr>
        <w:t xml:space="preserve"> opinions by consensus for consideration by Member States, Sector Members, and relevant ITU meetings as per </w:t>
      </w:r>
      <w:hyperlink r:id="rId11">
        <w:r w:rsidRPr="006975BE">
          <w:rPr>
            <w:rStyle w:val="Hyperlink"/>
            <w:lang w:eastAsia="zh-CN"/>
          </w:rPr>
          <w:t>Resolution 2 (Rev. Bucharest, 2022)</w:t>
        </w:r>
      </w:hyperlink>
      <w:r w:rsidRPr="006975BE">
        <w:rPr>
          <w:rFonts w:asciiTheme="minorHAnsi" w:eastAsiaTheme="minorEastAsia" w:hAnsiTheme="minorHAnsi" w:cstheme="minorBidi"/>
          <w:szCs w:val="24"/>
          <w:lang w:eastAsia="zh-CN"/>
        </w:rPr>
        <w:t xml:space="preserve">. </w:t>
      </w:r>
    </w:p>
    <w:p w14:paraId="7A2094E2" w14:textId="383DF6ED"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t>1.1.5.</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More </w:t>
      </w:r>
      <w:r w:rsidRPr="006975BE">
        <w:rPr>
          <w:rFonts w:eastAsiaTheme="minorEastAsia"/>
          <w:szCs w:val="24"/>
          <w:lang w:eastAsia="zh-CN"/>
        </w:rPr>
        <w:t>information</w:t>
      </w:r>
      <w:r w:rsidRPr="006975BE">
        <w:rPr>
          <w:rFonts w:asciiTheme="minorHAnsi" w:eastAsiaTheme="minorEastAsia" w:hAnsiTheme="minorHAnsi" w:cstheme="minorBidi"/>
          <w:szCs w:val="24"/>
          <w:lang w:eastAsia="zh-CN"/>
        </w:rPr>
        <w:t xml:space="preserve"> relating to the preparatory process of WTPF-26 is posted on </w:t>
      </w:r>
      <w:hyperlink r:id="rId12" w:history="1">
        <w:proofErr w:type="spellStart"/>
        <w:r w:rsidR="0042792F" w:rsidRPr="006975BE">
          <w:rPr>
            <w:rStyle w:val="Hyperlink"/>
            <w:lang w:eastAsia="zh-CN"/>
          </w:rPr>
          <w:t>www.itu.int</w:t>
        </w:r>
        <w:proofErr w:type="spellEnd"/>
        <w:r w:rsidR="0042792F" w:rsidRPr="006975BE">
          <w:rPr>
            <w:rStyle w:val="Hyperlink"/>
            <w:lang w:eastAsia="zh-CN"/>
          </w:rPr>
          <w:t>/en/council/Pages/</w:t>
        </w:r>
        <w:proofErr w:type="spellStart"/>
        <w:r w:rsidR="0042792F" w:rsidRPr="006975BE">
          <w:rPr>
            <w:rStyle w:val="Hyperlink"/>
            <w:lang w:eastAsia="zh-CN"/>
          </w:rPr>
          <w:t>ieg-wtpf-26.aspx</w:t>
        </w:r>
        <w:proofErr w:type="spellEnd"/>
      </w:hyperlink>
      <w:r w:rsidRPr="006975BE">
        <w:rPr>
          <w:rFonts w:asciiTheme="minorHAnsi" w:eastAsiaTheme="minorEastAsia" w:hAnsiTheme="minorHAnsi" w:cstheme="minorBidi"/>
          <w:szCs w:val="24"/>
          <w:lang w:eastAsia="zh-CN"/>
        </w:rPr>
        <w:t>.</w:t>
      </w:r>
    </w:p>
    <w:p w14:paraId="4EFC8EF9" w14:textId="77777777" w:rsidR="00C64ED7" w:rsidRPr="006975BE" w:rsidRDefault="00C64ED7" w:rsidP="007647E0">
      <w:pPr>
        <w:pStyle w:val="Heading1"/>
      </w:pPr>
      <w:r w:rsidRPr="006975BE">
        <w:t>2</w:t>
      </w:r>
      <w:r w:rsidRPr="006975BE">
        <w:tab/>
        <w:t>Preparatory process for the ITU Secretary-General’s Report</w:t>
      </w:r>
    </w:p>
    <w:p w14:paraId="4A05BD73"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t>2.1.1</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HAnsi"/>
          <w:szCs w:val="24"/>
          <w:lang w:val="en-US" w:eastAsia="zh-CN"/>
        </w:rPr>
        <w:t>Discussions</w:t>
      </w:r>
      <w:r w:rsidRPr="006975BE">
        <w:rPr>
          <w:rFonts w:asciiTheme="minorHAnsi" w:eastAsiaTheme="minorEastAsia" w:hAnsiTheme="minorHAnsi" w:cstheme="minorBidi"/>
          <w:szCs w:val="24"/>
          <w:lang w:eastAsia="zh-CN"/>
        </w:rPr>
        <w:t xml:space="preserve"> at WTPF-26 shall be based solely on a single report by the ITU Secretary-General, and contributions from </w:t>
      </w:r>
      <w:r w:rsidRPr="006975BE">
        <w:rPr>
          <w:rFonts w:eastAsiaTheme="minorEastAsia"/>
          <w:szCs w:val="24"/>
          <w:lang w:eastAsia="zh-CN"/>
        </w:rPr>
        <w:t>participants</w:t>
      </w:r>
      <w:r w:rsidRPr="006975BE">
        <w:rPr>
          <w:rFonts w:asciiTheme="minorHAnsi" w:eastAsiaTheme="minorEastAsia" w:hAnsiTheme="minorHAnsi" w:cstheme="minorBidi"/>
          <w:szCs w:val="24"/>
          <w:lang w:eastAsia="zh-CN"/>
        </w:rPr>
        <w:t xml:space="preserve"> based on that report, prepared in accordance with a procedure adopted by the Council and based on the proposals of Member States and Sector Members, and on the views of Associates, Academia and stakeholders, and WTPF shall not consider drafts of any new opinions that were not presented during the preparatory period foreseen for drawing up the Secretary-General’s report prior to the forum as set out in </w:t>
      </w:r>
      <w:hyperlink r:id="rId13" w:history="1">
        <w:r w:rsidRPr="006975BE">
          <w:rPr>
            <w:rStyle w:val="Hyperlink"/>
            <w:lang w:eastAsia="zh-CN"/>
          </w:rPr>
          <w:t>Resolution 2 (Rev. Bucharest, 2022)</w:t>
        </w:r>
      </w:hyperlink>
      <w:r w:rsidRPr="006975BE">
        <w:rPr>
          <w:rFonts w:asciiTheme="minorHAnsi" w:eastAsiaTheme="minorEastAsia" w:hAnsiTheme="minorHAnsi" w:cstheme="minorBidi"/>
          <w:szCs w:val="24"/>
          <w:lang w:eastAsia="zh-CN"/>
        </w:rPr>
        <w:t>.</w:t>
      </w:r>
    </w:p>
    <w:p w14:paraId="5941BA32"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t>2.1.2</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In accordance with </w:t>
      </w:r>
      <w:hyperlink r:id="rId14" w:history="1">
        <w:r w:rsidRPr="006975BE">
          <w:rPr>
            <w:rStyle w:val="Hyperlink"/>
            <w:lang w:eastAsia="zh-CN"/>
          </w:rPr>
          <w:t>Decision 641 (C24)</w:t>
        </w:r>
      </w:hyperlink>
      <w:r w:rsidRPr="006975BE">
        <w:rPr>
          <w:rFonts w:asciiTheme="minorHAnsi" w:eastAsiaTheme="minorEastAsia" w:hAnsiTheme="minorHAnsi" w:cstheme="minorBidi"/>
          <w:szCs w:val="24"/>
          <w:lang w:eastAsia="zh-CN"/>
        </w:rPr>
        <w:t>, the ITU Secretary-General shall convene a balanced, informal group of experts (IEG), each of whom is active in preparing for WTPF-26 in his/her own country, to assist in this process. In this regard, a circular letter (</w:t>
      </w:r>
      <w:hyperlink r:id="rId15" w:history="1">
        <w:r w:rsidRPr="006975BE">
          <w:rPr>
            <w:rStyle w:val="Hyperlink"/>
            <w:lang w:eastAsia="zh-CN"/>
          </w:rPr>
          <w:t>CL-24/44</w:t>
        </w:r>
      </w:hyperlink>
      <w:r w:rsidRPr="006975BE">
        <w:rPr>
          <w:rFonts w:asciiTheme="minorHAnsi" w:eastAsiaTheme="minorEastAsia" w:hAnsiTheme="minorHAnsi" w:cstheme="minorBidi"/>
          <w:szCs w:val="24"/>
          <w:lang w:eastAsia="zh-CN"/>
        </w:rPr>
        <w:t>) has been sent on 14 June 2024 to Member States, the State of Palestine, Sector Members, Associates, Academia, and Organizations which have the right to attend ITU conferences and meetings as observers, calling for nomination of experts to constitute the IEG.</w:t>
      </w:r>
    </w:p>
    <w:p w14:paraId="4990ECB3"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t>2.1.3</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 xml:space="preserve">In line with Resolution 2 (Rev. Bucharest, 2022) and Council Decision 641 (Mod. 2025), this Report was prepared by the Secretary-General through an iterative process of engagement with the IEG, taking into full account the written and oral contributions of Member States and Sector Members. The Report does </w:t>
      </w:r>
      <w:r w:rsidRPr="006975BE">
        <w:rPr>
          <w:rFonts w:eastAsiaTheme="minorEastAsia"/>
          <w:szCs w:val="24"/>
          <w:lang w:eastAsia="zh-CN"/>
        </w:rPr>
        <w:t>not</w:t>
      </w:r>
      <w:r w:rsidRPr="006975BE">
        <w:rPr>
          <w:rFonts w:asciiTheme="minorHAnsi" w:eastAsiaTheme="minorEastAsia" w:hAnsiTheme="minorHAnsi" w:cstheme="minorBidi"/>
          <w:szCs w:val="24"/>
          <w:lang w:eastAsia="zh-CN"/>
        </w:rPr>
        <w:t xml:space="preserve"> represent a negotiated outcome, though it endeavours to </w:t>
      </w:r>
      <w:proofErr w:type="gramStart"/>
      <w:r w:rsidRPr="006975BE">
        <w:rPr>
          <w:rFonts w:asciiTheme="minorHAnsi" w:eastAsiaTheme="minorEastAsia" w:hAnsiTheme="minorHAnsi" w:cstheme="minorBidi"/>
          <w:szCs w:val="24"/>
          <w:lang w:eastAsia="zh-CN"/>
        </w:rPr>
        <w:t>take into account</w:t>
      </w:r>
      <w:proofErr w:type="gramEnd"/>
      <w:r w:rsidRPr="006975BE">
        <w:rPr>
          <w:rFonts w:asciiTheme="minorHAnsi" w:eastAsiaTheme="minorEastAsia" w:hAnsiTheme="minorHAnsi" w:cstheme="minorBidi"/>
          <w:szCs w:val="24"/>
          <w:lang w:eastAsia="zh-CN"/>
        </w:rPr>
        <w:t xml:space="preserve"> the range of views of Member States and Sector Members participating in the IEG. Citation of individual sources does not imply approval or endorsement by that source or their organization/entity.</w:t>
      </w:r>
    </w:p>
    <w:p w14:paraId="57D57561" w14:textId="3D7FAF91"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bCs/>
          <w:szCs w:val="24"/>
          <w:lang w:eastAsia="zh-CN"/>
        </w:rPr>
        <w:t>2.1.4</w:t>
      </w:r>
      <w:r w:rsidRPr="006975BE">
        <w:rPr>
          <w:rFonts w:asciiTheme="minorHAnsi" w:eastAsiaTheme="minorEastAsia" w:hAnsiTheme="minorHAnsi" w:cstheme="minorBidi"/>
          <w:bCs/>
          <w:szCs w:val="24"/>
          <w:lang w:eastAsia="zh-CN"/>
        </w:rPr>
        <w:tab/>
      </w:r>
      <w:r w:rsidRPr="006975BE">
        <w:rPr>
          <w:rFonts w:asciiTheme="minorHAnsi" w:eastAsiaTheme="minorEastAsia" w:hAnsiTheme="minorHAnsi" w:cstheme="minorBidi"/>
          <w:szCs w:val="24"/>
          <w:lang w:eastAsia="zh-CN"/>
        </w:rPr>
        <w:t>The preparatory process will be guided by the timetable set out as in Annex 2 of Decision</w:t>
      </w:r>
      <w:r w:rsidR="000C5C73" w:rsidRPr="006975BE">
        <w:rPr>
          <w:rFonts w:asciiTheme="minorHAnsi" w:eastAsiaTheme="minorEastAsia" w:hAnsiTheme="minorHAnsi" w:cstheme="minorBidi"/>
          <w:szCs w:val="24"/>
          <w:lang w:eastAsia="zh-CN"/>
        </w:rPr>
        <w:t> </w:t>
      </w:r>
      <w:r w:rsidRPr="006975BE">
        <w:rPr>
          <w:rFonts w:asciiTheme="minorHAnsi" w:eastAsiaTheme="minorEastAsia" w:hAnsiTheme="minorHAnsi" w:cstheme="minorBidi"/>
          <w:szCs w:val="24"/>
          <w:lang w:eastAsia="zh-CN"/>
        </w:rPr>
        <w:t xml:space="preserve">641 and in Table 1 </w:t>
      </w:r>
      <w:r w:rsidRPr="006975BE">
        <w:rPr>
          <w:rFonts w:eastAsiaTheme="minorEastAsia"/>
          <w:szCs w:val="24"/>
          <w:lang w:eastAsia="zh-CN"/>
        </w:rPr>
        <w:t>below</w:t>
      </w:r>
      <w:r w:rsidRPr="006975BE">
        <w:rPr>
          <w:rFonts w:asciiTheme="minorHAnsi" w:eastAsiaTheme="minorEastAsia" w:hAnsiTheme="minorHAnsi" w:cstheme="minorBidi"/>
          <w:szCs w:val="24"/>
          <w:lang w:eastAsia="zh-CN"/>
        </w:rPr>
        <w:t xml:space="preserve"> (revised based on agreement of the first IEG meeting).</w:t>
      </w:r>
    </w:p>
    <w:p w14:paraId="3304E8B9" w14:textId="77777777" w:rsidR="00C64ED7" w:rsidRPr="006975BE" w:rsidRDefault="00C64ED7" w:rsidP="00D448DE">
      <w:pPr>
        <w:pStyle w:val="TableNo"/>
      </w:pPr>
      <w:r w:rsidRPr="006975BE">
        <w:t>Table 1</w:t>
      </w:r>
    </w:p>
    <w:p w14:paraId="5E60DCEB" w14:textId="77777777" w:rsidR="00C64ED7" w:rsidRPr="006975BE" w:rsidRDefault="00C64ED7" w:rsidP="00D448DE">
      <w:pPr>
        <w:pStyle w:val="Tabletitle"/>
      </w:pPr>
      <w:r w:rsidRPr="006975BE">
        <w:t>Timetable for the elaboration of the ITU Secretary-General’s Report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3"/>
        <w:gridCol w:w="7396"/>
      </w:tblGrid>
      <w:tr w:rsidR="00C64ED7" w:rsidRPr="006975BE" w14:paraId="468AB7E7" w14:textId="77777777">
        <w:trPr>
          <w:cantSplit/>
          <w:jc w:val="center"/>
        </w:trPr>
        <w:tc>
          <w:tcPr>
            <w:tcW w:w="2243" w:type="dxa"/>
          </w:tcPr>
          <w:p w14:paraId="450809CC" w14:textId="77777777" w:rsidR="00C64ED7" w:rsidRPr="006975BE" w:rsidRDefault="00C64ED7" w:rsidP="008F7548">
            <w:pPr>
              <w:pStyle w:val="Tabletext"/>
              <w:jc w:val="center"/>
              <w:rPr>
                <w:b/>
                <w:bCs/>
              </w:rPr>
            </w:pPr>
            <w:r w:rsidRPr="006975BE">
              <w:rPr>
                <w:b/>
                <w:bCs/>
              </w:rPr>
              <w:t>5 August 2024</w:t>
            </w:r>
          </w:p>
        </w:tc>
        <w:tc>
          <w:tcPr>
            <w:tcW w:w="7396" w:type="dxa"/>
          </w:tcPr>
          <w:p w14:paraId="606CBC90" w14:textId="77777777" w:rsidR="00C64ED7" w:rsidRPr="006975BE" w:rsidRDefault="00C64ED7" w:rsidP="008F7548">
            <w:pPr>
              <w:pStyle w:val="Tabletext"/>
            </w:pPr>
            <w:r w:rsidRPr="006975BE">
              <w:t>A First Draft outline of the Report by the Secretary-General shall be posted online for comments</w:t>
            </w:r>
          </w:p>
        </w:tc>
      </w:tr>
      <w:tr w:rsidR="00C64ED7" w:rsidRPr="006975BE" w14:paraId="4202BC78" w14:textId="77777777">
        <w:trPr>
          <w:cantSplit/>
          <w:jc w:val="center"/>
        </w:trPr>
        <w:tc>
          <w:tcPr>
            <w:tcW w:w="2243" w:type="dxa"/>
          </w:tcPr>
          <w:p w14:paraId="52BDFFB8" w14:textId="77777777" w:rsidR="00C64ED7" w:rsidRPr="006975BE" w:rsidRDefault="00C64ED7" w:rsidP="008F7548">
            <w:pPr>
              <w:pStyle w:val="Tabletext"/>
              <w:jc w:val="center"/>
              <w:rPr>
                <w:b/>
                <w:bCs/>
              </w:rPr>
            </w:pPr>
            <w:r w:rsidRPr="006975BE">
              <w:rPr>
                <w:b/>
                <w:bCs/>
              </w:rPr>
              <w:t>26 August 2024</w:t>
            </w:r>
          </w:p>
        </w:tc>
        <w:tc>
          <w:tcPr>
            <w:tcW w:w="7396" w:type="dxa"/>
          </w:tcPr>
          <w:p w14:paraId="5E0817C6" w14:textId="77777777" w:rsidR="00C64ED7" w:rsidRPr="006975BE" w:rsidRDefault="00C64ED7" w:rsidP="008F7548">
            <w:pPr>
              <w:pStyle w:val="Tabletext"/>
            </w:pPr>
            <w:r w:rsidRPr="006975BE">
              <w:t>Deadline for receipt of comments on the First Draft, and for contribution on outlines for possible draft opinions</w:t>
            </w:r>
          </w:p>
          <w:p w14:paraId="7784F047" w14:textId="77777777" w:rsidR="00C64ED7" w:rsidRPr="006975BE" w:rsidRDefault="00C64ED7" w:rsidP="008F7548">
            <w:pPr>
              <w:pStyle w:val="Tabletext"/>
            </w:pPr>
            <w:r w:rsidRPr="006975BE">
              <w:t>Deadline for nominations for a balanced group of experts to advise the Secretary-General on further elaboration of the report and of draft opinions associated with it</w:t>
            </w:r>
          </w:p>
        </w:tc>
      </w:tr>
      <w:tr w:rsidR="00C64ED7" w:rsidRPr="006975BE" w14:paraId="67B3A1CD" w14:textId="77777777">
        <w:trPr>
          <w:cantSplit/>
          <w:jc w:val="center"/>
        </w:trPr>
        <w:tc>
          <w:tcPr>
            <w:tcW w:w="2243" w:type="dxa"/>
          </w:tcPr>
          <w:p w14:paraId="7E0517FD" w14:textId="77777777" w:rsidR="00C64ED7" w:rsidRPr="006975BE" w:rsidRDefault="00C64ED7" w:rsidP="008F7548">
            <w:pPr>
              <w:pStyle w:val="Tabletext"/>
              <w:jc w:val="center"/>
              <w:rPr>
                <w:b/>
                <w:bCs/>
              </w:rPr>
            </w:pPr>
            <w:r w:rsidRPr="006975BE">
              <w:rPr>
                <w:b/>
                <w:bCs/>
              </w:rPr>
              <w:t>1</w:t>
            </w:r>
            <w:r w:rsidRPr="006975BE">
              <w:rPr>
                <w:b/>
                <w:bCs/>
                <w:vertAlign w:val="superscript"/>
              </w:rPr>
              <w:t>st</w:t>
            </w:r>
            <w:r w:rsidRPr="006975BE">
              <w:rPr>
                <w:b/>
                <w:bCs/>
              </w:rPr>
              <w:t xml:space="preserve"> IEG Meeting </w:t>
            </w:r>
            <w:r w:rsidRPr="006975BE">
              <w:rPr>
                <w:b/>
                <w:bCs/>
              </w:rPr>
              <w:br/>
              <w:t>(7-8 October 2024 during the CWG cluster)</w:t>
            </w:r>
          </w:p>
        </w:tc>
        <w:tc>
          <w:tcPr>
            <w:tcW w:w="7396" w:type="dxa"/>
          </w:tcPr>
          <w:p w14:paraId="2476414B" w14:textId="77777777" w:rsidR="00C64ED7" w:rsidRPr="006975BE" w:rsidRDefault="00C64ED7" w:rsidP="008F7548">
            <w:pPr>
              <w:pStyle w:val="Tabletext"/>
            </w:pPr>
            <w:r w:rsidRPr="006975BE">
              <w:t>First meeting of the group of experts to discuss the First Draft of the report by the Secretary-General and the comments received</w:t>
            </w:r>
          </w:p>
        </w:tc>
      </w:tr>
      <w:tr w:rsidR="00C64ED7" w:rsidRPr="006975BE" w14:paraId="63F4C87E" w14:textId="77777777">
        <w:trPr>
          <w:cantSplit/>
          <w:jc w:val="center"/>
        </w:trPr>
        <w:tc>
          <w:tcPr>
            <w:tcW w:w="2243" w:type="dxa"/>
          </w:tcPr>
          <w:p w14:paraId="71532138" w14:textId="77777777" w:rsidR="00C64ED7" w:rsidRPr="006975BE" w:rsidRDefault="00C64ED7" w:rsidP="008F7548">
            <w:pPr>
              <w:pStyle w:val="Tabletext"/>
              <w:jc w:val="center"/>
              <w:rPr>
                <w:b/>
                <w:bCs/>
              </w:rPr>
            </w:pPr>
            <w:r w:rsidRPr="006975BE">
              <w:rPr>
                <w:b/>
                <w:bCs/>
              </w:rPr>
              <w:lastRenderedPageBreak/>
              <w:t>18 November 2024</w:t>
            </w:r>
          </w:p>
        </w:tc>
        <w:tc>
          <w:tcPr>
            <w:tcW w:w="7396" w:type="dxa"/>
          </w:tcPr>
          <w:p w14:paraId="1D2E42D4" w14:textId="77777777" w:rsidR="00C64ED7" w:rsidRPr="006975BE" w:rsidRDefault="00C64ED7" w:rsidP="008F7548">
            <w:pPr>
              <w:pStyle w:val="Tabletext"/>
            </w:pPr>
            <w:r w:rsidRPr="006975BE">
              <w:t>The Second Draft of the report by the Secretary-General will be posted online, incorporating discussions from the 1</w:t>
            </w:r>
            <w:r w:rsidRPr="006975BE">
              <w:rPr>
                <w:vertAlign w:val="superscript"/>
              </w:rPr>
              <w:t>st</w:t>
            </w:r>
            <w:r w:rsidRPr="006975BE">
              <w:t xml:space="preserve"> IEG meeting and including outlines of draft Opinions</w:t>
            </w:r>
          </w:p>
          <w:p w14:paraId="12C67EA2" w14:textId="77777777" w:rsidR="00C64ED7" w:rsidRPr="006975BE" w:rsidRDefault="00C64ED7" w:rsidP="008F7548">
            <w:pPr>
              <w:pStyle w:val="Tabletext"/>
            </w:pPr>
            <w:r w:rsidRPr="006975BE">
              <w:t>This draft will also be made available online for open public consultations</w:t>
            </w:r>
          </w:p>
        </w:tc>
      </w:tr>
      <w:tr w:rsidR="00C64ED7" w:rsidRPr="006975BE" w14:paraId="1B82D280" w14:textId="77777777">
        <w:trPr>
          <w:cantSplit/>
          <w:jc w:val="center"/>
        </w:trPr>
        <w:tc>
          <w:tcPr>
            <w:tcW w:w="2243" w:type="dxa"/>
          </w:tcPr>
          <w:p w14:paraId="40BC7A17" w14:textId="77777777" w:rsidR="00C64ED7" w:rsidRPr="006975BE" w:rsidRDefault="00C64ED7" w:rsidP="008F7548">
            <w:pPr>
              <w:pStyle w:val="Tabletext"/>
              <w:jc w:val="center"/>
              <w:rPr>
                <w:b/>
                <w:bCs/>
              </w:rPr>
            </w:pPr>
            <w:r w:rsidRPr="006975BE">
              <w:rPr>
                <w:b/>
                <w:bCs/>
              </w:rPr>
              <w:t>13 January 2025</w:t>
            </w:r>
          </w:p>
        </w:tc>
        <w:tc>
          <w:tcPr>
            <w:tcW w:w="7396" w:type="dxa"/>
          </w:tcPr>
          <w:p w14:paraId="19A4A8E9" w14:textId="77777777" w:rsidR="00C64ED7" w:rsidRPr="006975BE" w:rsidRDefault="00C64ED7" w:rsidP="008F7548">
            <w:pPr>
              <w:pStyle w:val="Tabletext"/>
            </w:pPr>
            <w:r w:rsidRPr="006975BE">
              <w:t>Deadline for receipt of comments on the Second Draft and for contribution on possible draft Opinions</w:t>
            </w:r>
          </w:p>
          <w:p w14:paraId="5CF0C357" w14:textId="77777777" w:rsidR="00C64ED7" w:rsidRPr="006975BE" w:rsidRDefault="00C64ED7" w:rsidP="008F7548">
            <w:pPr>
              <w:pStyle w:val="Tabletext"/>
            </w:pPr>
            <w:r w:rsidRPr="006975BE">
              <w:t>Deadline for inputs from the open public consultations</w:t>
            </w:r>
          </w:p>
        </w:tc>
      </w:tr>
      <w:tr w:rsidR="00C64ED7" w:rsidRPr="006975BE" w14:paraId="280A80EB" w14:textId="77777777">
        <w:trPr>
          <w:cantSplit/>
          <w:jc w:val="center"/>
        </w:trPr>
        <w:tc>
          <w:tcPr>
            <w:tcW w:w="2243" w:type="dxa"/>
          </w:tcPr>
          <w:p w14:paraId="04D22F94" w14:textId="77777777" w:rsidR="00C64ED7" w:rsidRPr="006975BE" w:rsidRDefault="00C64ED7" w:rsidP="008F7548">
            <w:pPr>
              <w:pStyle w:val="Tabletext"/>
              <w:jc w:val="center"/>
              <w:rPr>
                <w:b/>
                <w:bCs/>
              </w:rPr>
            </w:pPr>
            <w:r w:rsidRPr="006975BE">
              <w:rPr>
                <w:b/>
                <w:bCs/>
              </w:rPr>
              <w:t>2</w:t>
            </w:r>
            <w:r w:rsidRPr="006975BE">
              <w:rPr>
                <w:b/>
                <w:bCs/>
                <w:vertAlign w:val="superscript"/>
              </w:rPr>
              <w:t>nd</w:t>
            </w:r>
            <w:r w:rsidRPr="006975BE">
              <w:rPr>
                <w:b/>
                <w:bCs/>
              </w:rPr>
              <w:t xml:space="preserve"> IEG Meeting </w:t>
            </w:r>
            <w:r w:rsidRPr="006975BE">
              <w:rPr>
                <w:b/>
                <w:bCs/>
              </w:rPr>
              <w:br/>
              <w:t>(13-14 February 2025 during the CWG cluster)</w:t>
            </w:r>
          </w:p>
        </w:tc>
        <w:tc>
          <w:tcPr>
            <w:tcW w:w="7396" w:type="dxa"/>
          </w:tcPr>
          <w:p w14:paraId="0E77E14A" w14:textId="77777777" w:rsidR="00C64ED7" w:rsidRPr="006975BE" w:rsidRDefault="00C64ED7" w:rsidP="008F7548">
            <w:pPr>
              <w:pStyle w:val="Tabletext"/>
            </w:pPr>
            <w:r w:rsidRPr="006975BE">
              <w:t>Second meeting of the group of experts to discuss the Second Draft of the report by the Secretary-General as well as the possible draft Opinions and the comments received, including from the open public consultation</w:t>
            </w:r>
          </w:p>
        </w:tc>
      </w:tr>
      <w:tr w:rsidR="00C64ED7" w:rsidRPr="006975BE" w14:paraId="0CDA7B14" w14:textId="77777777">
        <w:trPr>
          <w:cantSplit/>
          <w:jc w:val="center"/>
        </w:trPr>
        <w:tc>
          <w:tcPr>
            <w:tcW w:w="2243" w:type="dxa"/>
          </w:tcPr>
          <w:p w14:paraId="36007137" w14:textId="77777777" w:rsidR="00C64ED7" w:rsidRPr="006975BE" w:rsidRDefault="00C64ED7" w:rsidP="008F7548">
            <w:pPr>
              <w:pStyle w:val="Tabletext"/>
              <w:jc w:val="center"/>
              <w:rPr>
                <w:b/>
                <w:bCs/>
              </w:rPr>
            </w:pPr>
            <w:r w:rsidRPr="006975BE">
              <w:rPr>
                <w:b/>
                <w:bCs/>
              </w:rPr>
              <w:t>31 March 2025</w:t>
            </w:r>
          </w:p>
        </w:tc>
        <w:tc>
          <w:tcPr>
            <w:tcW w:w="7396" w:type="dxa"/>
          </w:tcPr>
          <w:p w14:paraId="4A042D83" w14:textId="77777777" w:rsidR="00C64ED7" w:rsidRPr="006975BE" w:rsidRDefault="00C64ED7" w:rsidP="008F7548">
            <w:pPr>
              <w:pStyle w:val="Tabletext"/>
            </w:pPr>
            <w:r w:rsidRPr="006975BE">
              <w:t>The Third Draft of the report by the Secretary-General will be posted online, incorporating discussions from the 2</w:t>
            </w:r>
            <w:r w:rsidRPr="006975BE">
              <w:rPr>
                <w:vertAlign w:val="superscript"/>
              </w:rPr>
              <w:t>nd</w:t>
            </w:r>
            <w:r w:rsidRPr="006975BE">
              <w:t xml:space="preserve"> IEG meeting, and including the text of the possible draft Opinions as an Annex</w:t>
            </w:r>
          </w:p>
          <w:p w14:paraId="1D52CEF6" w14:textId="77777777" w:rsidR="00C64ED7" w:rsidRPr="006975BE" w:rsidRDefault="00C64ED7" w:rsidP="008F7548">
            <w:pPr>
              <w:pStyle w:val="Tabletext"/>
            </w:pPr>
            <w:r w:rsidRPr="006975BE">
              <w:t>This draft will also be made available online for open public consultations.</w:t>
            </w:r>
          </w:p>
        </w:tc>
      </w:tr>
      <w:tr w:rsidR="00C64ED7" w:rsidRPr="006975BE" w14:paraId="02A652D3" w14:textId="77777777">
        <w:trPr>
          <w:cantSplit/>
          <w:jc w:val="center"/>
        </w:trPr>
        <w:tc>
          <w:tcPr>
            <w:tcW w:w="2243" w:type="dxa"/>
          </w:tcPr>
          <w:p w14:paraId="34B05B39" w14:textId="77777777" w:rsidR="00C64ED7" w:rsidRPr="006975BE" w:rsidRDefault="00C64ED7" w:rsidP="008F7548">
            <w:pPr>
              <w:pStyle w:val="Tabletext"/>
              <w:jc w:val="center"/>
              <w:rPr>
                <w:b/>
                <w:bCs/>
              </w:rPr>
            </w:pPr>
            <w:r w:rsidRPr="006975BE">
              <w:rPr>
                <w:b/>
                <w:bCs/>
              </w:rPr>
              <w:t>16 June 2025</w:t>
            </w:r>
          </w:p>
        </w:tc>
        <w:tc>
          <w:tcPr>
            <w:tcW w:w="7396" w:type="dxa"/>
          </w:tcPr>
          <w:p w14:paraId="6CA872F2" w14:textId="77777777" w:rsidR="00C64ED7" w:rsidRPr="006975BE" w:rsidRDefault="00C64ED7" w:rsidP="008F7548">
            <w:pPr>
              <w:pStyle w:val="Tabletext"/>
            </w:pPr>
            <w:r w:rsidRPr="006975BE">
              <w:t>Deadline for receipt of comments on the Third Draft, including the possible draft Opinions</w:t>
            </w:r>
          </w:p>
          <w:p w14:paraId="154E9492" w14:textId="77777777" w:rsidR="00C64ED7" w:rsidRPr="006975BE" w:rsidRDefault="00C64ED7" w:rsidP="008F7548">
            <w:pPr>
              <w:pStyle w:val="Tabletext"/>
            </w:pPr>
            <w:r w:rsidRPr="006975BE">
              <w:t>Deadline for receipt of comments from the open public consultation</w:t>
            </w:r>
          </w:p>
        </w:tc>
      </w:tr>
      <w:tr w:rsidR="00C64ED7" w:rsidRPr="006975BE" w14:paraId="75F236B7" w14:textId="77777777">
        <w:trPr>
          <w:cantSplit/>
          <w:jc w:val="center"/>
        </w:trPr>
        <w:tc>
          <w:tcPr>
            <w:tcW w:w="2243" w:type="dxa"/>
          </w:tcPr>
          <w:p w14:paraId="41C41B74" w14:textId="77777777" w:rsidR="00C64ED7" w:rsidRPr="006975BE" w:rsidRDefault="00C64ED7" w:rsidP="008F7548">
            <w:pPr>
              <w:pStyle w:val="Tabletext"/>
              <w:jc w:val="center"/>
              <w:rPr>
                <w:b/>
                <w:bCs/>
              </w:rPr>
            </w:pPr>
            <w:r w:rsidRPr="006975BE">
              <w:rPr>
                <w:b/>
                <w:bCs/>
                <w:lang w:val="en-US"/>
              </w:rPr>
              <w:t>7 August 2025</w:t>
            </w:r>
          </w:p>
        </w:tc>
        <w:tc>
          <w:tcPr>
            <w:tcW w:w="7396" w:type="dxa"/>
          </w:tcPr>
          <w:p w14:paraId="1B5E10D4" w14:textId="77777777" w:rsidR="00C64ED7" w:rsidRPr="006975BE" w:rsidRDefault="00C64ED7" w:rsidP="008F7548">
            <w:pPr>
              <w:pStyle w:val="Tabletext"/>
            </w:pPr>
            <w:r w:rsidRPr="006975BE">
              <w:t>Interim deadline for written inputs following the publication, on 16 June 2025, of the Chair’s Report, containing baseline draft Opinions</w:t>
            </w:r>
          </w:p>
          <w:p w14:paraId="02B85DC6" w14:textId="77777777" w:rsidR="00C64ED7" w:rsidRPr="006975BE" w:rsidRDefault="00C64ED7" w:rsidP="008F7548">
            <w:pPr>
              <w:pStyle w:val="Tabletext"/>
            </w:pPr>
            <w:r w:rsidRPr="006975BE">
              <w:t>The deadline is intended to support continued consideration of the draft Opinions ahead of the next meeting of the Informal Expert Group</w:t>
            </w:r>
          </w:p>
        </w:tc>
      </w:tr>
      <w:tr w:rsidR="00C64ED7" w:rsidRPr="006975BE" w14:paraId="7A9394A7" w14:textId="77777777">
        <w:trPr>
          <w:cantSplit/>
          <w:jc w:val="center"/>
        </w:trPr>
        <w:tc>
          <w:tcPr>
            <w:tcW w:w="2243" w:type="dxa"/>
          </w:tcPr>
          <w:p w14:paraId="6829F6C1" w14:textId="77777777" w:rsidR="00C64ED7" w:rsidRPr="006975BE" w:rsidRDefault="00C64ED7" w:rsidP="008F7548">
            <w:pPr>
              <w:pStyle w:val="Tabletext"/>
              <w:jc w:val="center"/>
              <w:rPr>
                <w:b/>
                <w:bCs/>
              </w:rPr>
            </w:pPr>
            <w:r w:rsidRPr="006975BE">
              <w:rPr>
                <w:b/>
                <w:bCs/>
              </w:rPr>
              <w:t>3</w:t>
            </w:r>
            <w:r w:rsidRPr="006975BE">
              <w:rPr>
                <w:b/>
                <w:bCs/>
                <w:vertAlign w:val="superscript"/>
              </w:rPr>
              <w:t>rd</w:t>
            </w:r>
            <w:r w:rsidRPr="006975BE">
              <w:rPr>
                <w:b/>
                <w:bCs/>
              </w:rPr>
              <w:t xml:space="preserve"> IEG Meeting </w:t>
            </w:r>
            <w:r w:rsidRPr="006975BE">
              <w:rPr>
                <w:b/>
                <w:bCs/>
              </w:rPr>
              <w:br/>
              <w:t>(17-19 September 2025 during the CWG cluster)</w:t>
            </w:r>
          </w:p>
        </w:tc>
        <w:tc>
          <w:tcPr>
            <w:tcW w:w="7396" w:type="dxa"/>
          </w:tcPr>
          <w:p w14:paraId="2CEC26A7" w14:textId="77777777" w:rsidR="00C64ED7" w:rsidRPr="006975BE" w:rsidRDefault="00C64ED7" w:rsidP="008F7548">
            <w:pPr>
              <w:pStyle w:val="Tabletext"/>
            </w:pPr>
            <w:r w:rsidRPr="006975BE">
              <w:t>Third meeting of the group of experts to discuss the Third Draft of the report by the Secretary-General as well as the draft Opinions and the comments received, including from the open public consultation</w:t>
            </w:r>
          </w:p>
        </w:tc>
      </w:tr>
      <w:tr w:rsidR="00C64ED7" w:rsidRPr="006975BE" w14:paraId="16B5FE0F" w14:textId="77777777">
        <w:trPr>
          <w:cantSplit/>
          <w:jc w:val="center"/>
        </w:trPr>
        <w:tc>
          <w:tcPr>
            <w:tcW w:w="2243" w:type="dxa"/>
          </w:tcPr>
          <w:p w14:paraId="0ABACF85" w14:textId="77777777" w:rsidR="00C64ED7" w:rsidRPr="006975BE" w:rsidRDefault="00C64ED7" w:rsidP="008F7548">
            <w:pPr>
              <w:pStyle w:val="Tabletext"/>
              <w:jc w:val="center"/>
              <w:rPr>
                <w:b/>
                <w:bCs/>
              </w:rPr>
            </w:pPr>
            <w:r w:rsidRPr="006975BE">
              <w:rPr>
                <w:b/>
                <w:bCs/>
              </w:rPr>
              <w:t>3 November 2025</w:t>
            </w:r>
          </w:p>
        </w:tc>
        <w:tc>
          <w:tcPr>
            <w:tcW w:w="7396" w:type="dxa"/>
          </w:tcPr>
          <w:p w14:paraId="3BB7D6BE" w14:textId="77777777" w:rsidR="00C64ED7" w:rsidRPr="006975BE" w:rsidRDefault="00C64ED7" w:rsidP="008F7548">
            <w:pPr>
              <w:pStyle w:val="Tabletext"/>
            </w:pPr>
            <w:r w:rsidRPr="006975BE">
              <w:t>The Fourth Draft of the report by the Secretary-General will be posted online, incorporating discussions from the 3</w:t>
            </w:r>
            <w:r w:rsidRPr="006975BE">
              <w:rPr>
                <w:vertAlign w:val="superscript"/>
              </w:rPr>
              <w:t>rd</w:t>
            </w:r>
            <w:r w:rsidRPr="006975BE">
              <w:t xml:space="preserve"> IEG meeting and including the draft Opinions as an Annex</w:t>
            </w:r>
          </w:p>
        </w:tc>
      </w:tr>
      <w:tr w:rsidR="00C64ED7" w:rsidRPr="006975BE" w14:paraId="0B3C9507" w14:textId="77777777">
        <w:trPr>
          <w:cantSplit/>
          <w:jc w:val="center"/>
        </w:trPr>
        <w:tc>
          <w:tcPr>
            <w:tcW w:w="2243" w:type="dxa"/>
          </w:tcPr>
          <w:p w14:paraId="5EE0406B" w14:textId="77777777" w:rsidR="00C64ED7" w:rsidRPr="006975BE" w:rsidRDefault="00C64ED7" w:rsidP="008F7548">
            <w:pPr>
              <w:pStyle w:val="Tabletext"/>
              <w:jc w:val="center"/>
              <w:rPr>
                <w:b/>
                <w:bCs/>
              </w:rPr>
            </w:pPr>
            <w:r w:rsidRPr="006975BE">
              <w:rPr>
                <w:b/>
                <w:bCs/>
              </w:rPr>
              <w:t>19 December 2025</w:t>
            </w:r>
          </w:p>
        </w:tc>
        <w:tc>
          <w:tcPr>
            <w:tcW w:w="7396" w:type="dxa"/>
          </w:tcPr>
          <w:p w14:paraId="5C1420D6" w14:textId="77777777" w:rsidR="00C64ED7" w:rsidRPr="006975BE" w:rsidRDefault="00C64ED7" w:rsidP="008F7548">
            <w:pPr>
              <w:pStyle w:val="Tabletext"/>
            </w:pPr>
            <w:r w:rsidRPr="006975BE">
              <w:t>Deadline for receipt of comments on the Fourth Draft, including the text of the draft Opinions</w:t>
            </w:r>
          </w:p>
        </w:tc>
      </w:tr>
      <w:tr w:rsidR="00C64ED7" w:rsidRPr="006975BE" w14:paraId="02C6D710" w14:textId="77777777">
        <w:trPr>
          <w:cantSplit/>
          <w:jc w:val="center"/>
        </w:trPr>
        <w:tc>
          <w:tcPr>
            <w:tcW w:w="2243" w:type="dxa"/>
          </w:tcPr>
          <w:p w14:paraId="2E2DD482" w14:textId="77777777" w:rsidR="00C64ED7" w:rsidRPr="006975BE" w:rsidRDefault="00C64ED7" w:rsidP="008F7548">
            <w:pPr>
              <w:pStyle w:val="Tabletext"/>
              <w:jc w:val="center"/>
              <w:rPr>
                <w:b/>
                <w:bCs/>
              </w:rPr>
            </w:pPr>
            <w:r w:rsidRPr="006975BE">
              <w:rPr>
                <w:b/>
                <w:bCs/>
              </w:rPr>
              <w:t>4</w:t>
            </w:r>
            <w:r w:rsidRPr="006975BE">
              <w:rPr>
                <w:b/>
                <w:bCs/>
                <w:vertAlign w:val="superscript"/>
              </w:rPr>
              <w:t>th</w:t>
            </w:r>
            <w:r w:rsidRPr="006975BE">
              <w:rPr>
                <w:b/>
                <w:bCs/>
              </w:rPr>
              <w:t xml:space="preserve"> IEG Meeting </w:t>
            </w:r>
            <w:r w:rsidRPr="006975BE">
              <w:rPr>
                <w:b/>
                <w:bCs/>
              </w:rPr>
              <w:br/>
              <w:t>(21-23 January 2026 during the CWG cluster)</w:t>
            </w:r>
          </w:p>
        </w:tc>
        <w:tc>
          <w:tcPr>
            <w:tcW w:w="7396" w:type="dxa"/>
          </w:tcPr>
          <w:p w14:paraId="2F3E4416" w14:textId="77777777" w:rsidR="00C64ED7" w:rsidRPr="006975BE" w:rsidRDefault="00C64ED7" w:rsidP="008F7548">
            <w:pPr>
              <w:pStyle w:val="Tabletext"/>
            </w:pPr>
            <w:r w:rsidRPr="006975BE">
              <w:t>Fourth meeting of the group of experts to finalize the Draft Report by the Secretary-General, including the final text of the draft Opinions to be submitted to the seventh WTPF</w:t>
            </w:r>
          </w:p>
        </w:tc>
      </w:tr>
      <w:tr w:rsidR="00C64ED7" w:rsidRPr="006975BE" w14:paraId="4AC56443" w14:textId="77777777">
        <w:trPr>
          <w:cantSplit/>
          <w:jc w:val="center"/>
        </w:trPr>
        <w:tc>
          <w:tcPr>
            <w:tcW w:w="2243" w:type="dxa"/>
          </w:tcPr>
          <w:p w14:paraId="213536D7" w14:textId="77777777" w:rsidR="00C64ED7" w:rsidRPr="006975BE" w:rsidRDefault="00C64ED7" w:rsidP="008F7548">
            <w:pPr>
              <w:pStyle w:val="Tabletext"/>
              <w:jc w:val="center"/>
              <w:rPr>
                <w:b/>
                <w:bCs/>
              </w:rPr>
            </w:pPr>
            <w:r w:rsidRPr="006975BE">
              <w:rPr>
                <w:b/>
                <w:bCs/>
              </w:rPr>
              <w:t>13 April 2026</w:t>
            </w:r>
          </w:p>
        </w:tc>
        <w:tc>
          <w:tcPr>
            <w:tcW w:w="7396" w:type="dxa"/>
          </w:tcPr>
          <w:p w14:paraId="1185882A" w14:textId="77777777" w:rsidR="00C64ED7" w:rsidRPr="006975BE" w:rsidRDefault="00C64ED7" w:rsidP="008F7548">
            <w:pPr>
              <w:pStyle w:val="Tabletext"/>
            </w:pPr>
            <w:r w:rsidRPr="006975BE">
              <w:t>The final report of the Secretary-General to WTPF will be posted online, including the draft Opinions</w:t>
            </w:r>
          </w:p>
        </w:tc>
      </w:tr>
      <w:tr w:rsidR="00C64ED7" w:rsidRPr="006975BE" w14:paraId="1468C695" w14:textId="77777777">
        <w:trPr>
          <w:cantSplit/>
          <w:jc w:val="center"/>
        </w:trPr>
        <w:tc>
          <w:tcPr>
            <w:tcW w:w="2243" w:type="dxa"/>
          </w:tcPr>
          <w:p w14:paraId="11A4303D" w14:textId="77777777" w:rsidR="00C64ED7" w:rsidRPr="006975BE" w:rsidRDefault="00C64ED7" w:rsidP="008F7548">
            <w:pPr>
              <w:pStyle w:val="Tabletext"/>
              <w:jc w:val="center"/>
              <w:rPr>
                <w:b/>
                <w:bCs/>
              </w:rPr>
            </w:pPr>
            <w:r w:rsidRPr="006975BE">
              <w:rPr>
                <w:b/>
                <w:bCs/>
              </w:rPr>
              <w:t xml:space="preserve">Informal consultations (24 February 2026, </w:t>
            </w:r>
            <w:r w:rsidRPr="006975BE">
              <w:rPr>
                <w:b/>
                <w:bCs/>
              </w:rPr>
              <w:br/>
              <w:t xml:space="preserve">24 March 2026, </w:t>
            </w:r>
            <w:r w:rsidRPr="006975BE">
              <w:rPr>
                <w:b/>
                <w:bCs/>
              </w:rPr>
              <w:br/>
              <w:t>26 April 2026)</w:t>
            </w:r>
          </w:p>
        </w:tc>
        <w:tc>
          <w:tcPr>
            <w:tcW w:w="7396" w:type="dxa"/>
          </w:tcPr>
          <w:p w14:paraId="62DB5C17" w14:textId="77777777" w:rsidR="00C64ED7" w:rsidRPr="006975BE" w:rsidRDefault="00C64ED7" w:rsidP="008F7548">
            <w:pPr>
              <w:pStyle w:val="Tabletext"/>
            </w:pPr>
            <w:r w:rsidRPr="006975BE">
              <w:t>Two draft Opinions required additional time owing to the volume and substance of issues raised by IEG members in each thematic area. Accordingly, three informal follow-up meetings were agreed upon by IEG members to finalize the remaining two draft Opinions and the Secretary-General’s Report. These included informal virtual meetings on 24 February and 24 March 2026, and an informal physical meeting with remote participation on 26 April 2026.</w:t>
            </w:r>
          </w:p>
        </w:tc>
      </w:tr>
      <w:tr w:rsidR="00C64ED7" w:rsidRPr="006975BE" w14:paraId="2E920B82" w14:textId="77777777">
        <w:trPr>
          <w:cantSplit/>
          <w:jc w:val="center"/>
        </w:trPr>
        <w:tc>
          <w:tcPr>
            <w:tcW w:w="2243" w:type="dxa"/>
          </w:tcPr>
          <w:p w14:paraId="12970F02" w14:textId="585F52CC" w:rsidR="00C64ED7" w:rsidRPr="006975BE" w:rsidRDefault="00DD3666" w:rsidP="008F7548">
            <w:pPr>
              <w:pStyle w:val="Tabletext"/>
              <w:jc w:val="center"/>
              <w:rPr>
                <w:b/>
                <w:bCs/>
              </w:rPr>
            </w:pPr>
            <w:r>
              <w:rPr>
                <w:b/>
                <w:bCs/>
                <w:lang w:val="en-US"/>
              </w:rPr>
              <w:t>2</w:t>
            </w:r>
            <w:r w:rsidR="00C64ED7" w:rsidRPr="006975BE">
              <w:rPr>
                <w:b/>
                <w:bCs/>
                <w:lang w:val="en-US"/>
              </w:rPr>
              <w:t>-</w:t>
            </w:r>
            <w:r>
              <w:rPr>
                <w:b/>
                <w:bCs/>
                <w:lang w:val="en-US"/>
              </w:rPr>
              <w:t>4</w:t>
            </w:r>
            <w:r w:rsidR="00C64ED7" w:rsidRPr="006975BE">
              <w:rPr>
                <w:b/>
                <w:bCs/>
                <w:lang w:val="en-US"/>
              </w:rPr>
              <w:t xml:space="preserve"> </w:t>
            </w:r>
            <w:r>
              <w:rPr>
                <w:b/>
                <w:bCs/>
                <w:lang w:val="en-US"/>
              </w:rPr>
              <w:t>September</w:t>
            </w:r>
            <w:r w:rsidR="00C64ED7" w:rsidRPr="006975BE">
              <w:rPr>
                <w:b/>
                <w:bCs/>
                <w:lang w:val="en-US"/>
              </w:rPr>
              <w:t xml:space="preserve"> 2026</w:t>
            </w:r>
          </w:p>
        </w:tc>
        <w:tc>
          <w:tcPr>
            <w:tcW w:w="7396" w:type="dxa"/>
          </w:tcPr>
          <w:p w14:paraId="48278124" w14:textId="5BB8BE5C" w:rsidR="00C64ED7" w:rsidRPr="006975BE" w:rsidRDefault="00C64ED7" w:rsidP="008F7548">
            <w:pPr>
              <w:pStyle w:val="Tabletext"/>
            </w:pPr>
            <w:r w:rsidRPr="006975BE">
              <w:t xml:space="preserve">Seventh World Telecommunication/Information and Communication Technology WTPF (WTPF-26) in the Bahamas from </w:t>
            </w:r>
            <w:r w:rsidR="00DD3666">
              <w:t>2</w:t>
            </w:r>
            <w:r w:rsidRPr="006975BE">
              <w:t xml:space="preserve"> to </w:t>
            </w:r>
            <w:r w:rsidR="00DD3666">
              <w:t>4</w:t>
            </w:r>
            <w:r w:rsidRPr="006975BE">
              <w:t xml:space="preserve"> </w:t>
            </w:r>
            <w:r w:rsidR="00DD3666">
              <w:t>September</w:t>
            </w:r>
            <w:r w:rsidRPr="006975BE">
              <w:t xml:space="preserve"> 2026, with a Strategic Dialogue hosted on </w:t>
            </w:r>
            <w:r w:rsidR="00DD3666">
              <w:t>1</w:t>
            </w:r>
            <w:r w:rsidRPr="006975BE">
              <w:t xml:space="preserve"> </w:t>
            </w:r>
            <w:r w:rsidR="00DD3666">
              <w:t>September</w:t>
            </w:r>
            <w:r w:rsidRPr="006975BE">
              <w:t xml:space="preserve"> 2026</w:t>
            </w:r>
          </w:p>
        </w:tc>
      </w:tr>
    </w:tbl>
    <w:p w14:paraId="33D0545E" w14:textId="77777777" w:rsidR="00C64ED7" w:rsidRPr="006975BE" w:rsidRDefault="00C64ED7" w:rsidP="004001F7">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 w:val="22"/>
          <w:szCs w:val="22"/>
          <w:lang w:eastAsia="zh-CN"/>
        </w:rPr>
      </w:pPr>
    </w:p>
    <w:p w14:paraId="5A416154" w14:textId="77777777"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eastAsiaTheme="minorEastAsia"/>
          <w:b/>
          <w:sz w:val="10"/>
          <w:szCs w:val="10"/>
          <w:lang w:eastAsia="zh-CN"/>
        </w:rPr>
      </w:pPr>
      <w:bookmarkStart w:id="9" w:name="_Hlk181690953"/>
      <w:r w:rsidRPr="006975BE">
        <w:rPr>
          <w:sz w:val="10"/>
          <w:szCs w:val="10"/>
        </w:rPr>
        <w:br w:type="page"/>
      </w:r>
    </w:p>
    <w:p w14:paraId="193FC2C9" w14:textId="77777777" w:rsidR="00C64ED7" w:rsidRPr="006975BE" w:rsidRDefault="00C64ED7" w:rsidP="007647E0">
      <w:pPr>
        <w:pStyle w:val="Heading1"/>
      </w:pPr>
      <w:r w:rsidRPr="006975BE">
        <w:lastRenderedPageBreak/>
        <w:t>3</w:t>
      </w:r>
      <w:r w:rsidRPr="006975BE">
        <w:tab/>
        <w:t xml:space="preserve">Theme for WTPF-26 </w:t>
      </w:r>
    </w:p>
    <w:bookmarkEnd w:id="9"/>
    <w:p w14:paraId="3E2068BE" w14:textId="17D3D8F5"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By </w:t>
      </w:r>
      <w:r w:rsidRPr="006975BE">
        <w:rPr>
          <w:rFonts w:eastAsiaTheme="minorEastAsia"/>
          <w:szCs w:val="24"/>
          <w:lang w:eastAsia="zh-CN"/>
        </w:rPr>
        <w:t>Decision</w:t>
      </w:r>
      <w:r w:rsidRPr="006975BE">
        <w:rPr>
          <w:rFonts w:asciiTheme="minorHAnsi" w:eastAsiaTheme="minorEastAsia" w:hAnsiTheme="minorHAnsi" w:cstheme="minorBidi"/>
          <w:szCs w:val="24"/>
          <w:lang w:eastAsia="zh-CN"/>
        </w:rPr>
        <w:t xml:space="preserve"> 641 (C24), the 2024 session of Council decided that the theme for WTPF-26 is as set out in </w:t>
      </w:r>
      <w:r w:rsidR="000C5C73" w:rsidRPr="006975BE">
        <w:rPr>
          <w:rFonts w:asciiTheme="minorHAnsi" w:eastAsiaTheme="minorEastAsia" w:hAnsiTheme="minorHAnsi" w:cstheme="minorHAnsi"/>
          <w:szCs w:val="24"/>
          <w:lang w:eastAsia="zh-CN"/>
        </w:rPr>
        <w:t>§</w:t>
      </w:r>
      <w:r w:rsidR="000C5C73" w:rsidRPr="006975BE">
        <w:rPr>
          <w:rFonts w:asciiTheme="minorHAnsi" w:eastAsiaTheme="minorEastAsia" w:hAnsiTheme="minorHAnsi" w:cstheme="minorBidi"/>
          <w:szCs w:val="24"/>
          <w:lang w:eastAsia="zh-CN"/>
        </w:rPr>
        <w:t> </w:t>
      </w:r>
      <w:r w:rsidRPr="006975BE">
        <w:rPr>
          <w:rFonts w:asciiTheme="minorHAnsi" w:eastAsiaTheme="minorEastAsia" w:hAnsiTheme="minorHAnsi" w:cstheme="minorBidi"/>
          <w:szCs w:val="24"/>
          <w:lang w:eastAsia="zh-CN"/>
        </w:rPr>
        <w:t xml:space="preserve">1.3. </w:t>
      </w:r>
    </w:p>
    <w:p w14:paraId="7C5F250D"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With the aim to accelerate an inclusive, sustainable, resilient and innovative digital future, the theme presents five key topics for consideration and discussion at WTPF-26. As technological breakthroughs in areas such as Artificial Intelligence (AI), Quantum Computing, Space Technologies and others reshape the global digital economy, it is essential to address a wide range of interconnected issues while designing public policy interventions that can maximize opportunities and address the challenges related to the adoption and use of new and emerging telecommunication/ICT services and technologies. Looking towards 2026 and </w:t>
      </w:r>
      <w:proofErr w:type="gramStart"/>
      <w:r w:rsidRPr="006975BE">
        <w:rPr>
          <w:rFonts w:asciiTheme="minorHAnsi" w:eastAsiaTheme="minorEastAsia" w:hAnsiTheme="minorHAnsi" w:cstheme="minorBidi"/>
          <w:szCs w:val="24"/>
          <w:lang w:eastAsia="zh-CN"/>
        </w:rPr>
        <w:t>beyond, and</w:t>
      </w:r>
      <w:proofErr w:type="gramEnd"/>
      <w:r w:rsidRPr="006975BE">
        <w:rPr>
          <w:rFonts w:asciiTheme="minorHAnsi" w:eastAsiaTheme="minorEastAsia" w:hAnsiTheme="minorHAnsi" w:cstheme="minorBidi"/>
          <w:szCs w:val="24"/>
          <w:lang w:eastAsia="zh-CN"/>
        </w:rPr>
        <w:t xml:space="preserve"> recognizing the limited time left for the global community to make progress on the 17 UN Sustainable Development Goals (SDGs), it is imperative for policymakers and other stakeholders to adopt a holistic and </w:t>
      </w:r>
      <w:r w:rsidRPr="006975BE">
        <w:rPr>
          <w:rFonts w:eastAsiaTheme="minorEastAsia"/>
          <w:szCs w:val="24"/>
          <w:lang w:eastAsia="zh-CN"/>
        </w:rPr>
        <w:t>complementary</w:t>
      </w:r>
      <w:r w:rsidRPr="006975BE">
        <w:rPr>
          <w:rFonts w:asciiTheme="minorHAnsi" w:eastAsiaTheme="minorEastAsia" w:hAnsiTheme="minorHAnsi" w:cstheme="minorBidi"/>
          <w:szCs w:val="24"/>
          <w:lang w:eastAsia="zh-CN"/>
        </w:rPr>
        <w:t xml:space="preserve"> approach for developing the integrated policy frameworks necessary to address the topics presented in the theme. </w:t>
      </w:r>
    </w:p>
    <w:p w14:paraId="691D505E"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A robust enabling environment through effective policymaking is key for facilitating efforts, particularly in developing countries, to ensure universally accessible, affordable, high-quality, </w:t>
      </w:r>
      <w:r w:rsidRPr="006975BE">
        <w:rPr>
          <w:rFonts w:eastAsiaTheme="minorEastAsia"/>
          <w:szCs w:val="24"/>
          <w:lang w:eastAsia="zh-CN"/>
        </w:rPr>
        <w:t>interoperable</w:t>
      </w:r>
      <w:r w:rsidRPr="006975BE">
        <w:rPr>
          <w:rFonts w:asciiTheme="minorHAnsi" w:eastAsiaTheme="minorEastAsia" w:hAnsiTheme="minorHAnsi" w:cstheme="minorBidi"/>
          <w:szCs w:val="24"/>
          <w:lang w:eastAsia="zh-CN"/>
        </w:rPr>
        <w:t>, and secure infrastructure and services, for enhanced international coordination and the international standardization of telecommunication/ICT services and technologies, and to leverage existing and emerging technologies, connectivity solutions, and business models to close the digital divide, ensuring access in all countries and regions.</w:t>
      </w:r>
    </w:p>
    <w:p w14:paraId="24A10EAD"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3.4</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This report was developed through an open and inclusive preparatory process in accordance </w:t>
      </w:r>
      <w:r w:rsidRPr="006975BE">
        <w:rPr>
          <w:rFonts w:asciiTheme="minorHAnsi" w:eastAsiaTheme="minorEastAsia" w:hAnsiTheme="minorHAnsi" w:cstheme="minorBidi"/>
          <w:spacing w:val="-2"/>
          <w:szCs w:val="24"/>
          <w:lang w:eastAsia="zh-CN"/>
        </w:rPr>
        <w:t>with the schedule set out in Decision 641 (Council, 2024) and will serve as the basis for discussions at the WTPF-26, considering the inputs and contributions from experts and stakeholders.</w:t>
      </w:r>
      <w:r w:rsidRPr="006975BE">
        <w:rPr>
          <w:rFonts w:asciiTheme="minorHAnsi" w:eastAsiaTheme="minorEastAsia" w:hAnsiTheme="minorHAnsi" w:cstheme="minorBidi"/>
          <w:szCs w:val="24"/>
          <w:lang w:eastAsia="zh-CN"/>
        </w:rPr>
        <w:t xml:space="preserve"> </w:t>
      </w:r>
    </w:p>
    <w:p w14:paraId="51BCC53C" w14:textId="766C9C21"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3.5</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The report presents the policy issues and key questions for consideration for each of the topics of the theme, with an aim to help policymakers explore ways to leverage new and emerging </w:t>
      </w:r>
      <w:r w:rsidRPr="006975BE">
        <w:rPr>
          <w:rFonts w:eastAsiaTheme="minorEastAsia"/>
          <w:szCs w:val="24"/>
          <w:lang w:eastAsia="zh-CN"/>
        </w:rPr>
        <w:t>telecommunication</w:t>
      </w:r>
      <w:r w:rsidRPr="006975BE">
        <w:rPr>
          <w:rFonts w:asciiTheme="minorHAnsi" w:eastAsiaTheme="minorEastAsia" w:hAnsiTheme="minorHAnsi" w:cstheme="minorBidi"/>
          <w:szCs w:val="24"/>
          <w:lang w:eastAsia="zh-CN"/>
        </w:rPr>
        <w:t xml:space="preserve">/ICT services and technologies for sustainable development, build an inclusive society and economy, work to close the digital divide for everyone, including women and girls, youth, indigenous peoples, older persons, persons with disabilities, and persons with specific needs, and promote and enable digital transformation across all spheres of life and activity </w:t>
      </w:r>
      <w:r w:rsidR="00CF1C61">
        <w:rPr>
          <w:rFonts w:asciiTheme="minorHAnsi" w:eastAsiaTheme="minorEastAsia" w:hAnsiTheme="minorHAnsi" w:cstheme="minorBidi"/>
          <w:szCs w:val="24"/>
          <w:lang w:eastAsia="zh-CN"/>
        </w:rPr>
        <w:t>—</w:t>
      </w:r>
      <w:r w:rsidRPr="006975BE">
        <w:rPr>
          <w:rFonts w:asciiTheme="minorHAnsi" w:eastAsiaTheme="minorEastAsia" w:hAnsiTheme="minorHAnsi" w:cstheme="minorBidi"/>
          <w:szCs w:val="24"/>
          <w:lang w:eastAsia="zh-CN"/>
        </w:rPr>
        <w:t>particularly to address the dual climate and environmental crisis, foster the continued advancement of science, promote the sustainable exploration of Earth and space, and encourage resource use for the benefit of all.</w:t>
      </w:r>
    </w:p>
    <w:p w14:paraId="51E76616"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3.6</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Each of the topics is explored in the following sections and the Draft Opinions as agreed by the Informal Expert </w:t>
      </w:r>
      <w:r w:rsidRPr="006975BE">
        <w:rPr>
          <w:rFonts w:eastAsiaTheme="minorEastAsia"/>
          <w:szCs w:val="24"/>
          <w:lang w:eastAsia="zh-CN"/>
        </w:rPr>
        <w:t>Group</w:t>
      </w:r>
      <w:r w:rsidRPr="006975BE">
        <w:rPr>
          <w:rFonts w:asciiTheme="minorHAnsi" w:eastAsiaTheme="minorEastAsia" w:hAnsiTheme="minorHAnsi" w:cstheme="minorBidi"/>
          <w:szCs w:val="24"/>
          <w:lang w:eastAsia="zh-CN"/>
        </w:rPr>
        <w:t xml:space="preserve"> during the preparatory process are presented in the Annex:</w:t>
      </w:r>
    </w:p>
    <w:p w14:paraId="35444B49" w14:textId="77777777"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Section 4: Bridging digital divides, particularly on gender and age as well as skills and connectivity</w:t>
      </w:r>
    </w:p>
    <w:p w14:paraId="1808FB93" w14:textId="77777777"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r>
      <w:r w:rsidRPr="006975BE">
        <w:rPr>
          <w:rFonts w:eastAsiaTheme="minorEastAsia"/>
          <w:spacing w:val="-2"/>
          <w:lang w:eastAsia="zh-CN"/>
        </w:rPr>
        <w:t>Section 5: Green digital transformation: climate change and environmental sustainability</w:t>
      </w:r>
    </w:p>
    <w:p w14:paraId="2BA7F7E4" w14:textId="77777777"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Section 6: Resilience of telecommunication/ICTs</w:t>
      </w:r>
    </w:p>
    <w:p w14:paraId="65DDB639" w14:textId="77777777"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Section 7: Space connectivity</w:t>
      </w:r>
    </w:p>
    <w:p w14:paraId="05A4A518" w14:textId="77777777"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Section 8: Strengthening ICT-centric innovation ecosystems and entrepreneurship</w:t>
      </w:r>
    </w:p>
    <w:p w14:paraId="185E2AEA" w14:textId="10ED09E1" w:rsidR="00C64ED7" w:rsidRPr="006975BE" w:rsidRDefault="00C64ED7" w:rsidP="004A71B3">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Annex: Draft Opinions</w:t>
      </w:r>
      <w:r w:rsidR="00D448DE" w:rsidRPr="006975BE">
        <w:rPr>
          <w:rFonts w:eastAsiaTheme="minorEastAsia"/>
          <w:lang w:eastAsia="zh-CN"/>
        </w:rPr>
        <w:t>.</w:t>
      </w:r>
    </w:p>
    <w:p w14:paraId="6FA11864" w14:textId="77777777" w:rsidR="00C64ED7" w:rsidRPr="006975BE" w:rsidRDefault="00C64ED7" w:rsidP="007647E0">
      <w:pPr>
        <w:pStyle w:val="Heading1"/>
      </w:pPr>
      <w:r w:rsidRPr="006975BE">
        <w:lastRenderedPageBreak/>
        <w:t>4</w:t>
      </w:r>
      <w:r w:rsidRPr="006975BE">
        <w:tab/>
        <w:t>Bridging digital divides, particularly on gender and age as well as skills and connectivity</w:t>
      </w:r>
    </w:p>
    <w:p w14:paraId="123195D0" w14:textId="77777777" w:rsidR="00C64ED7" w:rsidRPr="006975BE" w:rsidRDefault="00C64ED7" w:rsidP="007B20D8">
      <w:pPr>
        <w:jc w:val="both"/>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spacing w:val="-4"/>
          <w:szCs w:val="24"/>
          <w:lang w:eastAsia="zh-CN"/>
        </w:rPr>
        <w:t>4.1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0288" behindDoc="0" locked="1" layoutInCell="1" allowOverlap="1" wp14:anchorId="393770BF" wp14:editId="5720F15D">
                <wp:simplePos x="0" y="0"/>
                <wp:positionH relativeFrom="column">
                  <wp:posOffset>3634105</wp:posOffset>
                </wp:positionH>
                <wp:positionV relativeFrom="page">
                  <wp:posOffset>2675255</wp:posOffset>
                </wp:positionV>
                <wp:extent cx="2496185" cy="3556635"/>
                <wp:effectExtent l="0" t="0" r="18415" b="24765"/>
                <wp:wrapSquare wrapText="bothSides"/>
                <wp:docPr id="1228272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3556635"/>
                        </a:xfrm>
                        <a:prstGeom prst="rect">
                          <a:avLst/>
                        </a:prstGeom>
                        <a:solidFill>
                          <a:srgbClr val="FFFFFF"/>
                        </a:solidFill>
                        <a:ln w="12700">
                          <a:solidFill>
                            <a:srgbClr val="4F81BD">
                              <a:lumMod val="75000"/>
                            </a:srgbClr>
                          </a:solidFill>
                          <a:miter lim="800000"/>
                          <a:headEnd/>
                          <a:tailEnd/>
                        </a:ln>
                      </wps:spPr>
                      <wps:txbx>
                        <w:txbxContent>
                          <w:p w14:paraId="364EA5BA" w14:textId="1A598F8A" w:rsidR="00C64ED7" w:rsidRPr="008C07EF" w:rsidRDefault="00C64ED7" w:rsidP="004001F7">
                            <w:pPr>
                              <w:rPr>
                                <w:color w:val="4F81BD" w:themeColor="accent1"/>
                                <w:sz w:val="22"/>
                              </w:rPr>
                            </w:pPr>
                            <w:r w:rsidRPr="008C07EF">
                              <w:rPr>
                                <w:color w:val="4F81BD" w:themeColor="accent1"/>
                                <w:sz w:val="22"/>
                              </w:rPr>
                              <w:t xml:space="preserve">State of the </w:t>
                            </w:r>
                            <w:r w:rsidR="00CF1C61" w:rsidRPr="008C07EF">
                              <w:rPr>
                                <w:color w:val="4F81BD" w:themeColor="accent1"/>
                                <w:sz w:val="22"/>
                              </w:rPr>
                              <w:t>digital divide at a glance</w:t>
                            </w:r>
                            <w:r w:rsidRPr="008C07EF">
                              <w:rPr>
                                <w:color w:val="4F81BD" w:themeColor="accent1"/>
                                <w:sz w:val="22"/>
                              </w:rPr>
                              <w:t>:</w:t>
                            </w:r>
                          </w:p>
                          <w:p w14:paraId="02388F11"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 xml:space="preserve">Approximately </w:t>
                            </w:r>
                            <w:r>
                              <w:rPr>
                                <w:sz w:val="22"/>
                              </w:rPr>
                              <w:t>74</w:t>
                            </w:r>
                            <w:r w:rsidRPr="008C07EF">
                              <w:rPr>
                                <w:sz w:val="22"/>
                              </w:rPr>
                              <w:t>% of the world's population (</w:t>
                            </w:r>
                            <w:r>
                              <w:rPr>
                                <w:sz w:val="22"/>
                              </w:rPr>
                              <w:t>6</w:t>
                            </w:r>
                            <w:r w:rsidRPr="008C07EF">
                              <w:rPr>
                                <w:sz w:val="22"/>
                              </w:rPr>
                              <w:t xml:space="preserve"> billion people) is now online, while 2.</w:t>
                            </w:r>
                            <w:r>
                              <w:rPr>
                                <w:sz w:val="22"/>
                              </w:rPr>
                              <w:t>2</w:t>
                            </w:r>
                            <w:r w:rsidRPr="008C07EF">
                              <w:rPr>
                                <w:sz w:val="22"/>
                              </w:rPr>
                              <w:t xml:space="preserve"> billion people (</w:t>
                            </w:r>
                            <w:r>
                              <w:rPr>
                                <w:sz w:val="22"/>
                              </w:rPr>
                              <w:t>26</w:t>
                            </w:r>
                            <w:r w:rsidRPr="008C07EF">
                              <w:rPr>
                                <w:sz w:val="22"/>
                              </w:rPr>
                              <w:t>% of the global population) remain offline.</w:t>
                            </w:r>
                          </w:p>
                          <w:p w14:paraId="4ED51F05"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In high-income countries, 9</w:t>
                            </w:r>
                            <w:r>
                              <w:rPr>
                                <w:sz w:val="22"/>
                              </w:rPr>
                              <w:t>4</w:t>
                            </w:r>
                            <w:r w:rsidRPr="008C07EF">
                              <w:rPr>
                                <w:sz w:val="22"/>
                              </w:rPr>
                              <w:t>% of the population uses the Internet, while in low-income countries, only 2</w:t>
                            </w:r>
                            <w:r>
                              <w:rPr>
                                <w:sz w:val="22"/>
                              </w:rPr>
                              <w:t>3</w:t>
                            </w:r>
                            <w:r w:rsidRPr="008C07EF">
                              <w:rPr>
                                <w:sz w:val="22"/>
                              </w:rPr>
                              <w:t>% of people are online.</w:t>
                            </w:r>
                          </w:p>
                          <w:p w14:paraId="6113E439"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Women are 1</w:t>
                            </w:r>
                            <w:r>
                              <w:rPr>
                                <w:sz w:val="22"/>
                              </w:rPr>
                              <w:t>5</w:t>
                            </w:r>
                            <w:r w:rsidRPr="008C07EF">
                              <w:rPr>
                                <w:sz w:val="22"/>
                              </w:rPr>
                              <w:t>% less likely to use the internet than men in developing countries, highlighting persistent gender-based disparities in digital access and use.</w:t>
                            </w:r>
                          </w:p>
                          <w:p w14:paraId="532754A5" w14:textId="77777777" w:rsidR="00C64ED7" w:rsidRPr="008C07EF" w:rsidRDefault="00C64ED7" w:rsidP="004001F7">
                            <w:pPr>
                              <w:jc w:val="both"/>
                              <w:rPr>
                                <w:sz w:val="22"/>
                              </w:rPr>
                            </w:pPr>
                            <w:r w:rsidRPr="008C07EF">
                              <w:rPr>
                                <w:i/>
                                <w:iCs/>
                                <w:sz w:val="18"/>
                                <w:szCs w:val="18"/>
                              </w:rPr>
                              <w:t xml:space="preserve">Source: International Telecommunications Union, </w:t>
                            </w:r>
                            <w:r w:rsidRPr="008C07EF">
                              <w:rPr>
                                <w:i/>
                                <w:iCs/>
                                <w:sz w:val="18"/>
                                <w:szCs w:val="18"/>
                              </w:rPr>
                              <w:fldChar w:fldCharType="begin"/>
                            </w:r>
                            <w:r w:rsidRPr="008C07EF">
                              <w:rPr>
                                <w:i/>
                                <w:iCs/>
                                <w:sz w:val="18"/>
                                <w:szCs w:val="18"/>
                              </w:rPr>
                              <w:instrText xml:space="preserve"> ADDIN ZOTERO_ITEM CSL_CITATION {"citationID":"g01ywZ5a","properties":{"formattedCitation":"\\uc0\\u8220{}Facts and Figures 2023 - Report Index,\\uc0\\u8221{} accessed October 28, 2024, https://www.itu.int/itu-d/reports/statistics/facts-figures-2023/index.","plainCitation":"“Facts and Figures 2023 - Report Index,” accessed October 28, 2024, https://www.itu.int/itu-d/reports/statistics/facts-figures-2023/index.","noteIndex":1},"citationItems":[{"id":173,"uris":["http://zotero.org/users/5581816/items/HZM7KU95"],"itemData":{"id":173,"type":"webpage","abstract":"ITU’s Measuring digital development: Facts and Figures 2022 offers a snapshot of the most important ICT indicators, including estimates for the current year.","language":"en","title":"Facts and Figures 2023 - Report index","URL":"https://www.itu.int/itu-d/reports/statistics/facts-figures-2023/index","accessed":{"date-parts":[["2024",10,28]]}}}],"schema":"https://github.com/citation-style-language/schema/raw/master/csl-citation.json"} </w:instrText>
                            </w:r>
                            <w:r w:rsidRPr="008C07EF">
                              <w:rPr>
                                <w:i/>
                                <w:iCs/>
                                <w:sz w:val="18"/>
                                <w:szCs w:val="18"/>
                              </w:rPr>
                              <w:fldChar w:fldCharType="separate"/>
                            </w:r>
                            <w:r w:rsidRPr="008C07EF">
                              <w:rPr>
                                <w:rFonts w:cs="Calibri"/>
                                <w:i/>
                                <w:iCs/>
                                <w:sz w:val="18"/>
                                <w:szCs w:val="18"/>
                              </w:rPr>
                              <w:t>“Facts and Figures 202</w:t>
                            </w:r>
                            <w:r>
                              <w:rPr>
                                <w:rFonts w:cs="Calibri"/>
                                <w:i/>
                                <w:iCs/>
                                <w:sz w:val="18"/>
                                <w:szCs w:val="18"/>
                              </w:rPr>
                              <w:t>5</w:t>
                            </w:r>
                            <w:r w:rsidRPr="008C07EF">
                              <w:rPr>
                                <w:rFonts w:cs="Calibri"/>
                                <w:i/>
                                <w:iCs/>
                                <w:sz w:val="18"/>
                                <w:szCs w:val="18"/>
                              </w:rPr>
                              <w:t xml:space="preserve"> - Report Index” </w:t>
                            </w:r>
                            <w:r w:rsidRPr="008C07EF">
                              <w:rPr>
                                <w:i/>
                                <w:iCs/>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770BF" id="_x0000_t202" coordsize="21600,21600" o:spt="202" path="m,l,21600r21600,l21600,xe">
                <v:stroke joinstyle="miter"/>
                <v:path gradientshapeok="t" o:connecttype="rect"/>
              </v:shapetype>
              <v:shape id="_x0000_s1026" type="#_x0000_t202" style="position:absolute;left:0;text-align:left;margin-left:286.15pt;margin-top:210.65pt;width:196.55pt;height:28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" strokecolor="#376092" strokeweight="1pt">
                <v:textbox>
                  <w:txbxContent>
                    <w:p w14:paraId="364EA5BA" w14:textId="1A598F8A" w:rsidR="00C64ED7" w:rsidRPr="008C07EF" w:rsidRDefault="00C64ED7" w:rsidP="004001F7">
                      <w:pPr>
                        <w:rPr>
                          <w:color w:val="4F81BD" w:themeColor="accent1"/>
                          <w:sz w:val="22"/>
                        </w:rPr>
                      </w:pPr>
                      <w:r w:rsidRPr="008C07EF">
                        <w:rPr>
                          <w:color w:val="4F81BD" w:themeColor="accent1"/>
                          <w:sz w:val="22"/>
                        </w:rPr>
                        <w:t xml:space="preserve">State of the </w:t>
                      </w:r>
                      <w:r w:rsidR="00CF1C61" w:rsidRPr="008C07EF">
                        <w:rPr>
                          <w:color w:val="4F81BD" w:themeColor="accent1"/>
                          <w:sz w:val="22"/>
                        </w:rPr>
                        <w:t xml:space="preserve">digital divide </w:t>
                      </w:r>
                      <w:proofErr w:type="gramStart"/>
                      <w:r w:rsidR="00CF1C61" w:rsidRPr="008C07EF">
                        <w:rPr>
                          <w:color w:val="4F81BD" w:themeColor="accent1"/>
                          <w:sz w:val="22"/>
                        </w:rPr>
                        <w:t>at a glance</w:t>
                      </w:r>
                      <w:proofErr w:type="gramEnd"/>
                      <w:r w:rsidRPr="008C07EF">
                        <w:rPr>
                          <w:color w:val="4F81BD" w:themeColor="accent1"/>
                          <w:sz w:val="22"/>
                        </w:rPr>
                        <w:t>:</w:t>
                      </w:r>
                    </w:p>
                    <w:p w14:paraId="02388F11"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 xml:space="preserve">Approximately </w:t>
                      </w:r>
                      <w:r>
                        <w:rPr>
                          <w:sz w:val="22"/>
                        </w:rPr>
                        <w:t>74</w:t>
                      </w:r>
                      <w:r w:rsidRPr="008C07EF">
                        <w:rPr>
                          <w:sz w:val="22"/>
                        </w:rPr>
                        <w:t>% of the world's population (</w:t>
                      </w:r>
                      <w:r>
                        <w:rPr>
                          <w:sz w:val="22"/>
                        </w:rPr>
                        <w:t>6</w:t>
                      </w:r>
                      <w:r w:rsidRPr="008C07EF">
                        <w:rPr>
                          <w:sz w:val="22"/>
                        </w:rPr>
                        <w:t xml:space="preserve"> billion people) is now online, while 2.</w:t>
                      </w:r>
                      <w:r>
                        <w:rPr>
                          <w:sz w:val="22"/>
                        </w:rPr>
                        <w:t>2</w:t>
                      </w:r>
                      <w:r w:rsidRPr="008C07EF">
                        <w:rPr>
                          <w:sz w:val="22"/>
                        </w:rPr>
                        <w:t xml:space="preserve"> billion people (</w:t>
                      </w:r>
                      <w:r>
                        <w:rPr>
                          <w:sz w:val="22"/>
                        </w:rPr>
                        <w:t>26</w:t>
                      </w:r>
                      <w:r w:rsidRPr="008C07EF">
                        <w:rPr>
                          <w:sz w:val="22"/>
                        </w:rPr>
                        <w:t>% of the global population) remain offline.</w:t>
                      </w:r>
                    </w:p>
                    <w:p w14:paraId="4ED51F05"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In high-income countries, 9</w:t>
                      </w:r>
                      <w:r>
                        <w:rPr>
                          <w:sz w:val="22"/>
                        </w:rPr>
                        <w:t>4</w:t>
                      </w:r>
                      <w:r w:rsidRPr="008C07EF">
                        <w:rPr>
                          <w:sz w:val="22"/>
                        </w:rPr>
                        <w:t>% of the population uses the Internet, while in low-income countries, only 2</w:t>
                      </w:r>
                      <w:r>
                        <w:rPr>
                          <w:sz w:val="22"/>
                        </w:rPr>
                        <w:t>3</w:t>
                      </w:r>
                      <w:r w:rsidRPr="008C07EF">
                        <w:rPr>
                          <w:sz w:val="22"/>
                        </w:rPr>
                        <w:t>% of people are online.</w:t>
                      </w:r>
                    </w:p>
                    <w:p w14:paraId="6113E439" w14:textId="77777777" w:rsidR="00C64ED7" w:rsidRPr="008C07EF" w:rsidRDefault="00C64ED7" w:rsidP="006343C4">
                      <w:pPr>
                        <w:pStyle w:val="ListParagraph"/>
                        <w:numPr>
                          <w:ilvl w:val="0"/>
                          <w:numId w:val="1"/>
                        </w:numPr>
                        <w:tabs>
                          <w:tab w:val="clear" w:pos="1134"/>
                          <w:tab w:val="clear" w:pos="1701"/>
                          <w:tab w:val="clear" w:pos="2268"/>
                          <w:tab w:val="clear" w:pos="2835"/>
                        </w:tabs>
                        <w:overflowPunct/>
                        <w:autoSpaceDE/>
                        <w:autoSpaceDN/>
                        <w:adjustRightInd/>
                        <w:spacing w:before="0" w:after="200" w:line="276" w:lineRule="auto"/>
                        <w:ind w:left="360"/>
                        <w:jc w:val="both"/>
                        <w:textAlignment w:val="auto"/>
                        <w:rPr>
                          <w:sz w:val="22"/>
                        </w:rPr>
                      </w:pPr>
                      <w:r w:rsidRPr="008C07EF">
                        <w:rPr>
                          <w:sz w:val="22"/>
                        </w:rPr>
                        <w:t>Women are 1</w:t>
                      </w:r>
                      <w:r>
                        <w:rPr>
                          <w:sz w:val="22"/>
                        </w:rPr>
                        <w:t>5</w:t>
                      </w:r>
                      <w:r w:rsidRPr="008C07EF">
                        <w:rPr>
                          <w:sz w:val="22"/>
                        </w:rPr>
                        <w:t>% less likely to use the internet than men in developing countries, highlighting persistent gender-based disparities in digital access and use.</w:t>
                      </w:r>
                    </w:p>
                    <w:p w14:paraId="532754A5" w14:textId="77777777" w:rsidR="00C64ED7" w:rsidRPr="008C07EF" w:rsidRDefault="00C64ED7" w:rsidP="004001F7">
                      <w:pPr>
                        <w:jc w:val="both"/>
                        <w:rPr>
                          <w:sz w:val="22"/>
                        </w:rPr>
                      </w:pPr>
                      <w:r w:rsidRPr="008C07EF">
                        <w:rPr>
                          <w:i/>
                          <w:iCs/>
                          <w:sz w:val="18"/>
                          <w:szCs w:val="18"/>
                        </w:rPr>
                        <w:t xml:space="preserve">Source: International Telecommunications Union, </w:t>
                      </w:r>
                      <w:r w:rsidRPr="008C07EF">
                        <w:rPr>
                          <w:i/>
                          <w:iCs/>
                          <w:sz w:val="18"/>
                          <w:szCs w:val="18"/>
                        </w:rPr>
                        <w:fldChar w:fldCharType="begin"/>
                      </w:r>
                      <w:r w:rsidRPr="008C07EF">
                        <w:rPr>
                          <w:i/>
                          <w:iCs/>
                          <w:sz w:val="18"/>
                          <w:szCs w:val="18"/>
                        </w:rPr>
                        <w:instrText xml:space="preserve"> ADDIN ZOTERO_ITEM CSL_CITATION {"citationID":"g01ywZ5a","properties":{"formattedCitation":"\\uc0\\u8220{}Facts and Figures 2023 - Report Index,\\uc0\\u8221{} accessed October 28, 2024, https://www.itu.int/itu-d/reports/statistics/facts-figures-2023/index.","plainCitation":"“Facts and Figures 2023 - Report Index,” accessed October 28, 2024, https://www.itu.int/itu-d/reports/statistics/facts-figures-2023/index.","noteIndex":1},"citationItems":[{"id":173,"uris":["http://zotero.org/users/5581816/items/HZM7KU95"],"itemData":{"id":173,"type":"webpage","abstract":"ITU’s Measuring digital development: Facts and Figures 2022 offers a snapshot of the most important ICT indicators, including estimates for the current year.","language":"en","title":"Facts and Figures 2023 - Report index","URL":"https://www.itu.int/itu-d/reports/statistics/facts-figures-2023/index","accessed":{"date-parts":[["2024",10,28]]}}}],"schema":"https://github.com/citation-style-language/schema/raw/master/csl-citation.json"} </w:instrText>
                      </w:r>
                      <w:r w:rsidRPr="008C07EF">
                        <w:rPr>
                          <w:i/>
                          <w:iCs/>
                          <w:sz w:val="18"/>
                          <w:szCs w:val="18"/>
                        </w:rPr>
                        <w:fldChar w:fldCharType="separate"/>
                      </w:r>
                      <w:r w:rsidRPr="008C07EF">
                        <w:rPr>
                          <w:rFonts w:cs="Calibri"/>
                          <w:i/>
                          <w:iCs/>
                          <w:sz w:val="18"/>
                          <w:szCs w:val="18"/>
                        </w:rPr>
                        <w:t>“Facts and Figures 202</w:t>
                      </w:r>
                      <w:r>
                        <w:rPr>
                          <w:rFonts w:cs="Calibri"/>
                          <w:i/>
                          <w:iCs/>
                          <w:sz w:val="18"/>
                          <w:szCs w:val="18"/>
                        </w:rPr>
                        <w:t>5</w:t>
                      </w:r>
                      <w:r w:rsidRPr="008C07EF">
                        <w:rPr>
                          <w:rFonts w:cs="Calibri"/>
                          <w:i/>
                          <w:iCs/>
                          <w:sz w:val="18"/>
                          <w:szCs w:val="18"/>
                        </w:rPr>
                        <w:t xml:space="preserve"> - Report Index” </w:t>
                      </w:r>
                      <w:r w:rsidRPr="008C07EF">
                        <w:rPr>
                          <w:i/>
                          <w:iCs/>
                          <w:sz w:val="18"/>
                          <w:szCs w:val="18"/>
                        </w:rPr>
                        <w:fldChar w:fldCharType="end"/>
                      </w:r>
                    </w:p>
                  </w:txbxContent>
                </v:textbox>
                <w10:wrap type="square" anchory="page"/>
                <w10:anchorlock/>
              </v:shape>
            </w:pict>
          </mc:Fallback>
        </mc:AlternateContent>
      </w:r>
      <w:r w:rsidRPr="006975BE">
        <w:rPr>
          <w:rFonts w:asciiTheme="minorHAnsi" w:eastAsiaTheme="minorEastAsia" w:hAnsiTheme="minorHAnsi" w:cstheme="minorBidi"/>
          <w:szCs w:val="24"/>
          <w:lang w:eastAsia="zh-CN"/>
        </w:rPr>
        <w:t xml:space="preserve">Previous iterations of the WTPF recognized that bridging digital divides requires sustained commitment and multistakeholder collaboration. Today's digital divides are more complex and multifaceted than ever, encompassing not just connectivity gaps, but fundamental disparities in digital skills, age-related barriers, and gender-based exclusion. The concept of universal and meaningful connectivity (UMC), as developed through ITU's work with the 2024 </w:t>
      </w:r>
      <w:proofErr w:type="spellStart"/>
      <w:r w:rsidRPr="006975BE">
        <w:rPr>
          <w:rFonts w:asciiTheme="minorHAnsi" w:eastAsiaTheme="minorEastAsia" w:hAnsiTheme="minorHAnsi" w:cstheme="minorBidi"/>
          <w:szCs w:val="24"/>
          <w:lang w:eastAsia="zh-CN"/>
        </w:rPr>
        <w:t>G20</w:t>
      </w:r>
      <w:proofErr w:type="spellEnd"/>
      <w:r w:rsidRPr="006975BE">
        <w:rPr>
          <w:rFonts w:asciiTheme="minorHAnsi" w:eastAsiaTheme="minorEastAsia" w:hAnsiTheme="minorHAnsi" w:cstheme="minorBidi"/>
          <w:szCs w:val="24"/>
          <w:lang w:eastAsia="zh-CN"/>
        </w:rPr>
        <w:t xml:space="preserve"> Digital Economy Working Group, provides a comprehensive framework for addressing these interrelated challenges.</w:t>
      </w:r>
    </w:p>
    <w:p w14:paraId="134D0C2E"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Achieving universal digital inclusion requires a dual focus on expanding infrastructure reach and building digital capabilities. Ensuring that rural, remote, and marginalized communities have access to affordable, reliable, and meaningful connectivity (encompassing quality of service and relevance of content) remains a priority, alongside recognizing that access must be complemented by skills </w:t>
      </w:r>
      <w:r w:rsidRPr="006975BE">
        <w:rPr>
          <w:rFonts w:eastAsiaTheme="minorEastAsia"/>
          <w:szCs w:val="24"/>
          <w:lang w:eastAsia="zh-CN"/>
        </w:rPr>
        <w:t>development</w:t>
      </w:r>
      <w:r w:rsidRPr="006975BE">
        <w:rPr>
          <w:rFonts w:asciiTheme="minorHAnsi" w:eastAsiaTheme="minorEastAsia" w:hAnsiTheme="minorHAnsi" w:cstheme="minorBidi"/>
          <w:szCs w:val="24"/>
          <w:lang w:eastAsia="zh-CN"/>
        </w:rPr>
        <w:t>. Digital literacy, skills, and competencies serve as the bridge between connectivity and meaningful use, enabling all populations to actively engage with digital opportunities in online services, education, healthcare, and governance, and to facilitate economic participation. This comprehensive approach empowers older generations to confidently navigate digital spaces, enables youth to actively shape the digital future, and ensures that women and girls have equal opportunities to participate in the digital world. Because the rapid evolution of technology demands continuous upskilling, it is vital to embed digital literacy into education systems and foster partnerships among governments, industry, and civil society to build digitally capable and resilient populations.</w:t>
      </w:r>
    </w:p>
    <w:p w14:paraId="0DD8FC5B"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This multidimensional understanding of digital divides, grounded in the UMC framework, underscores that achieving true digital inclusion necessitates a holistic approach. It emphasizes the importance of gender-responsive strategies, collaborative learning opportunities, and fostering meaningful engagement to empower all individuals in the digital ecosystem.</w:t>
      </w:r>
    </w:p>
    <w:p w14:paraId="5855F903"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4.4</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The digital skills gap represents a particularly pressing challenge, as technological advancement continues to outpace skills development in many communities. This is especially acute among people living in rural and remote communities, and marginalized groups as well as older populations, who may face multiple barriers to digital adoption. Additionally, persistent gender divides in both access and skills development continue to limit women and girls' participation in the digital economy and their access to government services, education, and other digital opportunities, particularly in developing countries.</w:t>
      </w:r>
    </w:p>
    <w:p w14:paraId="753ECCA4" w14:textId="77777777" w:rsidR="00C64ED7" w:rsidRPr="006975BE" w:rsidRDefault="00C64ED7" w:rsidP="007B20D8">
      <w:pPr>
        <w:jc w:val="both"/>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spacing w:val="-4"/>
          <w:szCs w:val="24"/>
          <w:lang w:eastAsia="zh-CN"/>
        </w:rPr>
        <w:lastRenderedPageBreak/>
        <w:t>4.5</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5408" behindDoc="0" locked="1" layoutInCell="1" allowOverlap="1" wp14:anchorId="098A5C4F" wp14:editId="5006DD58">
                <wp:simplePos x="0" y="0"/>
                <wp:positionH relativeFrom="column">
                  <wp:posOffset>264795</wp:posOffset>
                </wp:positionH>
                <wp:positionV relativeFrom="page">
                  <wp:posOffset>2357755</wp:posOffset>
                </wp:positionV>
                <wp:extent cx="5577840" cy="1783080"/>
                <wp:effectExtent l="0" t="0" r="22860" b="26670"/>
                <wp:wrapSquare wrapText="bothSides"/>
                <wp:docPr id="115365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783080"/>
                        </a:xfrm>
                        <a:prstGeom prst="rect">
                          <a:avLst/>
                        </a:prstGeom>
                        <a:solidFill>
                          <a:srgbClr val="FFFFFF"/>
                        </a:solidFill>
                        <a:ln w="19050">
                          <a:solidFill>
                            <a:srgbClr val="4F81BD">
                              <a:lumMod val="100000"/>
                              <a:lumOff val="0"/>
                            </a:srgbClr>
                          </a:solidFill>
                          <a:miter lim="800000"/>
                          <a:headEnd/>
                          <a:tailEnd/>
                        </a:ln>
                      </wps:spPr>
                      <wps:txbx>
                        <w:txbxContent>
                          <w:p w14:paraId="09F86BCC" w14:textId="7648574A" w:rsidR="00C64ED7" w:rsidRPr="006D2DEA" w:rsidRDefault="00C64ED7" w:rsidP="004001F7">
                            <w:pPr>
                              <w:rPr>
                                <w:color w:val="4F81BD" w:themeColor="accent1"/>
                                <w:sz w:val="22"/>
                              </w:rPr>
                            </w:pPr>
                            <w:r w:rsidRPr="006D2DEA">
                              <w:rPr>
                                <w:color w:val="4F81BD" w:themeColor="accent1"/>
                                <w:sz w:val="22"/>
                              </w:rPr>
                              <w:t xml:space="preserve">Digital </w:t>
                            </w:r>
                            <w:r w:rsidR="00CF1C61" w:rsidRPr="006D2DEA">
                              <w:rPr>
                                <w:color w:val="4F81BD" w:themeColor="accent1"/>
                                <w:sz w:val="22"/>
                              </w:rPr>
                              <w:t>skills</w:t>
                            </w:r>
                          </w:p>
                          <w:p w14:paraId="1A4C3260" w14:textId="77777777" w:rsidR="00C64ED7" w:rsidRPr="006D2DEA" w:rsidRDefault="00C64ED7" w:rsidP="004001F7">
                            <w:pPr>
                              <w:jc w:val="both"/>
                              <w:rPr>
                                <w:sz w:val="22"/>
                              </w:rPr>
                            </w:pPr>
                            <w:r w:rsidRPr="006D2DEA">
                              <w:rPr>
                                <w:sz w:val="22"/>
                              </w:rPr>
                              <w:t>By 2030, 90% of all jobs will require some level of digital skills. These include both basic digital skills as well as advanced skills related to AI, data analysis, cloud computing and cybersecurity; at the same time, 75% of organizations struggle to find the necessary skills to adopt AI technologies and there is an estimated lack of 7 million cybersecurity professionals in the global labour market. The skills demand goes beyond technical skills and includes interpersonal and soft skills.</w:t>
                            </w:r>
                          </w:p>
                          <w:p w14:paraId="7835485D" w14:textId="77777777" w:rsidR="00C64ED7" w:rsidRPr="006D2DEA" w:rsidRDefault="00C64ED7" w:rsidP="004001F7">
                            <w:pPr>
                              <w:rPr>
                                <w:i/>
                                <w:iCs/>
                                <w:sz w:val="18"/>
                                <w:szCs w:val="18"/>
                              </w:rPr>
                            </w:pPr>
                            <w:r w:rsidRPr="006D2DEA">
                              <w:rPr>
                                <w:i/>
                                <w:iCs/>
                                <w:sz w:val="18"/>
                                <w:szCs w:val="18"/>
                              </w:rPr>
                              <w:t>Source: International Telecommunication Union, “</w:t>
                            </w:r>
                            <w:hyperlink r:id="rId16" w:history="1">
                              <w:r w:rsidRPr="00D751EB">
                                <w:rPr>
                                  <w:rStyle w:val="Hyperlink"/>
                                  <w:i/>
                                  <w:iCs/>
                                  <w:sz w:val="18"/>
                                  <w:szCs w:val="18"/>
                                </w:rPr>
                                <w:t>Skills development for the digital economy</w:t>
                              </w:r>
                            </w:hyperlink>
                            <w:r w:rsidRPr="006D2DEA">
                              <w:rPr>
                                <w:i/>
                                <w:iCs/>
                                <w:sz w:val="18"/>
                                <w:szCs w:val="18"/>
                              </w:rPr>
                              <w:t>”, November 2024</w:t>
                            </w:r>
                          </w:p>
                        </w:txbxContent>
                      </wps:txbx>
                      <wps:bodyPr rot="0" vert="horz" wrap="square" lIns="91440" tIns="45720" rIns="91440" bIns="45720" anchor="t" anchorCtr="0" upright="1">
                        <a:noAutofit/>
                      </wps:bodyPr>
                    </wps:wsp>
                  </a:graphicData>
                </a:graphic>
              </wp:anchor>
            </w:drawing>
          </mc:Choice>
          <mc:Fallback>
            <w:pict>
              <v:shape w14:anchorId="098A5C4F" id="_x0000_s1027" type="#_x0000_t202" style="position:absolute;left:0;text-align:left;margin-left:20.85pt;margin-top:185.65pt;width:439.2pt;height:140.4pt;z-index:251665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" strokecolor="#4f81bd" strokeweight="1.5pt">
                <v:textbox>
                  <w:txbxContent>
                    <w:p w14:paraId="09F86BCC" w14:textId="7648574A" w:rsidR="00C64ED7" w:rsidRPr="006D2DEA" w:rsidRDefault="00C64ED7" w:rsidP="004001F7">
                      <w:pPr>
                        <w:rPr>
                          <w:color w:val="4F81BD" w:themeColor="accent1"/>
                          <w:sz w:val="22"/>
                        </w:rPr>
                      </w:pPr>
                      <w:r w:rsidRPr="006D2DEA">
                        <w:rPr>
                          <w:color w:val="4F81BD" w:themeColor="accent1"/>
                          <w:sz w:val="22"/>
                        </w:rPr>
                        <w:t xml:space="preserve">Digital </w:t>
                      </w:r>
                      <w:r w:rsidR="00CF1C61" w:rsidRPr="006D2DEA">
                        <w:rPr>
                          <w:color w:val="4F81BD" w:themeColor="accent1"/>
                          <w:sz w:val="22"/>
                        </w:rPr>
                        <w:t>skills</w:t>
                      </w:r>
                    </w:p>
                    <w:p w14:paraId="1A4C3260" w14:textId="77777777" w:rsidR="00C64ED7" w:rsidRPr="006D2DEA" w:rsidRDefault="00C64ED7" w:rsidP="004001F7">
                      <w:pPr>
                        <w:jc w:val="both"/>
                        <w:rPr>
                          <w:sz w:val="22"/>
                        </w:rPr>
                      </w:pPr>
                      <w:r w:rsidRPr="006D2DEA">
                        <w:rPr>
                          <w:sz w:val="22"/>
                        </w:rPr>
                        <w:t>By 2030, 90% of all jobs will require some level of digital skills. These include both basic digital skills as well as advanced skills related to AI, data analysis, cloud computing and cybersecurity; at the same time, 75% of organizations struggle to find the necessary skills to adopt AI technologies and there is an estimated lack of 7 million cybersecurity professionals in the global labour market. The skills demand goes beyond technical skills and includes interpersonal and soft skills.</w:t>
                      </w:r>
                    </w:p>
                    <w:p w14:paraId="7835485D" w14:textId="77777777" w:rsidR="00C64ED7" w:rsidRPr="006D2DEA" w:rsidRDefault="00C64ED7" w:rsidP="004001F7">
                      <w:pPr>
                        <w:rPr>
                          <w:i/>
                          <w:iCs/>
                          <w:sz w:val="18"/>
                          <w:szCs w:val="18"/>
                        </w:rPr>
                      </w:pPr>
                      <w:r w:rsidRPr="006D2DEA">
                        <w:rPr>
                          <w:i/>
                          <w:iCs/>
                          <w:sz w:val="18"/>
                          <w:szCs w:val="18"/>
                        </w:rPr>
                        <w:t>Source: International Telecommunication Union, “</w:t>
                      </w:r>
                      <w:hyperlink r:id="rId17" w:history="1">
                        <w:r w:rsidRPr="00D751EB">
                          <w:rPr>
                            <w:rStyle w:val="Hyperlink"/>
                            <w:i/>
                            <w:iCs/>
                            <w:sz w:val="18"/>
                            <w:szCs w:val="18"/>
                          </w:rPr>
                          <w:t>Skills development for the digital economy</w:t>
                        </w:r>
                      </w:hyperlink>
                      <w:r w:rsidRPr="006D2DEA">
                        <w:rPr>
                          <w:i/>
                          <w:iCs/>
                          <w:sz w:val="18"/>
                          <w:szCs w:val="18"/>
                        </w:rPr>
                        <w:t>”, November 2024</w:t>
                      </w:r>
                    </w:p>
                  </w:txbxContent>
                </v:textbox>
                <w10:wrap type="square" anchory="page"/>
                <w10:anchorlock/>
              </v:shape>
            </w:pict>
          </mc:Fallback>
        </mc:AlternateContent>
      </w:r>
      <w:r w:rsidRPr="006975BE">
        <w:rPr>
          <w:rFonts w:asciiTheme="minorHAnsi" w:eastAsiaTheme="minorEastAsia" w:hAnsiTheme="minorHAnsi" w:cstheme="minorBidi"/>
          <w:szCs w:val="24"/>
          <w:lang w:eastAsia="zh-CN"/>
        </w:rPr>
        <w:t xml:space="preserve">The rapid development of new and emerging telecommunication/ICT services and technologies, particularly artificial intelligence, brings new challenges to bridging digital divides. New gaps in access to and use of these technologies are becoming increasingly prominent, especially in developing countries, </w:t>
      </w:r>
      <w:r w:rsidRPr="006975BE">
        <w:rPr>
          <w:rFonts w:eastAsiaTheme="minorEastAsia"/>
          <w:szCs w:val="24"/>
          <w:lang w:eastAsia="zh-CN"/>
        </w:rPr>
        <w:t>highlighting</w:t>
      </w:r>
      <w:r w:rsidRPr="006975BE">
        <w:rPr>
          <w:rFonts w:asciiTheme="minorHAnsi" w:eastAsiaTheme="minorEastAsia" w:hAnsiTheme="minorHAnsi" w:cstheme="minorBidi"/>
          <w:szCs w:val="24"/>
          <w:lang w:eastAsia="zh-CN"/>
        </w:rPr>
        <w:t xml:space="preserve"> the need for enhanced international cooperation on capacity-building in this field. </w:t>
      </w:r>
    </w:p>
    <w:p w14:paraId="053DA6A5" w14:textId="77777777" w:rsidR="00C64ED7" w:rsidRPr="006975BE" w:rsidRDefault="00C64ED7" w:rsidP="007B20D8">
      <w:pPr>
        <w:jc w:val="both"/>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spacing w:val="-4"/>
          <w:sz w:val="22"/>
          <w:szCs w:val="22"/>
          <w:lang w:eastAsia="zh-CN"/>
        </w:rPr>
        <w:t>4.6</w:t>
      </w:r>
      <w:r w:rsidRPr="006975BE">
        <w:rPr>
          <w:rFonts w:asciiTheme="minorHAnsi" w:eastAsiaTheme="minorEastAsia" w:hAnsiTheme="minorHAnsi" w:cstheme="minorBidi"/>
          <w:spacing w:val="-4"/>
          <w:sz w:val="22"/>
          <w:szCs w:val="22"/>
          <w:lang w:eastAsia="zh-CN"/>
        </w:rPr>
        <w:tab/>
      </w:r>
      <w:r w:rsidRPr="006975BE">
        <w:rPr>
          <w:rFonts w:asciiTheme="minorHAnsi" w:eastAsiaTheme="minorEastAsia" w:hAnsiTheme="minorHAnsi" w:cstheme="minorBidi"/>
          <w:noProof/>
          <w:sz w:val="22"/>
          <w:szCs w:val="22"/>
          <w:lang w:eastAsia="zh-CN"/>
        </w:rPr>
        <mc:AlternateContent>
          <mc:Choice Requires="wps">
            <w:drawing>
              <wp:anchor distT="0" distB="0" distL="114300" distR="114300" simplePos="0" relativeHeight="251666432" behindDoc="0" locked="1" layoutInCell="1" allowOverlap="1" wp14:anchorId="5F6C897E" wp14:editId="6A89BC56">
                <wp:simplePos x="0" y="0"/>
                <wp:positionH relativeFrom="column">
                  <wp:posOffset>262890</wp:posOffset>
                </wp:positionH>
                <wp:positionV relativeFrom="paragraph">
                  <wp:posOffset>2423160</wp:posOffset>
                </wp:positionV>
                <wp:extent cx="5577840" cy="2981960"/>
                <wp:effectExtent l="0" t="0" r="22860" b="27940"/>
                <wp:wrapSquare wrapText="bothSides"/>
                <wp:docPr id="16565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981960"/>
                        </a:xfrm>
                        <a:prstGeom prst="rect">
                          <a:avLst/>
                        </a:prstGeom>
                        <a:solidFill>
                          <a:srgbClr val="FFFFFF"/>
                        </a:solidFill>
                        <a:ln w="19050">
                          <a:solidFill>
                            <a:srgbClr val="9BBB59"/>
                          </a:solidFill>
                          <a:miter lim="800000"/>
                          <a:headEnd/>
                          <a:tailEnd/>
                        </a:ln>
                      </wps:spPr>
                      <wps:txbx>
                        <w:txbxContent>
                          <w:p w14:paraId="64BAC7E9" w14:textId="77777777" w:rsidR="00C64ED7" w:rsidRPr="006753B0" w:rsidRDefault="00C64ED7" w:rsidP="004001F7">
                            <w:pPr>
                              <w:rPr>
                                <w:color w:val="9BBB59" w:themeColor="accent3"/>
                                <w:sz w:val="22"/>
                              </w:rPr>
                            </w:pPr>
                            <w:r w:rsidRPr="006753B0">
                              <w:rPr>
                                <w:color w:val="9BBB59" w:themeColor="accent3"/>
                                <w:sz w:val="22"/>
                              </w:rPr>
                              <w:t>Case Study: Digital Skills Toolkit</w:t>
                            </w:r>
                            <w:r>
                              <w:rPr>
                                <w:color w:val="9BBB59" w:themeColor="accent3"/>
                                <w:sz w:val="22"/>
                              </w:rPr>
                              <w:t xml:space="preserve"> &amp; </w:t>
                            </w:r>
                            <w:r w:rsidRPr="00C2203D">
                              <w:rPr>
                                <w:color w:val="9BBB59" w:themeColor="accent3"/>
                                <w:sz w:val="22"/>
                              </w:rPr>
                              <w:t>AI Skills Coalition</w:t>
                            </w:r>
                          </w:p>
                          <w:p w14:paraId="6C9432EC" w14:textId="77777777" w:rsidR="00C64ED7" w:rsidRDefault="00C64ED7" w:rsidP="004001F7">
                            <w:pPr>
                              <w:jc w:val="both"/>
                              <w:rPr>
                                <w:sz w:val="22"/>
                              </w:rPr>
                            </w:pPr>
                            <w:r w:rsidRPr="006D2DEA">
                              <w:rPr>
                                <w:sz w:val="22"/>
                              </w:rPr>
                              <w:t xml:space="preserve">The ITU </w:t>
                            </w:r>
                            <w:hyperlink r:id="rId18" w:history="1">
                              <w:r w:rsidRPr="006D2DEA">
                                <w:rPr>
                                  <w:rStyle w:val="Hyperlink"/>
                                  <w:sz w:val="22"/>
                                </w:rPr>
                                <w:t>Digital Skills Toolkit 2024</w:t>
                              </w:r>
                            </w:hyperlink>
                            <w:r w:rsidRPr="006D2DEA">
                              <w:rPr>
                                <w:sz w:val="22"/>
                              </w:rPr>
                              <w:t xml:space="preserve"> offers a comprehensive, step-by-step guide to support the ITU membership to create effective national digital skills strategies and policies. This practical resource offers actionable insights and examples, making it a valuable tool for countries at all stages of digital development. At its core, it provides a concrete roadmap for creating a digital skills strategy, including all elements from the planning to the design and implementation stage.</w:t>
                            </w:r>
                          </w:p>
                          <w:p w14:paraId="0C727C8D" w14:textId="77777777" w:rsidR="00C64ED7" w:rsidRPr="006D2DEA" w:rsidRDefault="00C64ED7" w:rsidP="004001F7">
                            <w:pPr>
                              <w:jc w:val="both"/>
                              <w:rPr>
                                <w:sz w:val="22"/>
                              </w:rPr>
                            </w:pPr>
                            <w:r w:rsidRPr="00C2203D">
                              <w:rPr>
                                <w:sz w:val="22"/>
                              </w:rPr>
                              <w:t xml:space="preserve">Launched by ITU under the AI for Good Impact Initiative, the </w:t>
                            </w:r>
                            <w:hyperlink r:id="rId19" w:history="1">
                              <w:r w:rsidRPr="00C735D5">
                                <w:rPr>
                                  <w:rStyle w:val="Hyperlink"/>
                                  <w:sz w:val="22"/>
                                </w:rPr>
                                <w:t>AI Skills Coalition</w:t>
                              </w:r>
                            </w:hyperlink>
                            <w:r w:rsidRPr="00C2203D">
                              <w:rPr>
                                <w:sz w:val="22"/>
                              </w:rPr>
                              <w:t xml:space="preserve"> is a global, open, and inclusive platform advancing AI education and capacity-building worldwide. It unites governments, UN agencies, academia, and industry to democratize access to trusted AI learning resources and strengthen national capacities for responsible AI development. The Coalition focuses on leveraging strategic resources and building strong collaborations with key stakeholders to design and implement large-scale, high-impact projects targeting priority audiences, particularly in developing countries and underserved communities, to ensure that the benefits of the AI revolution are shared equitably, sustainably, and in a context-relevant manner.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F6C897E" id="_x0000_s1028" type="#_x0000_t202" style="position:absolute;left:0;text-align:left;margin-left:20.7pt;margin-top:190.8pt;width:439.2pt;height:234.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" strokecolor="#9bbb59" strokeweight="1.5pt">
                <v:textbox>
                  <w:txbxContent>
                    <w:p w14:paraId="64BAC7E9" w14:textId="77777777" w:rsidR="00C64ED7" w:rsidRPr="006753B0" w:rsidRDefault="00C64ED7" w:rsidP="004001F7">
                      <w:pPr>
                        <w:rPr>
                          <w:color w:val="9BBB59" w:themeColor="accent3"/>
                          <w:sz w:val="22"/>
                        </w:rPr>
                      </w:pPr>
                      <w:r w:rsidRPr="006753B0">
                        <w:rPr>
                          <w:color w:val="9BBB59" w:themeColor="accent3"/>
                          <w:sz w:val="22"/>
                        </w:rPr>
                        <w:t>Case Study: Digital Skills Toolkit</w:t>
                      </w:r>
                      <w:r>
                        <w:rPr>
                          <w:color w:val="9BBB59" w:themeColor="accent3"/>
                          <w:sz w:val="22"/>
                        </w:rPr>
                        <w:t xml:space="preserve"> &amp; </w:t>
                      </w:r>
                      <w:r w:rsidRPr="00C2203D">
                        <w:rPr>
                          <w:color w:val="9BBB59" w:themeColor="accent3"/>
                          <w:sz w:val="22"/>
                        </w:rPr>
                        <w:t>AI Skills Coalition</w:t>
                      </w:r>
                    </w:p>
                    <w:p w14:paraId="6C9432EC" w14:textId="77777777" w:rsidR="00C64ED7" w:rsidRDefault="00C64ED7" w:rsidP="004001F7">
                      <w:pPr>
                        <w:jc w:val="both"/>
                        <w:rPr>
                          <w:sz w:val="22"/>
                        </w:rPr>
                      </w:pPr>
                      <w:r w:rsidRPr="006D2DEA">
                        <w:rPr>
                          <w:sz w:val="22"/>
                        </w:rPr>
                        <w:t xml:space="preserve">The ITU </w:t>
                      </w:r>
                      <w:hyperlink r:id="rId20" w:history="1">
                        <w:r w:rsidRPr="006D2DEA">
                          <w:rPr>
                            <w:rStyle w:val="Hyperlink"/>
                            <w:sz w:val="22"/>
                          </w:rPr>
                          <w:t>Digital Skills Toolkit 2024</w:t>
                        </w:r>
                      </w:hyperlink>
                      <w:r w:rsidRPr="006D2DEA">
                        <w:rPr>
                          <w:sz w:val="22"/>
                        </w:rPr>
                        <w:t xml:space="preserve"> offers a comprehensive, step-by-step guide to support the ITU membership to create effective national digital skills strategies and policies. This practical resource offers actionable insights and examples, making it a valuable tool for countries at all stages of digital development. At its core, it provides a concrete roadmap for creating a digital skills strategy, including all elements from the planning to the design and implementation stage.</w:t>
                      </w:r>
                    </w:p>
                    <w:p w14:paraId="0C727C8D" w14:textId="77777777" w:rsidR="00C64ED7" w:rsidRPr="006D2DEA" w:rsidRDefault="00C64ED7" w:rsidP="004001F7">
                      <w:pPr>
                        <w:jc w:val="both"/>
                        <w:rPr>
                          <w:sz w:val="22"/>
                        </w:rPr>
                      </w:pPr>
                      <w:r w:rsidRPr="00C2203D">
                        <w:rPr>
                          <w:sz w:val="22"/>
                        </w:rPr>
                        <w:t xml:space="preserve">Launched by ITU under the AI for Good Impact Initiative, the </w:t>
                      </w:r>
                      <w:hyperlink r:id="rId21" w:history="1">
                        <w:r w:rsidRPr="00C735D5">
                          <w:rPr>
                            <w:rStyle w:val="Hyperlink"/>
                            <w:sz w:val="22"/>
                          </w:rPr>
                          <w:t>AI Skills Coalition</w:t>
                        </w:r>
                      </w:hyperlink>
                      <w:r w:rsidRPr="00C2203D">
                        <w:rPr>
                          <w:sz w:val="22"/>
                        </w:rPr>
                        <w:t xml:space="preserve"> is a global, open, and inclusive platform advancing AI education and capacity-building worldwide. It unites governments, UN agencies, academia, and industry to democratize access to trusted AI learning resources and strengthen national capacities for responsible AI development. The Coalition focuses on leveraging strategic resources and building strong collaborations with key stakeholders to design and implement large-scale, high-impact projects targeting priority audiences, particularly in developing countries and underserved communities, to ensure that the benefits of the AI revolution are shared equitably, sustainably, and in a context-relevant manner.</w:t>
                      </w:r>
                    </w:p>
                  </w:txbxContent>
                </v:textbox>
                <w10:wrap type="square"/>
                <w10:anchorlock/>
              </v:shape>
            </w:pict>
          </mc:Fallback>
        </mc:AlternateContent>
      </w:r>
      <w:r w:rsidRPr="006975BE">
        <w:rPr>
          <w:rFonts w:asciiTheme="minorHAnsi" w:eastAsiaTheme="minorEastAsia" w:hAnsiTheme="minorHAnsi" w:cstheme="minorBidi"/>
          <w:sz w:val="22"/>
          <w:szCs w:val="22"/>
          <w:lang w:eastAsia="zh-CN"/>
        </w:rPr>
        <w:t xml:space="preserve">Urgent action is required by all relevant stakeholders —governments, private sector, educational and training institutes, </w:t>
      </w:r>
      <w:r w:rsidRPr="006975BE">
        <w:rPr>
          <w:rFonts w:eastAsiaTheme="minorEastAsia"/>
          <w:lang w:eastAsia="zh-CN"/>
        </w:rPr>
        <w:t>international</w:t>
      </w:r>
      <w:r w:rsidRPr="006975BE">
        <w:rPr>
          <w:rFonts w:asciiTheme="minorHAnsi" w:eastAsiaTheme="minorEastAsia" w:hAnsiTheme="minorHAnsi" w:cstheme="minorBidi"/>
          <w:sz w:val="22"/>
          <w:szCs w:val="22"/>
          <w:lang w:eastAsia="zh-CN"/>
        </w:rPr>
        <w:t xml:space="preserve"> organizations and civil society— to address the global digital skills gap.</w:t>
      </w:r>
    </w:p>
    <w:p w14:paraId="292EAD2F"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4.7</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Small island developing States (SIDS) and many developing countries face compounded challenges in bridging digital divides, including geographic isolation, limited infrastructure, climate vulnerability, and constrained financial and human resources, requiring tailored approaches and enhanced </w:t>
      </w:r>
      <w:r w:rsidRPr="006975BE">
        <w:rPr>
          <w:rFonts w:eastAsiaTheme="minorEastAsia"/>
          <w:szCs w:val="24"/>
          <w:lang w:eastAsia="zh-CN"/>
        </w:rPr>
        <w:t>international</w:t>
      </w:r>
      <w:r w:rsidRPr="006975BE">
        <w:rPr>
          <w:rFonts w:asciiTheme="minorHAnsi" w:eastAsiaTheme="minorEastAsia" w:hAnsiTheme="minorHAnsi" w:cstheme="minorBidi"/>
          <w:szCs w:val="24"/>
          <w:lang w:eastAsia="zh-CN"/>
        </w:rPr>
        <w:t xml:space="preserve"> cooperation.</w:t>
      </w:r>
    </w:p>
    <w:p w14:paraId="7EB6A21D"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4.8</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Evidence-</w:t>
      </w:r>
      <w:r w:rsidRPr="006975BE">
        <w:rPr>
          <w:rFonts w:eastAsiaTheme="minorEastAsia"/>
          <w:szCs w:val="24"/>
          <w:lang w:eastAsia="zh-CN"/>
        </w:rPr>
        <w:t>based</w:t>
      </w:r>
      <w:r w:rsidRPr="006975BE">
        <w:rPr>
          <w:rFonts w:asciiTheme="minorHAnsi" w:eastAsiaTheme="minorEastAsia" w:hAnsiTheme="minorHAnsi" w:cstheme="minorBidi"/>
          <w:szCs w:val="24"/>
          <w:lang w:eastAsia="zh-CN"/>
        </w:rPr>
        <w:t xml:space="preserve"> policymaking benefits from robust monitoring frameworks and metrics that can accurately assess the impact of digital inclusion programs, enabling adaptive learning, accountability, and informed decision-making.</w:t>
      </w:r>
    </w:p>
    <w:p w14:paraId="3F761BA9"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4.9</w:t>
      </w:r>
      <w:r w:rsidRPr="006975BE">
        <w:rPr>
          <w:rFonts w:asciiTheme="minorHAnsi" w:eastAsiaTheme="minorEastAsia" w:hAnsiTheme="minorHAnsi" w:cstheme="minorBidi"/>
          <w:spacing w:val="-4"/>
          <w:szCs w:val="24"/>
          <w:lang w:eastAsia="zh-CN"/>
        </w:rPr>
        <w:tab/>
      </w:r>
      <w:r w:rsidRPr="006975BE">
        <w:rPr>
          <w:szCs w:val="24"/>
        </w:rPr>
        <w:t xml:space="preserve">IEG members held a diversity of views on methods for implementation and applicability of digital public </w:t>
      </w:r>
      <w:r w:rsidRPr="006975BE">
        <w:rPr>
          <w:rFonts w:eastAsiaTheme="minorEastAsia"/>
          <w:szCs w:val="24"/>
          <w:lang w:eastAsia="zh-CN"/>
        </w:rPr>
        <w:t>infrastructure</w:t>
      </w:r>
      <w:r w:rsidRPr="006975BE">
        <w:rPr>
          <w:szCs w:val="24"/>
        </w:rPr>
        <w:t xml:space="preserve"> within the context of bridging digital divides.</w:t>
      </w:r>
    </w:p>
    <w:p w14:paraId="310FF63E"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4.10</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Against the </w:t>
      </w:r>
      <w:r w:rsidRPr="006975BE">
        <w:rPr>
          <w:rFonts w:eastAsiaTheme="minorEastAsia"/>
          <w:szCs w:val="24"/>
          <w:lang w:eastAsia="zh-CN"/>
        </w:rPr>
        <w:t>backdrop</w:t>
      </w:r>
      <w:r w:rsidRPr="006975BE">
        <w:rPr>
          <w:rFonts w:asciiTheme="minorHAnsi" w:eastAsiaTheme="minorEastAsia" w:hAnsiTheme="minorHAnsi" w:cstheme="minorBidi"/>
          <w:szCs w:val="24"/>
          <w:lang w:eastAsia="zh-CN"/>
        </w:rPr>
        <w:t xml:space="preserve"> of these considerations, some telecommunication/ICT services and technologies policy questions that could be studied include: </w:t>
      </w:r>
    </w:p>
    <w:p w14:paraId="4C6665D0" w14:textId="77777777" w:rsidR="00C64ED7" w:rsidRPr="006975BE" w:rsidRDefault="00C64ED7" w:rsidP="007E38CB">
      <w:pPr>
        <w:pStyle w:val="enumlev1"/>
        <w:jc w:val="both"/>
        <w:rPr>
          <w:rFonts w:eastAsiaTheme="minorEastAsia"/>
          <w:lang w:eastAsia="zh-CN"/>
        </w:rPr>
      </w:pPr>
      <w:r w:rsidRPr="006975BE">
        <w:rPr>
          <w:rFonts w:eastAsiaTheme="minorEastAsia"/>
          <w:bCs/>
          <w:szCs w:val="24"/>
          <w:lang w:eastAsia="zh-CN"/>
        </w:rPr>
        <w:lastRenderedPageBreak/>
        <w:t>4.10.1</w:t>
      </w:r>
      <w:r w:rsidRPr="006975BE">
        <w:rPr>
          <w:rFonts w:eastAsiaTheme="minorEastAsia"/>
          <w:bCs/>
          <w:szCs w:val="24"/>
          <w:lang w:eastAsia="zh-CN"/>
        </w:rPr>
        <w:tab/>
      </w:r>
      <w:r w:rsidRPr="006975BE">
        <w:rPr>
          <w:rFonts w:eastAsiaTheme="minorEastAsia"/>
          <w:szCs w:val="24"/>
          <w:lang w:val="en-IN" w:eastAsia="zh-CN"/>
        </w:rPr>
        <w:t>How can strategies and policies foster investments in affordable and accessible</w:t>
      </w:r>
      <w:r w:rsidRPr="006975BE">
        <w:rPr>
          <w:rFonts w:eastAsiaTheme="minorEastAsia"/>
          <w:lang w:val="en-IN" w:eastAsia="zh-CN"/>
        </w:rPr>
        <w:t xml:space="preserve"> telecommunications infrastructure, </w:t>
      </w:r>
      <w:r w:rsidRPr="006975BE">
        <w:rPr>
          <w:rFonts w:eastAsiaTheme="minorEastAsia"/>
          <w:lang w:val="en-IN"/>
        </w:rPr>
        <w:t>digital products and services,</w:t>
      </w:r>
      <w:r w:rsidRPr="006975BE">
        <w:rPr>
          <w:rFonts w:eastAsiaTheme="minorEastAsia"/>
          <w:lang w:val="en-IN" w:eastAsia="zh-CN"/>
        </w:rPr>
        <w:t xml:space="preserve"> digital platforms in local </w:t>
      </w:r>
      <w:r w:rsidRPr="006975BE">
        <w:rPr>
          <w:rFonts w:eastAsiaTheme="minorEastAsia"/>
          <w:lang w:eastAsia="zh-CN"/>
        </w:rPr>
        <w:t>languages</w:t>
      </w:r>
      <w:r w:rsidRPr="006975BE">
        <w:rPr>
          <w:rFonts w:eastAsiaTheme="minorEastAsia"/>
          <w:lang w:val="en-IN" w:eastAsia="zh-CN"/>
        </w:rPr>
        <w:t>, and age-friendly technologies to bridge the digital divide across gender, age, socio-economic, and urban-rural disparities?</w:t>
      </w:r>
    </w:p>
    <w:p w14:paraId="0F5CCCBC" w14:textId="77777777" w:rsidR="00C64ED7" w:rsidRPr="006975BE" w:rsidRDefault="00C64ED7" w:rsidP="007E38CB">
      <w:pPr>
        <w:pStyle w:val="enumlev1"/>
        <w:jc w:val="both"/>
        <w:rPr>
          <w:rFonts w:eastAsiaTheme="minorEastAsia"/>
          <w:lang w:eastAsia="zh-CN"/>
        </w:rPr>
      </w:pPr>
      <w:r w:rsidRPr="006975BE">
        <w:rPr>
          <w:rFonts w:eastAsiaTheme="minorEastAsia"/>
          <w:bCs/>
          <w:lang w:eastAsia="zh-CN"/>
        </w:rPr>
        <w:t>4.10.2</w:t>
      </w:r>
      <w:r w:rsidRPr="006975BE">
        <w:rPr>
          <w:rFonts w:eastAsiaTheme="minorEastAsia"/>
          <w:bCs/>
          <w:lang w:eastAsia="zh-CN"/>
        </w:rPr>
        <w:tab/>
      </w:r>
      <w:r w:rsidRPr="006975BE">
        <w:rPr>
          <w:rFonts w:eastAsiaTheme="minorEastAsia"/>
          <w:lang w:val="en-IN" w:eastAsia="zh-CN"/>
        </w:rPr>
        <w:t xml:space="preserve">What strategies can policymakers adopt to promote digital literacy, skills development, and access </w:t>
      </w:r>
      <w:r w:rsidRPr="006975BE">
        <w:rPr>
          <w:rFonts w:eastAsiaTheme="minorEastAsia"/>
          <w:lang w:eastAsia="zh-CN"/>
        </w:rPr>
        <w:t>to</w:t>
      </w:r>
      <w:r w:rsidRPr="006975BE">
        <w:rPr>
          <w:rFonts w:eastAsiaTheme="minorEastAsia"/>
          <w:lang w:val="en-IN" w:eastAsia="zh-CN"/>
        </w:rPr>
        <w:t xml:space="preserve"> in-demand skills, ensuring equal opportunities for individuals across various demographics, while involving the private sector and civil society in these efforts?</w:t>
      </w:r>
    </w:p>
    <w:p w14:paraId="7626F88C" w14:textId="77777777" w:rsidR="00C64ED7" w:rsidRPr="006975BE" w:rsidRDefault="00C64ED7" w:rsidP="007E38CB">
      <w:pPr>
        <w:pStyle w:val="enumlev1"/>
        <w:jc w:val="both"/>
        <w:rPr>
          <w:rFonts w:eastAsiaTheme="minorEastAsia"/>
          <w:lang w:eastAsia="zh-CN"/>
        </w:rPr>
      </w:pPr>
      <w:r w:rsidRPr="006975BE">
        <w:rPr>
          <w:rFonts w:eastAsiaTheme="minorEastAsia"/>
          <w:bCs/>
          <w:lang w:eastAsia="zh-CN"/>
        </w:rPr>
        <w:t>4.10.3</w:t>
      </w:r>
      <w:r w:rsidRPr="006975BE">
        <w:rPr>
          <w:rFonts w:eastAsiaTheme="minorEastAsia"/>
          <w:bCs/>
          <w:lang w:eastAsia="zh-CN"/>
        </w:rPr>
        <w:tab/>
      </w:r>
      <w:r w:rsidRPr="006975BE">
        <w:rPr>
          <w:rFonts w:eastAsiaTheme="minorEastAsia"/>
          <w:lang w:val="en-IN" w:eastAsia="zh-CN"/>
        </w:rPr>
        <w:t xml:space="preserve">How can national and international organizations collaborate to develop innovative </w:t>
      </w:r>
      <w:r w:rsidRPr="006975BE">
        <w:rPr>
          <w:rFonts w:eastAsiaTheme="minorEastAsia"/>
          <w:lang w:eastAsia="zh-CN"/>
        </w:rPr>
        <w:t>technologies</w:t>
      </w:r>
      <w:r w:rsidRPr="006975BE">
        <w:rPr>
          <w:rFonts w:eastAsiaTheme="minorEastAsia"/>
          <w:lang w:val="en-IN" w:eastAsia="zh-CN"/>
        </w:rPr>
        <w:t>, scale solutions, and take initiatives to connect the unconnected, improve digital affordability, and enhance global digital literacy?</w:t>
      </w:r>
    </w:p>
    <w:p w14:paraId="501A1229" w14:textId="77777777" w:rsidR="00C64ED7" w:rsidRPr="006975BE" w:rsidRDefault="00C64ED7" w:rsidP="007E38CB">
      <w:pPr>
        <w:pStyle w:val="enumlev1"/>
        <w:jc w:val="both"/>
        <w:rPr>
          <w:rFonts w:eastAsiaTheme="minorEastAsia"/>
          <w:lang w:eastAsia="zh-CN"/>
        </w:rPr>
      </w:pPr>
      <w:r w:rsidRPr="006975BE">
        <w:rPr>
          <w:rFonts w:eastAsiaTheme="minorEastAsia"/>
          <w:bCs/>
          <w:lang w:eastAsia="zh-CN"/>
        </w:rPr>
        <w:t>4.10.4</w:t>
      </w:r>
      <w:r w:rsidRPr="006975BE">
        <w:rPr>
          <w:rFonts w:eastAsiaTheme="minorEastAsia"/>
          <w:bCs/>
          <w:lang w:eastAsia="zh-CN"/>
        </w:rPr>
        <w:tab/>
      </w:r>
      <w:r w:rsidRPr="006975BE">
        <w:rPr>
          <w:rFonts w:eastAsiaTheme="minorEastAsia"/>
          <w:lang w:val="en-IN" w:eastAsia="zh-CN"/>
        </w:rPr>
        <w:t xml:space="preserve">How can educational institutions and policymakers promote innovation, entrepreneurship, and equitable access to digital resources for students and entrepreneurs, addressing </w:t>
      </w:r>
      <w:r w:rsidRPr="006975BE">
        <w:rPr>
          <w:rFonts w:eastAsiaTheme="minorEastAsia"/>
          <w:lang w:eastAsia="zh-CN"/>
        </w:rPr>
        <w:t>barriers</w:t>
      </w:r>
      <w:r w:rsidRPr="006975BE">
        <w:rPr>
          <w:rFonts w:eastAsiaTheme="minorEastAsia"/>
          <w:lang w:val="en-IN" w:eastAsia="zh-CN"/>
        </w:rPr>
        <w:t xml:space="preserve"> caused by the digital divide?</w:t>
      </w:r>
    </w:p>
    <w:p w14:paraId="1337A01D" w14:textId="77777777" w:rsidR="00C64ED7" w:rsidRPr="006975BE" w:rsidRDefault="00C64ED7" w:rsidP="007E38CB">
      <w:pPr>
        <w:pStyle w:val="enumlev1"/>
        <w:jc w:val="both"/>
        <w:rPr>
          <w:rFonts w:eastAsiaTheme="minorEastAsia"/>
          <w:lang w:eastAsia="zh-CN"/>
        </w:rPr>
      </w:pPr>
      <w:r w:rsidRPr="006975BE">
        <w:rPr>
          <w:rFonts w:eastAsiaTheme="minorEastAsia"/>
          <w:bCs/>
          <w:lang w:eastAsia="zh-CN"/>
        </w:rPr>
        <w:t>4.10.5</w:t>
      </w:r>
      <w:r w:rsidRPr="006975BE">
        <w:rPr>
          <w:rFonts w:eastAsiaTheme="minorEastAsia"/>
          <w:bCs/>
          <w:lang w:eastAsia="zh-CN"/>
        </w:rPr>
        <w:tab/>
      </w:r>
      <w:r w:rsidRPr="006975BE">
        <w:rPr>
          <w:rFonts w:eastAsiaTheme="minorEastAsia"/>
          <w:lang w:val="en-IN" w:eastAsia="zh-CN"/>
        </w:rPr>
        <w:t>What are the key challenges faced by developing countries including small island developing States (SIDS) in adopting emerging technologies required to bridge the digital divide, and how can stakeholders support them in building the necessary capacity?</w:t>
      </w:r>
    </w:p>
    <w:p w14:paraId="58063D9E" w14:textId="77777777" w:rsidR="00C64ED7" w:rsidRPr="006975BE" w:rsidRDefault="00C64ED7" w:rsidP="007E38CB">
      <w:pPr>
        <w:pStyle w:val="enumlev1"/>
        <w:jc w:val="both"/>
        <w:rPr>
          <w:rFonts w:eastAsiaTheme="minorEastAsia"/>
          <w:lang w:val="en-IN" w:eastAsia="zh-CN"/>
        </w:rPr>
      </w:pPr>
      <w:r w:rsidRPr="006975BE">
        <w:rPr>
          <w:rFonts w:eastAsiaTheme="minorEastAsia"/>
          <w:bCs/>
          <w:lang w:eastAsia="zh-CN"/>
        </w:rPr>
        <w:t>4.10.6</w:t>
      </w:r>
      <w:r w:rsidRPr="006975BE">
        <w:rPr>
          <w:rFonts w:eastAsiaTheme="minorEastAsia"/>
          <w:bCs/>
          <w:lang w:eastAsia="zh-CN"/>
        </w:rPr>
        <w:tab/>
      </w:r>
      <w:r w:rsidRPr="006975BE">
        <w:rPr>
          <w:rFonts w:eastAsiaTheme="minorEastAsia"/>
          <w:lang w:val="en-IN" w:eastAsia="zh-CN"/>
        </w:rPr>
        <w:t xml:space="preserve">How can existing </w:t>
      </w:r>
      <w:r w:rsidRPr="006975BE">
        <w:rPr>
          <w:rFonts w:eastAsiaTheme="minorEastAsia"/>
          <w:lang w:eastAsia="zh-CN"/>
        </w:rPr>
        <w:t>monitoring</w:t>
      </w:r>
      <w:r w:rsidRPr="006975BE">
        <w:rPr>
          <w:rFonts w:eastAsiaTheme="minorEastAsia"/>
          <w:lang w:val="en-IN" w:eastAsia="zh-CN"/>
        </w:rPr>
        <w:t xml:space="preserve"> frameworks and metrics be refined or how can new ones be developed to effectively assess the impact of programs and policies designed to bridge the digital divide?</w:t>
      </w:r>
    </w:p>
    <w:p w14:paraId="0276C260" w14:textId="77777777"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8"/>
          <w:lang w:eastAsia="zh-CN"/>
        </w:rPr>
      </w:pPr>
      <w:r w:rsidRPr="006975BE">
        <w:rPr>
          <w:rFonts w:asciiTheme="minorHAnsi" w:eastAsiaTheme="minorEastAsia" w:hAnsiTheme="minorHAnsi" w:cstheme="minorBidi"/>
          <w:szCs w:val="28"/>
          <w:lang w:eastAsia="zh-CN"/>
        </w:rPr>
        <w:br w:type="page"/>
      </w:r>
    </w:p>
    <w:p w14:paraId="210B868A" w14:textId="4CF89F8B" w:rsidR="00C64ED7" w:rsidRPr="006975BE" w:rsidRDefault="00C64ED7" w:rsidP="007B20D8">
      <w:pPr>
        <w:keepNext/>
        <w:keepLines/>
        <w:tabs>
          <w:tab w:val="clear" w:pos="1134"/>
          <w:tab w:val="clear" w:pos="1701"/>
          <w:tab w:val="clear" w:pos="2268"/>
          <w:tab w:val="clear" w:pos="2835"/>
        </w:tabs>
        <w:overflowPunct/>
        <w:autoSpaceDE/>
        <w:autoSpaceDN/>
        <w:adjustRightInd/>
        <w:spacing w:before="360"/>
        <w:ind w:left="360" w:hanging="360"/>
        <w:textAlignment w:val="auto"/>
        <w:outlineLvl w:val="0"/>
        <w:rPr>
          <w:rFonts w:asciiTheme="minorHAnsi" w:eastAsiaTheme="minorEastAsia" w:hAnsiTheme="minorHAnsi" w:cstheme="minorBidi"/>
          <w:b/>
          <w:szCs w:val="24"/>
          <w:lang w:eastAsia="zh-CN"/>
        </w:rPr>
      </w:pPr>
      <w:r w:rsidRPr="006975BE">
        <w:rPr>
          <w:rFonts w:asciiTheme="minorHAnsi" w:eastAsiaTheme="minorEastAsia" w:hAnsiTheme="minorHAnsi" w:cstheme="minorBidi"/>
          <w:b/>
          <w:szCs w:val="24"/>
          <w:lang w:eastAsia="zh-CN"/>
        </w:rPr>
        <w:lastRenderedPageBreak/>
        <w:t>5</w:t>
      </w:r>
      <w:r w:rsidRPr="006975BE">
        <w:rPr>
          <w:rFonts w:asciiTheme="minorHAnsi" w:eastAsiaTheme="minorEastAsia" w:hAnsiTheme="minorHAnsi" w:cstheme="minorBidi"/>
          <w:b/>
          <w:szCs w:val="24"/>
          <w:lang w:eastAsia="zh-CN"/>
        </w:rPr>
        <w:tab/>
        <w:t xml:space="preserve">Green </w:t>
      </w:r>
      <w:r w:rsidR="00CF1C61" w:rsidRPr="006975BE">
        <w:rPr>
          <w:rFonts w:asciiTheme="minorHAnsi" w:eastAsiaTheme="minorEastAsia" w:hAnsiTheme="minorHAnsi" w:cstheme="minorBidi"/>
          <w:b/>
          <w:szCs w:val="24"/>
          <w:lang w:eastAsia="zh-CN"/>
        </w:rPr>
        <w:t>digital transformation</w:t>
      </w:r>
      <w:r w:rsidRPr="006975BE">
        <w:rPr>
          <w:rFonts w:asciiTheme="minorHAnsi" w:eastAsiaTheme="minorEastAsia" w:hAnsiTheme="minorHAnsi" w:cstheme="minorBidi"/>
          <w:b/>
          <w:szCs w:val="24"/>
          <w:lang w:eastAsia="zh-CN"/>
        </w:rPr>
        <w:t xml:space="preserve">: Climate </w:t>
      </w:r>
      <w:r w:rsidR="00CF1C61" w:rsidRPr="006975BE">
        <w:rPr>
          <w:rFonts w:asciiTheme="minorHAnsi" w:eastAsiaTheme="minorEastAsia" w:hAnsiTheme="minorHAnsi" w:cstheme="minorBidi"/>
          <w:b/>
          <w:szCs w:val="24"/>
          <w:lang w:eastAsia="zh-CN"/>
        </w:rPr>
        <w:t>change and environmental sustainability</w:t>
      </w:r>
    </w:p>
    <w:p w14:paraId="52350F4F"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5.1</w:t>
      </w:r>
      <w:r w:rsidRPr="006975BE">
        <w:rPr>
          <w:rFonts w:asciiTheme="minorHAnsi" w:eastAsiaTheme="minorEastAsia" w:hAnsiTheme="minorHAnsi" w:cstheme="minorBidi"/>
          <w:spacing w:val="-4"/>
          <w:szCs w:val="24"/>
          <w:lang w:eastAsia="zh-CN"/>
        </w:rPr>
        <w:tab/>
      </w:r>
      <w:r w:rsidRPr="006975BE">
        <w:rPr>
          <w:rFonts w:eastAsiaTheme="minorEastAsia"/>
          <w:szCs w:val="24"/>
        </w:rPr>
        <w:t>Technology</w:t>
      </w:r>
      <w:r w:rsidRPr="006975BE">
        <w:rPr>
          <w:rFonts w:asciiTheme="minorHAnsi" w:eastAsiaTheme="minorEastAsia" w:hAnsiTheme="minorHAnsi" w:cstheme="minorBidi"/>
          <w:szCs w:val="24"/>
          <w:lang w:eastAsia="zh-CN"/>
        </w:rPr>
        <w:t xml:space="preserve"> can play a critical role in monitoring, mitigating and adapting to environmental sustainability and climate change</w:t>
      </w:r>
      <w:r w:rsidRPr="006975BE">
        <w:rPr>
          <w:rFonts w:eastAsiaTheme="minorEastAsia"/>
          <w:szCs w:val="24"/>
        </w:rPr>
        <w:t xml:space="preserve">. Meanwhile, </w:t>
      </w:r>
      <w:r w:rsidRPr="006975BE">
        <w:rPr>
          <w:rFonts w:asciiTheme="minorHAnsi" w:eastAsiaTheme="minorEastAsia" w:hAnsiTheme="minorHAnsi" w:cstheme="minorBidi"/>
          <w:szCs w:val="24"/>
          <w:lang w:eastAsia="zh-CN"/>
        </w:rPr>
        <w:t>digital transformation brings significant implications</w:t>
      </w:r>
      <w:r w:rsidRPr="006975BE">
        <w:rPr>
          <w:rFonts w:eastAsiaTheme="minorEastAsia"/>
          <w:szCs w:val="24"/>
        </w:rPr>
        <w:t>, including</w:t>
      </w:r>
      <w:r w:rsidRPr="006975BE">
        <w:rPr>
          <w:rFonts w:asciiTheme="minorHAnsi" w:eastAsiaTheme="minorEastAsia" w:hAnsiTheme="minorHAnsi" w:cstheme="minorBidi"/>
          <w:szCs w:val="24"/>
          <w:lang w:eastAsia="zh-CN"/>
        </w:rPr>
        <w:t xml:space="preserve"> rising greenhouse gas emissions and energy use from the telecommunication/ICT sector along with growing volumes of e-waste. New and emerging telecommunication/ICT services and technologies, in </w:t>
      </w:r>
      <w:r w:rsidRPr="006975BE">
        <w:rPr>
          <w:rFonts w:eastAsiaTheme="minorEastAsia"/>
          <w:szCs w:val="24"/>
          <w:lang w:eastAsia="zh-CN"/>
        </w:rPr>
        <w:t>particular</w:t>
      </w:r>
      <w:r w:rsidRPr="006975BE">
        <w:rPr>
          <w:rFonts w:asciiTheme="minorHAnsi" w:eastAsiaTheme="minorEastAsia" w:hAnsiTheme="minorHAnsi" w:cstheme="minorBidi"/>
          <w:szCs w:val="24"/>
          <w:lang w:eastAsia="zh-CN"/>
        </w:rPr>
        <w:t xml:space="preserve">, AI, are proving transformative in advancing environmental protection and climate action. AI applications are being deployed to optimize energy efficiency, predict extreme weather events, monitor biodiversity, and enhance climate modelling. These technologies are also enabling other sectors such as energy, manufacturing industry, transportation and construction, to reduce the </w:t>
      </w:r>
      <w:r w:rsidRPr="006975BE">
        <w:rPr>
          <w:rFonts w:eastAsiaTheme="minorEastAsia"/>
          <w:szCs w:val="24"/>
        </w:rPr>
        <w:t xml:space="preserve">negative </w:t>
      </w:r>
      <w:r w:rsidRPr="006975BE">
        <w:rPr>
          <w:rFonts w:asciiTheme="minorHAnsi" w:eastAsiaTheme="minorEastAsia" w:hAnsiTheme="minorHAnsi" w:cstheme="minorBidi"/>
          <w:szCs w:val="24"/>
          <w:lang w:eastAsia="zh-CN"/>
        </w:rPr>
        <w:t>climate impact.</w:t>
      </w:r>
    </w:p>
    <w:p w14:paraId="58993CDD" w14:textId="3E8AF9B9"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5.2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The rapid growth of digital technologies, including AI, whose computational power doubles every 100 days, also underscores the urgent need for sustainable practices in the digital sector.</w:t>
      </w:r>
      <w:r w:rsidRPr="006975BE">
        <w:rPr>
          <w:rStyle w:val="FootnoteReference"/>
          <w:lang w:eastAsia="zh-CN"/>
        </w:rPr>
        <w:footnoteReference w:id="1"/>
      </w:r>
      <w:r w:rsidRPr="006975BE">
        <w:rPr>
          <w:rFonts w:asciiTheme="minorHAnsi" w:eastAsiaTheme="minorEastAsia" w:hAnsiTheme="minorHAnsi" w:cstheme="minorBidi"/>
          <w:szCs w:val="24"/>
          <w:lang w:eastAsia="zh-CN"/>
        </w:rPr>
        <w:t xml:space="preserve"> Digital companies already account for nearly 2% of global electricity use and up to 4% of greenhouse gas emissions, which must be reduced by 45% by 2030 to align with the Paris Agreement.</w:t>
      </w:r>
      <w:r w:rsidRPr="006975BE">
        <w:rPr>
          <w:rStyle w:val="FootnoteReference"/>
          <w:lang w:eastAsia="zh-CN"/>
        </w:rPr>
        <w:footnoteReference w:id="2"/>
      </w:r>
      <w:r w:rsidRPr="006975BE">
        <w:rPr>
          <w:rFonts w:asciiTheme="minorHAnsi" w:eastAsiaTheme="minorEastAsia" w:hAnsiTheme="minorHAnsi" w:cstheme="minorBidi"/>
          <w:szCs w:val="24"/>
          <w:lang w:eastAsia="zh-CN"/>
        </w:rPr>
        <w:t xml:space="preserve"> This dependence on finite energy resources presents a fundamental sustainability challenge for the sector, similar to its reliance on critical raw materials, highlighting the need for a transition to renewable energy sources throughout the digital value chain. </w:t>
      </w: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7456" behindDoc="0" locked="1" layoutInCell="1" allowOverlap="1" wp14:anchorId="711A2993" wp14:editId="69D1E55A">
                <wp:simplePos x="0" y="0"/>
                <wp:positionH relativeFrom="column">
                  <wp:posOffset>272415</wp:posOffset>
                </wp:positionH>
                <wp:positionV relativeFrom="paragraph">
                  <wp:posOffset>119380</wp:posOffset>
                </wp:positionV>
                <wp:extent cx="5577840" cy="1898015"/>
                <wp:effectExtent l="0" t="0" r="22860" b="26035"/>
                <wp:wrapSquare wrapText="bothSides"/>
                <wp:docPr id="8950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898015"/>
                        </a:xfrm>
                        <a:prstGeom prst="rect">
                          <a:avLst/>
                        </a:prstGeom>
                        <a:solidFill>
                          <a:srgbClr val="FFFFFF"/>
                        </a:solidFill>
                        <a:ln w="19050">
                          <a:solidFill>
                            <a:srgbClr val="9BBB59"/>
                          </a:solidFill>
                          <a:miter lim="800000"/>
                          <a:headEnd/>
                          <a:tailEnd/>
                        </a:ln>
                      </wps:spPr>
                      <wps:txbx>
                        <w:txbxContent>
                          <w:p w14:paraId="4C6178CD" w14:textId="77777777" w:rsidR="00C64ED7" w:rsidRPr="006753B0" w:rsidRDefault="00C64ED7" w:rsidP="004001F7">
                            <w:pPr>
                              <w:rPr>
                                <w:color w:val="9BBB59" w:themeColor="accent3"/>
                                <w:sz w:val="22"/>
                              </w:rPr>
                            </w:pPr>
                            <w:r w:rsidRPr="006753B0">
                              <w:rPr>
                                <w:color w:val="9BBB59" w:themeColor="accent3"/>
                                <w:sz w:val="22"/>
                              </w:rPr>
                              <w:t xml:space="preserve">Case Study: </w:t>
                            </w:r>
                            <w:r w:rsidRPr="00527043">
                              <w:rPr>
                                <w:color w:val="9BBB59" w:themeColor="accent3"/>
                                <w:sz w:val="22"/>
                              </w:rPr>
                              <w:t>Green Digital Action (GDA) initiative</w:t>
                            </w:r>
                          </w:p>
                          <w:p w14:paraId="52642E5B" w14:textId="173C279B" w:rsidR="00C64ED7" w:rsidRPr="006D2DEA" w:rsidRDefault="00C64ED7" w:rsidP="004001F7">
                            <w:pPr>
                              <w:jc w:val="both"/>
                              <w:rPr>
                                <w:sz w:val="22"/>
                              </w:rPr>
                            </w:pPr>
                            <w:r w:rsidRPr="00527043">
                              <w:rPr>
                                <w:sz w:val="22"/>
                              </w:rPr>
                              <w:t xml:space="preserve">The </w:t>
                            </w:r>
                            <w:hyperlink r:id="rId22" w:history="1">
                              <w:r w:rsidRPr="00953D21">
                                <w:rPr>
                                  <w:rStyle w:val="Hyperlink"/>
                                  <w:sz w:val="22"/>
                                </w:rPr>
                                <w:t>Green Digital Action (GDA) initiative</w:t>
                              </w:r>
                            </w:hyperlink>
                            <w:r w:rsidRPr="00527043">
                              <w:rPr>
                                <w:sz w:val="22"/>
                              </w:rPr>
                              <w:t xml:space="preserve"> brings together partners worldwide to advance climate action through digital innovation.</w:t>
                            </w:r>
                            <w:r w:rsidR="000C5C73">
                              <w:rPr>
                                <w:sz w:val="22"/>
                              </w:rPr>
                              <w:t xml:space="preserve"> </w:t>
                            </w:r>
                            <w:r w:rsidRPr="00527043">
                              <w:rPr>
                                <w:sz w:val="22"/>
                              </w:rPr>
                              <w:t>Since its launch at COP28 in 2023, Green Digital Action has been working to unite the global digital community in developing practical solutions, boosting industry-wide climate support, and strengthening global frameworks for monitoring and reporting. GDA represents a key role in advancing the commitments made in the Conference of the Parties COP29 Declaration on Green Digital Action, which aims to accelerate climate-positive digitalisation and emission reductions in the digital technology sector, and enhance accessibility of green digital technologies.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11A2993" id="_x0000_t202" coordsize="21600,21600" o:spt="202" path="m,l,21600r21600,l21600,xe">
                <v:stroke joinstyle="miter"/>
                <v:path gradientshapeok="t" o:connecttype="rect"/>
              </v:shapetype>
              <v:shape id="_x0000_s1029" type="#_x0000_t202" style="position:absolute;left:0;text-align:left;margin-left:21.45pt;margin-top:9.4pt;width:439.2pt;height:149.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" strokecolor="#9bbb59" strokeweight="1.5pt">
                <v:textbox>
                  <w:txbxContent>
                    <w:p w14:paraId="4C6178CD" w14:textId="77777777" w:rsidR="00C64ED7" w:rsidRPr="006753B0" w:rsidRDefault="00C64ED7" w:rsidP="004001F7">
                      <w:pPr>
                        <w:rPr>
                          <w:color w:val="9BBB59" w:themeColor="accent3"/>
                          <w:sz w:val="22"/>
                        </w:rPr>
                      </w:pPr>
                      <w:r w:rsidRPr="006753B0">
                        <w:rPr>
                          <w:color w:val="9BBB59" w:themeColor="accent3"/>
                          <w:sz w:val="22"/>
                        </w:rPr>
                        <w:t xml:space="preserve">Case Study: </w:t>
                      </w:r>
                      <w:r w:rsidRPr="00527043">
                        <w:rPr>
                          <w:color w:val="9BBB59" w:themeColor="accent3"/>
                          <w:sz w:val="22"/>
                        </w:rPr>
                        <w:t>Green Digital Action (GDA) initiative</w:t>
                      </w:r>
                    </w:p>
                    <w:p w14:paraId="52642E5B" w14:textId="173C279B" w:rsidR="00C64ED7" w:rsidRPr="006D2DEA" w:rsidRDefault="00C64ED7" w:rsidP="004001F7">
                      <w:pPr>
                        <w:jc w:val="both"/>
                        <w:rPr>
                          <w:sz w:val="22"/>
                        </w:rPr>
                      </w:pPr>
                      <w:r w:rsidRPr="00527043">
                        <w:rPr>
                          <w:sz w:val="22"/>
                        </w:rPr>
                        <w:t xml:space="preserve">The </w:t>
                      </w:r>
                      <w:hyperlink r:id="rId23" w:history="1">
                        <w:r w:rsidRPr="00953D21">
                          <w:rPr>
                            <w:rStyle w:val="Hyperlink"/>
                            <w:sz w:val="22"/>
                          </w:rPr>
                          <w:t>Green Digital Action (GDA) initiative</w:t>
                        </w:r>
                      </w:hyperlink>
                      <w:r w:rsidRPr="00527043">
                        <w:rPr>
                          <w:sz w:val="22"/>
                        </w:rPr>
                        <w:t xml:space="preserve"> brings together partners worldwide to advance climate action through digital innovation.</w:t>
                      </w:r>
                      <w:r w:rsidR="000C5C73">
                        <w:rPr>
                          <w:sz w:val="22"/>
                        </w:rPr>
                        <w:t xml:space="preserve"> </w:t>
                      </w:r>
                      <w:r w:rsidRPr="00527043">
                        <w:rPr>
                          <w:sz w:val="22"/>
                        </w:rPr>
                        <w:t>Since its launch at COP28 in 2023, Green Digital Action has been working to unite the global digital community in developing practical solutions, boosting industry-wide climate support, and strengthening global frameworks for monitoring and reporting. GDA represents a key role in advancing the commitments made in the Conference of the Parties COP29 Declaration on Green Digital Action, which aims to accelerate climate-positive digitalisation and emission reductions in the digital technology sector, and enhance accessibility of green digital technologies.</w:t>
                      </w:r>
                    </w:p>
                  </w:txbxContent>
                </v:textbox>
                <w10:wrap type="square"/>
                <w10:anchorlock/>
              </v:shape>
            </w:pict>
          </mc:Fallback>
        </mc:AlternateContent>
      </w:r>
    </w:p>
    <w:p w14:paraId="09C0CB19" w14:textId="749B12D5"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5.3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Meanwhile, the world's transition to a circular economy remains slow, with only 7% of economic activities estimated as circular and 82 billion kilos of e-waste projected to be generated by 2030. Furthermore, almost half of all countries lack multi-hazard early warning systems, and data gaps in Least Developed </w:t>
      </w:r>
      <w:r w:rsidRPr="006975BE">
        <w:rPr>
          <w:rFonts w:eastAsiaTheme="minorEastAsia"/>
          <w:szCs w:val="24"/>
          <w:lang w:eastAsia="zh-CN"/>
        </w:rPr>
        <w:t>Countries</w:t>
      </w:r>
      <w:r w:rsidRPr="006975BE">
        <w:rPr>
          <w:rFonts w:asciiTheme="minorHAnsi" w:eastAsiaTheme="minorEastAsia" w:hAnsiTheme="minorHAnsi" w:cstheme="minorBidi"/>
          <w:szCs w:val="24"/>
          <w:lang w:eastAsia="zh-CN"/>
        </w:rPr>
        <w:t xml:space="preserve"> and Small Island Developing States exacerbate their vulnerability to climate risks. Green digital transformation offers an opportunity to address these challenges and build a more sustainable, equitable future.</w:t>
      </w:r>
    </w:p>
    <w:p w14:paraId="443C2545" w14:textId="77777777" w:rsidR="00C64ED7" w:rsidRPr="006975BE" w:rsidRDefault="00C64ED7" w:rsidP="004001F7">
      <w:pPr>
        <w:tabs>
          <w:tab w:val="clear" w:pos="1134"/>
          <w:tab w:val="clear" w:pos="1701"/>
          <w:tab w:val="clear" w:pos="2268"/>
          <w:tab w:val="clear" w:pos="2835"/>
        </w:tabs>
        <w:overflowPunct/>
        <w:autoSpaceDE/>
        <w:autoSpaceDN/>
        <w:adjustRightInd/>
        <w:spacing w:before="160"/>
        <w:jc w:val="center"/>
        <w:textAlignment w:val="auto"/>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noProof/>
          <w:sz w:val="22"/>
          <w:szCs w:val="22"/>
          <w:lang w:eastAsia="zh-CN"/>
        </w:rPr>
        <w:lastRenderedPageBreak/>
        <mc:AlternateContent>
          <mc:Choice Requires="wps">
            <w:drawing>
              <wp:inline distT="0" distB="0" distL="0" distR="0" wp14:anchorId="5B610E8A" wp14:editId="3577A7CA">
                <wp:extent cx="5579745" cy="2701290"/>
                <wp:effectExtent l="0" t="0" r="20955" b="22860"/>
                <wp:docPr id="5619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2701290"/>
                        </a:xfrm>
                        <a:prstGeom prst="rect">
                          <a:avLst/>
                        </a:prstGeom>
                        <a:solidFill>
                          <a:srgbClr val="FFFFFF"/>
                        </a:solidFill>
                        <a:ln w="19050">
                          <a:solidFill>
                            <a:srgbClr val="4F81BD"/>
                          </a:solidFill>
                          <a:miter lim="800000"/>
                          <a:headEnd/>
                          <a:tailEnd/>
                        </a:ln>
                      </wps:spPr>
                      <wps:txbx>
                        <w:txbxContent>
                          <w:p w14:paraId="5E412BC8" w14:textId="67A8ADAB" w:rsidR="00C64ED7" w:rsidRPr="006D2DEA" w:rsidRDefault="00C64ED7" w:rsidP="004001F7">
                            <w:pPr>
                              <w:rPr>
                                <w:color w:val="4F81BD" w:themeColor="accent1"/>
                                <w:sz w:val="22"/>
                              </w:rPr>
                            </w:pPr>
                            <w:r w:rsidRPr="006D2DEA">
                              <w:rPr>
                                <w:color w:val="4F81BD" w:themeColor="accent1"/>
                                <w:sz w:val="22"/>
                              </w:rPr>
                              <w:t xml:space="preserve">International </w:t>
                            </w:r>
                            <w:r w:rsidR="00CF1C61" w:rsidRPr="006D2DEA">
                              <w:rPr>
                                <w:color w:val="4F81BD" w:themeColor="accent1"/>
                                <w:sz w:val="22"/>
                              </w:rPr>
                              <w:t xml:space="preserve">standards </w:t>
                            </w:r>
                            <w:r w:rsidRPr="006D2DEA">
                              <w:rPr>
                                <w:color w:val="4F81BD" w:themeColor="accent1"/>
                                <w:sz w:val="22"/>
                              </w:rPr>
                              <w:t>at ITU:</w:t>
                            </w:r>
                          </w:p>
                          <w:p w14:paraId="05397A1E" w14:textId="77777777" w:rsidR="00C64ED7" w:rsidRPr="006D2DEA" w:rsidRDefault="00C64ED7" w:rsidP="004001F7">
                            <w:pPr>
                              <w:jc w:val="both"/>
                              <w:rPr>
                                <w:sz w:val="22"/>
                              </w:rPr>
                            </w:pPr>
                            <w:r w:rsidRPr="006D2DEA">
                              <w:rPr>
                                <w:sz w:val="22"/>
                              </w:rPr>
                              <w:t>ITU has been developing international standards to advance environmental efficiency, climate action, energy efficiency, and the circular economy within the ICT sector and beyond. By establishing methodologies to assess the environmental impact of ICT products, ITU provides frameworks that guide organizations in measuring and reducing their carbon footprints. ITU standards promote sustainable design principles that support resource efficiency and facilitate the shift toward a circular economy. For instance, standards for energy efficiency in telecommunications equipment and green data centres enable significant reductions in energy consumption, supporting organizations in lowering their operational costs while reducing emissions. In terms of climate action, these standards help governments and companies alike adopt practices that minimize emissions and foster resilience to climate impacts. Through standardized reporting mechanisms, ITU enables consistent and transparent tracking of environmental performance, thereby enhancing accountability and driving global efforts toward sustainability.</w:t>
                            </w:r>
                          </w:p>
                        </w:txbxContent>
                      </wps:txbx>
                      <wps:bodyPr rot="0" vert="horz" wrap="square" lIns="91440" tIns="45720" rIns="91440" bIns="45720" anchor="t" anchorCtr="0" upright="1">
                        <a:noAutofit/>
                      </wps:bodyPr>
                    </wps:wsp>
                  </a:graphicData>
                </a:graphic>
              </wp:inline>
            </w:drawing>
          </mc:Choice>
          <mc:Fallback>
            <w:pict>
              <v:shape w14:anchorId="5B610E8A" id="Text Box 2" o:spid="_x0000_s1030" type="#_x0000_t202" style="width:439.35pt;height:2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" strokecolor="#4f81bd" strokeweight="1.5pt">
                <v:textbox>
                  <w:txbxContent>
                    <w:p w14:paraId="5E412BC8" w14:textId="67A8ADAB" w:rsidR="00C64ED7" w:rsidRPr="006D2DEA" w:rsidRDefault="00C64ED7" w:rsidP="004001F7">
                      <w:pPr>
                        <w:rPr>
                          <w:color w:val="4F81BD" w:themeColor="accent1"/>
                          <w:sz w:val="22"/>
                        </w:rPr>
                      </w:pPr>
                      <w:r w:rsidRPr="006D2DEA">
                        <w:rPr>
                          <w:color w:val="4F81BD" w:themeColor="accent1"/>
                          <w:sz w:val="22"/>
                        </w:rPr>
                        <w:t xml:space="preserve">International </w:t>
                      </w:r>
                      <w:r w:rsidR="00CF1C61" w:rsidRPr="006D2DEA">
                        <w:rPr>
                          <w:color w:val="4F81BD" w:themeColor="accent1"/>
                          <w:sz w:val="22"/>
                        </w:rPr>
                        <w:t xml:space="preserve">standards </w:t>
                      </w:r>
                      <w:r w:rsidRPr="006D2DEA">
                        <w:rPr>
                          <w:color w:val="4F81BD" w:themeColor="accent1"/>
                          <w:sz w:val="22"/>
                        </w:rPr>
                        <w:t>at ITU:</w:t>
                      </w:r>
                    </w:p>
                    <w:p w14:paraId="05397A1E" w14:textId="77777777" w:rsidR="00C64ED7" w:rsidRPr="006D2DEA" w:rsidRDefault="00C64ED7" w:rsidP="004001F7">
                      <w:pPr>
                        <w:jc w:val="both"/>
                        <w:rPr>
                          <w:sz w:val="22"/>
                        </w:rPr>
                      </w:pPr>
                      <w:r w:rsidRPr="006D2DEA">
                        <w:rPr>
                          <w:sz w:val="22"/>
                        </w:rPr>
                        <w:t>ITU has been developing international standards to advance environmental efficiency, climate action, energy efficiency, and the circular economy within the ICT sector and beyond. By establishing methodologies to assess the environmental impact of ICT products, ITU provides frameworks that guide organizations in measuring and reducing their carbon footprints. ITU standards promote sustainable design principles that support resource efficiency and facilitate the shift toward a circular economy. For instance, standards for energy efficiency in telecommunications equipment and green data centres enable significant reductions in energy consumption, supporting organizations in lowering their operational costs while reducing emissions. In terms of climate action, these standards help governments and companies alike adopt practices that minimize emissions and foster resilience to climate impacts. Through standardized reporting mechanisms, ITU enables consistent and transparent tracking of environmental performance, thereby enhancing accountability and driving global efforts toward sustainability.</w:t>
                      </w:r>
                    </w:p>
                  </w:txbxContent>
                </v:textbox>
                <w10:anchorlock/>
              </v:shape>
            </w:pict>
          </mc:Fallback>
        </mc:AlternateContent>
      </w:r>
    </w:p>
    <w:p w14:paraId="526EA1D4" w14:textId="77777777" w:rsidR="00C64ED7" w:rsidRPr="006975BE" w:rsidRDefault="00C64ED7" w:rsidP="004001F7">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 w:val="22"/>
          <w:szCs w:val="22"/>
          <w:lang w:eastAsia="zh-CN"/>
        </w:rPr>
      </w:pPr>
    </w:p>
    <w:p w14:paraId="79433314" w14:textId="109D9CDB" w:rsidR="00C64ED7" w:rsidRPr="006975BE" w:rsidRDefault="00727328" w:rsidP="007B20D8">
      <w:pPr>
        <w:jc w:val="both"/>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1312" behindDoc="0" locked="0" layoutInCell="1" allowOverlap="0" wp14:anchorId="4A6CBA30" wp14:editId="51C03000">
                <wp:simplePos x="0" y="0"/>
                <wp:positionH relativeFrom="column">
                  <wp:posOffset>3791140</wp:posOffset>
                </wp:positionH>
                <wp:positionV relativeFrom="paragraph">
                  <wp:posOffset>331470</wp:posOffset>
                </wp:positionV>
                <wp:extent cx="2394585" cy="2132330"/>
                <wp:effectExtent l="0" t="0" r="24765" b="12065"/>
                <wp:wrapSquare wrapText="bothSides"/>
                <wp:docPr id="1891278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2132330"/>
                        </a:xfrm>
                        <a:prstGeom prst="rect">
                          <a:avLst/>
                        </a:prstGeom>
                        <a:solidFill>
                          <a:srgbClr val="FFFFFF"/>
                        </a:solidFill>
                        <a:ln w="12700">
                          <a:solidFill>
                            <a:srgbClr val="4F81BD">
                              <a:lumMod val="100000"/>
                              <a:lumOff val="0"/>
                            </a:srgbClr>
                          </a:solidFill>
                          <a:miter lim="800000"/>
                          <a:headEnd/>
                          <a:tailEnd/>
                        </a:ln>
                      </wps:spPr>
                      <wps:txbx>
                        <w:txbxContent>
                          <w:p w14:paraId="0B1BFE05" w14:textId="1E1E9102" w:rsidR="00C64ED7" w:rsidRPr="006D2DEA" w:rsidRDefault="00C64ED7" w:rsidP="004001F7">
                            <w:pPr>
                              <w:rPr>
                                <w:color w:val="4F81BD" w:themeColor="accent1"/>
                                <w:sz w:val="22"/>
                              </w:rPr>
                            </w:pPr>
                            <w:r w:rsidRPr="006D2DEA">
                              <w:rPr>
                                <w:color w:val="4F81BD" w:themeColor="accent1"/>
                                <w:sz w:val="22"/>
                              </w:rPr>
                              <w:t xml:space="preserve">Global </w:t>
                            </w:r>
                            <w:r w:rsidR="00CF1C61" w:rsidRPr="006D2DEA">
                              <w:rPr>
                                <w:color w:val="4F81BD" w:themeColor="accent1"/>
                                <w:sz w:val="22"/>
                              </w:rPr>
                              <w:t>commitments</w:t>
                            </w:r>
                            <w:r w:rsidRPr="006D2DEA">
                              <w:rPr>
                                <w:color w:val="4F81BD" w:themeColor="accent1"/>
                                <w:sz w:val="22"/>
                              </w:rPr>
                              <w:t>:</w:t>
                            </w:r>
                          </w:p>
                          <w:p w14:paraId="4BECB266" w14:textId="77777777" w:rsidR="00C64ED7" w:rsidRPr="006D2DEA" w:rsidRDefault="00C64ED7" w:rsidP="004001F7">
                            <w:pPr>
                              <w:jc w:val="both"/>
                              <w:rPr>
                                <w:sz w:val="22"/>
                              </w:rPr>
                            </w:pPr>
                            <w:r w:rsidRPr="003D7FDB">
                              <w:rPr>
                                <w:sz w:val="22"/>
                              </w:rPr>
                              <w:t xml:space="preserve">Regulatory approaches globally have begun to address environmental impacts collectively, though with certain challenges remaining. Currently, about 40 per cent of countries have developed e-waste policies, </w:t>
                            </w:r>
                            <w:r>
                              <w:rPr>
                                <w:sz w:val="22"/>
                              </w:rPr>
                              <w:t>measures,</w:t>
                            </w:r>
                            <w:r w:rsidRPr="003D7FDB">
                              <w:rPr>
                                <w:sz w:val="22"/>
                              </w:rPr>
                              <w:t xml:space="preserve"> or regulations, with opportunities to strengthen their enforcement and implementation. The field of ICT laws and regulation, including the licensing and regulation of the ICT/telecommunications sector, is still exploring effective ways to address the sector's environmental impact. Additional approaches include mandatory emission reporting requirements, energy consumption monitoring, voluntary climate data disclosure programs, and market reforms to encourage renewable energy investments in the telecommunications sector.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A6CBA30" id="_x0000_s1031" type="#_x0000_t202" style="position:absolute;left:0;text-align:left;margin-left:298.5pt;margin-top:26.1pt;width:188.55pt;height:16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" o:allowoverlap="f" strokecolor="#4f81bd" strokeweight="1pt">
                <v:textbox style="mso-fit-shape-to-text:t">
                  <w:txbxContent>
                    <w:p w14:paraId="0B1BFE05" w14:textId="1E1E9102" w:rsidR="00C64ED7" w:rsidRPr="006D2DEA" w:rsidRDefault="00C64ED7" w:rsidP="004001F7">
                      <w:pPr>
                        <w:rPr>
                          <w:color w:val="4F81BD" w:themeColor="accent1"/>
                          <w:sz w:val="22"/>
                        </w:rPr>
                      </w:pPr>
                      <w:r w:rsidRPr="006D2DEA">
                        <w:rPr>
                          <w:color w:val="4F81BD" w:themeColor="accent1"/>
                          <w:sz w:val="22"/>
                        </w:rPr>
                        <w:t xml:space="preserve">Global </w:t>
                      </w:r>
                      <w:r w:rsidR="00CF1C61" w:rsidRPr="006D2DEA">
                        <w:rPr>
                          <w:color w:val="4F81BD" w:themeColor="accent1"/>
                          <w:sz w:val="22"/>
                        </w:rPr>
                        <w:t>commitments</w:t>
                      </w:r>
                      <w:r w:rsidRPr="006D2DEA">
                        <w:rPr>
                          <w:color w:val="4F81BD" w:themeColor="accent1"/>
                          <w:sz w:val="22"/>
                        </w:rPr>
                        <w:t>:</w:t>
                      </w:r>
                    </w:p>
                    <w:p w14:paraId="4BECB266" w14:textId="77777777" w:rsidR="00C64ED7" w:rsidRPr="006D2DEA" w:rsidRDefault="00C64ED7" w:rsidP="004001F7">
                      <w:pPr>
                        <w:jc w:val="both"/>
                        <w:rPr>
                          <w:sz w:val="22"/>
                        </w:rPr>
                      </w:pPr>
                      <w:r w:rsidRPr="003D7FDB">
                        <w:rPr>
                          <w:sz w:val="22"/>
                        </w:rPr>
                        <w:t xml:space="preserve">Regulatory approaches globally have begun to address environmental impacts collectively, though with certain challenges remaining. Currently, about 40 per cent of countries have developed e-waste policies, </w:t>
                      </w:r>
                      <w:r>
                        <w:rPr>
                          <w:sz w:val="22"/>
                        </w:rPr>
                        <w:t>measures,</w:t>
                      </w:r>
                      <w:r w:rsidRPr="003D7FDB">
                        <w:rPr>
                          <w:sz w:val="22"/>
                        </w:rPr>
                        <w:t xml:space="preserve"> or regulations, with opportunities to strengthen their enforcement and implementation. The field of ICT laws and regulation, including the licensing and regulation of the ICT/telecommunications sector, is still exploring effective ways to address the sector's environmental impact. Additional approaches include mandatory emission reporting requirements, energy consumption monitoring, voluntary climate data disclosure programs, and market reforms to encourage renewable energy investments in the telecommunications sector.</w:t>
                      </w:r>
                    </w:p>
                  </w:txbxContent>
                </v:textbox>
                <w10:wrap type="square"/>
              </v:shape>
            </w:pict>
          </mc:Fallback>
        </mc:AlternateContent>
      </w:r>
      <w:r w:rsidR="00C64ED7" w:rsidRPr="006975BE">
        <w:rPr>
          <w:rFonts w:asciiTheme="minorHAnsi" w:eastAsiaTheme="minorEastAsia" w:hAnsiTheme="minorHAnsi" w:cstheme="minorBidi"/>
          <w:spacing w:val="-4"/>
          <w:szCs w:val="24"/>
          <w:lang w:eastAsia="zh-CN"/>
        </w:rPr>
        <w:t>5.4</w:t>
      </w:r>
      <w:r w:rsidR="00C64ED7" w:rsidRPr="006975BE">
        <w:rPr>
          <w:rFonts w:asciiTheme="minorHAnsi" w:eastAsiaTheme="minorEastAsia" w:hAnsiTheme="minorHAnsi" w:cstheme="minorBidi"/>
          <w:spacing w:val="-4"/>
          <w:szCs w:val="24"/>
          <w:lang w:eastAsia="zh-CN"/>
        </w:rPr>
        <w:tab/>
      </w:r>
      <w:r w:rsidR="00C64ED7" w:rsidRPr="006975BE">
        <w:rPr>
          <w:rFonts w:asciiTheme="minorHAnsi" w:eastAsiaTheme="minorEastAsia" w:hAnsiTheme="minorHAnsi" w:cstheme="minorBidi"/>
          <w:szCs w:val="24"/>
          <w:lang w:eastAsia="zh-CN"/>
        </w:rPr>
        <w:t xml:space="preserve">A true green digital transformation requires a comprehensive approach that integrates </w:t>
      </w:r>
      <w:r w:rsidR="00C64ED7" w:rsidRPr="006975BE">
        <w:rPr>
          <w:rFonts w:eastAsiaTheme="minorEastAsia" w:cstheme="minorBidi"/>
          <w:szCs w:val="24"/>
        </w:rPr>
        <w:t>environmental</w:t>
      </w:r>
      <w:r w:rsidR="00C64ED7" w:rsidRPr="006975BE">
        <w:rPr>
          <w:rFonts w:asciiTheme="minorHAnsi" w:eastAsiaTheme="minorEastAsia" w:hAnsiTheme="minorHAnsi" w:cstheme="minorBidi"/>
          <w:szCs w:val="24"/>
          <w:lang w:eastAsia="zh-CN"/>
        </w:rPr>
        <w:t xml:space="preserve"> sustainability across the digital ecosystem, including energy efficiency promotion, implementing digital carbon management practices that prioritize material efficiency, adopting circular economy principles, </w:t>
      </w:r>
      <w:r w:rsidR="00C64ED7" w:rsidRPr="006975BE">
        <w:rPr>
          <w:rFonts w:eastAsiaTheme="minorEastAsia"/>
          <w:szCs w:val="24"/>
        </w:rPr>
        <w:t>including</w:t>
      </w:r>
      <w:r w:rsidR="00C64ED7" w:rsidRPr="006975BE">
        <w:rPr>
          <w:rFonts w:asciiTheme="minorHAnsi" w:eastAsiaTheme="minorEastAsia" w:hAnsiTheme="minorHAnsi" w:cstheme="minorBidi"/>
          <w:szCs w:val="24"/>
          <w:lang w:eastAsia="zh-CN"/>
        </w:rPr>
        <w:t xml:space="preserve"> promoting the reuse of equipment. These strategies minimize the environmental impact of digital infrastructure by reducing the demand for new resources. The circular economy approach emphasizes designing ICT products for durability, </w:t>
      </w:r>
      <w:r w:rsidR="00C64ED7" w:rsidRPr="006975BE">
        <w:rPr>
          <w:rFonts w:eastAsiaTheme="minorEastAsia"/>
          <w:szCs w:val="24"/>
        </w:rPr>
        <w:t>repairability</w:t>
      </w:r>
      <w:r w:rsidR="00C64ED7" w:rsidRPr="006975BE">
        <w:rPr>
          <w:rFonts w:asciiTheme="minorHAnsi" w:eastAsiaTheme="minorEastAsia" w:hAnsiTheme="minorHAnsi" w:cstheme="minorBidi"/>
          <w:szCs w:val="24"/>
          <w:lang w:eastAsia="zh-CN"/>
        </w:rPr>
        <w:t>, and recyclability, thereby extending product lifecycles and reducing waste. Furthermore, international collaboration is essential for developing sustainable e-waste management systems that ensure proper collection, refurbishment, recycling, and environmentally sound disposal of electronic devices. These combined strategies support a more sustainable and resilient global ICT sector while reducing both resource consumption and emissions.</w:t>
      </w:r>
      <w:r w:rsidR="00C64ED7" w:rsidRPr="006975BE">
        <w:rPr>
          <w:rFonts w:asciiTheme="minorHAnsi" w:eastAsiaTheme="minorEastAsia" w:hAnsiTheme="minorHAnsi" w:cstheme="minorBidi"/>
          <w:sz w:val="22"/>
          <w:szCs w:val="22"/>
          <w:lang w:eastAsia="zh-CN"/>
        </w:rPr>
        <w:t xml:space="preserve"> </w:t>
      </w:r>
    </w:p>
    <w:p w14:paraId="220B8A24" w14:textId="77777777" w:rsidR="00C64ED7" w:rsidRPr="006975BE" w:rsidRDefault="00C64ED7" w:rsidP="00C51599">
      <w:pPr>
        <w:pStyle w:val="enumlev1"/>
        <w:jc w:val="both"/>
        <w:rPr>
          <w:rFonts w:eastAsiaTheme="minorEastAsia"/>
          <w:lang w:eastAsia="zh-CN"/>
        </w:rPr>
      </w:pPr>
      <w:r w:rsidRPr="006975BE">
        <w:rPr>
          <w:rFonts w:eastAsiaTheme="minorEastAsia"/>
          <w:bCs/>
          <w:lang w:eastAsia="zh-CN"/>
        </w:rPr>
        <w:t>5.4.1</w:t>
      </w:r>
      <w:r w:rsidRPr="006975BE">
        <w:rPr>
          <w:rFonts w:eastAsiaTheme="minorEastAsia"/>
          <w:bCs/>
          <w:lang w:eastAsia="zh-CN"/>
        </w:rPr>
        <w:tab/>
      </w:r>
      <w:r w:rsidRPr="006975BE">
        <w:rPr>
          <w:rFonts w:eastAsiaTheme="minorEastAsia"/>
          <w:lang w:eastAsia="zh-CN"/>
        </w:rPr>
        <w:t>Economies in transition face specific challenges in meeting Paris Agreement targets and facilitating green digital transformation:</w:t>
      </w:r>
    </w:p>
    <w:p w14:paraId="2FBF54EE" w14:textId="77777777" w:rsidR="00C64ED7" w:rsidRPr="006975BE" w:rsidRDefault="00C64ED7" w:rsidP="00C51599">
      <w:pPr>
        <w:pStyle w:val="enumlev2"/>
        <w:jc w:val="both"/>
        <w:rPr>
          <w:rFonts w:eastAsiaTheme="minorEastAsia"/>
          <w:lang w:val="en-US" w:eastAsia="zh-CN"/>
        </w:rPr>
      </w:pPr>
      <w:r w:rsidRPr="006975BE">
        <w:rPr>
          <w:rFonts w:eastAsiaTheme="minorEastAsia"/>
          <w:lang w:val="en-US" w:eastAsia="zh-CN"/>
        </w:rPr>
        <w:t>•</w:t>
      </w:r>
      <w:r w:rsidRPr="006975BE">
        <w:rPr>
          <w:rFonts w:eastAsiaTheme="minorEastAsia"/>
          <w:lang w:val="en-US" w:eastAsia="zh-CN"/>
        </w:rPr>
        <w:tab/>
        <w:t>Many developing countries are limited in their ability to attract necessary investment levels to implement Paris Agreement targets</w:t>
      </w:r>
    </w:p>
    <w:p w14:paraId="5A29FDBC" w14:textId="77777777" w:rsidR="00C64ED7" w:rsidRPr="006975BE" w:rsidRDefault="00C64ED7" w:rsidP="00C51599">
      <w:pPr>
        <w:pStyle w:val="enumlev2"/>
        <w:jc w:val="both"/>
        <w:rPr>
          <w:rFonts w:eastAsiaTheme="minorEastAsia"/>
          <w:lang w:val="en-US" w:eastAsia="zh-CN"/>
        </w:rPr>
      </w:pPr>
      <w:r w:rsidRPr="006975BE">
        <w:rPr>
          <w:rFonts w:eastAsiaTheme="minorEastAsia"/>
          <w:lang w:val="en-US" w:eastAsia="zh-CN"/>
        </w:rPr>
        <w:t>•</w:t>
      </w:r>
      <w:r w:rsidRPr="006975BE">
        <w:rPr>
          <w:rFonts w:eastAsiaTheme="minorEastAsia"/>
          <w:lang w:val="en-US" w:eastAsia="zh-CN"/>
        </w:rPr>
        <w:tab/>
        <w:t>Recent research by UNCTAD has revealed that 3.3 billion people live in countries that spend more on servicing public debt than on public health or educational services</w:t>
      </w:r>
    </w:p>
    <w:p w14:paraId="17F7F5E2" w14:textId="77777777" w:rsidR="00C64ED7" w:rsidRPr="006975BE" w:rsidRDefault="00C64ED7" w:rsidP="007B20D8">
      <w:pPr>
        <w:jc w:val="both"/>
        <w:rPr>
          <w:rFonts w:eastAsiaTheme="minorEastAsia"/>
          <w:szCs w:val="24"/>
          <w:lang w:eastAsia="zh-CN"/>
        </w:rPr>
      </w:pPr>
      <w:r w:rsidRPr="006975BE">
        <w:rPr>
          <w:rFonts w:asciiTheme="minorHAnsi" w:eastAsiaTheme="minorEastAsia" w:hAnsiTheme="minorHAnsi" w:cstheme="minorHAnsi"/>
          <w:szCs w:val="24"/>
          <w:lang w:val="en-US" w:eastAsia="zh-CN"/>
        </w:rPr>
        <w:t xml:space="preserve">For emerging and developing countries, interest payments outpace climate-related investments, thus retarding climate </w:t>
      </w:r>
      <w:r w:rsidRPr="006975BE">
        <w:rPr>
          <w:rFonts w:eastAsiaTheme="minorEastAsia"/>
          <w:szCs w:val="24"/>
          <w:lang w:eastAsia="zh-CN"/>
        </w:rPr>
        <w:t>change</w:t>
      </w:r>
      <w:r w:rsidRPr="006975BE">
        <w:rPr>
          <w:rFonts w:asciiTheme="minorHAnsi" w:eastAsiaTheme="minorEastAsia" w:hAnsiTheme="minorHAnsi" w:cstheme="minorHAnsi"/>
          <w:szCs w:val="24"/>
          <w:lang w:val="en-US" w:eastAsia="zh-CN"/>
        </w:rPr>
        <w:t xml:space="preserve"> adaptation and mitigation efforts</w:t>
      </w:r>
      <w:r w:rsidRPr="006975BE">
        <w:rPr>
          <w:rFonts w:asciiTheme="minorHAnsi" w:eastAsiaTheme="minorEastAsia" w:hAnsiTheme="minorHAnsi" w:cstheme="minorHAnsi"/>
          <w:szCs w:val="24"/>
          <w:lang w:eastAsia="zh-CN"/>
        </w:rPr>
        <w:t xml:space="preserve">. This leaves limited capacity for public </w:t>
      </w:r>
      <w:r w:rsidRPr="006975BE">
        <w:rPr>
          <w:rFonts w:eastAsiaTheme="minorEastAsia"/>
          <w:szCs w:val="24"/>
          <w:lang w:eastAsia="zh-CN"/>
        </w:rPr>
        <w:t xml:space="preserve">funding of critical ICT initiatives. </w:t>
      </w:r>
    </w:p>
    <w:p w14:paraId="1EA097C0" w14:textId="77777777" w:rsidR="00C64ED7" w:rsidRPr="006975BE" w:rsidRDefault="00C64ED7" w:rsidP="007B20D8">
      <w:pPr>
        <w:jc w:val="both"/>
        <w:rPr>
          <w:rFonts w:eastAsiaTheme="minorEastAsia"/>
          <w:lang w:eastAsia="zh-CN"/>
        </w:rPr>
      </w:pPr>
    </w:p>
    <w:p w14:paraId="11EA6084" w14:textId="77777777" w:rsidR="00C64ED7" w:rsidRPr="006975BE" w:rsidRDefault="00C64ED7" w:rsidP="002B312F">
      <w:pPr>
        <w:jc w:val="center"/>
        <w:rPr>
          <w:rFonts w:eastAsiaTheme="minorEastAsia"/>
          <w:lang w:eastAsia="zh-CN"/>
        </w:rPr>
      </w:pPr>
      <w:r w:rsidRPr="006975BE">
        <w:rPr>
          <w:rFonts w:eastAsiaTheme="minorEastAsia"/>
          <w:noProof/>
          <w:lang w:eastAsia="zh-CN"/>
        </w:rPr>
        <w:lastRenderedPageBreak/>
        <mc:AlternateContent>
          <mc:Choice Requires="wps">
            <w:drawing>
              <wp:inline distT="0" distB="0" distL="0" distR="0" wp14:anchorId="6535E406" wp14:editId="5F79AB52">
                <wp:extent cx="5580000" cy="1404620"/>
                <wp:effectExtent l="0" t="0" r="20955" b="16510"/>
                <wp:docPr id="142542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2700">
                          <a:solidFill>
                            <a:srgbClr val="4F81BD">
                              <a:lumMod val="100000"/>
                              <a:lumOff val="0"/>
                            </a:srgbClr>
                          </a:solidFill>
                          <a:miter lim="800000"/>
                          <a:headEnd/>
                          <a:tailEnd/>
                        </a:ln>
                      </wps:spPr>
                      <wps:txbx>
                        <w:txbxContent>
                          <w:p w14:paraId="4C2559D2" w14:textId="77777777" w:rsidR="00C64ED7" w:rsidRPr="006D2DEA" w:rsidRDefault="00C64ED7" w:rsidP="004001F7">
                            <w:pPr>
                              <w:rPr>
                                <w:color w:val="4F81BD" w:themeColor="accent1"/>
                                <w:sz w:val="22"/>
                              </w:rPr>
                            </w:pPr>
                            <w:r w:rsidRPr="006D2DEA">
                              <w:rPr>
                                <w:color w:val="4F81BD" w:themeColor="accent1"/>
                                <w:sz w:val="22"/>
                              </w:rPr>
                              <w:t>Bridging the gap:</w:t>
                            </w:r>
                          </w:p>
                          <w:p w14:paraId="4FF39F69" w14:textId="77777777" w:rsidR="00C64ED7" w:rsidRPr="00CD2506" w:rsidRDefault="00C64ED7" w:rsidP="004001F7">
                            <w:pPr>
                              <w:jc w:val="both"/>
                              <w:rPr>
                                <w:b/>
                              </w:rPr>
                            </w:pPr>
                            <w:r w:rsidRPr="00573810">
                              <w:rPr>
                                <w:sz w:val="22"/>
                              </w:rPr>
                              <w:t xml:space="preserve">The lack of comprehensive data on emissions remains a significant gap in the ICT sector. Addressing this requires approaches such as raising awareness, developing harmonized indicators and knowledge, promoting contributions and investments, sharing best practices, and building capacity. These elements are critical to achieving green digital transformation for climate change mitigation and environmental sustainability. </w:t>
                            </w:r>
                            <w:r w:rsidRPr="00573810">
                              <w:rPr>
                                <w:sz w:val="22"/>
                              </w:rPr>
                              <w:t>In particular, ITU recommendations and informative deliverables provide industries with essential tools for advancing progress towards the SDGs.</w:t>
                            </w:r>
                          </w:p>
                        </w:txbxContent>
                      </wps:txbx>
                      <wps:bodyPr rot="0" vert="horz" wrap="square" lIns="91440" tIns="45720" rIns="91440" bIns="45720" anchor="t" anchorCtr="0" upright="1">
                        <a:spAutoFit/>
                      </wps:bodyPr>
                    </wps:wsp>
                  </a:graphicData>
                </a:graphic>
              </wp:inline>
            </w:drawing>
          </mc:Choice>
          <mc:Fallback>
            <w:pict>
              <v:shape w14:anchorId="6535E406" id="_x0000_s1032"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" strokecolor="#4f81bd" strokeweight="1pt">
                <v:textbox style="mso-fit-shape-to-text:t">
                  <w:txbxContent>
                    <w:p w14:paraId="4C2559D2" w14:textId="77777777" w:rsidR="00C64ED7" w:rsidRPr="006D2DEA" w:rsidRDefault="00C64ED7" w:rsidP="004001F7">
                      <w:pPr>
                        <w:rPr>
                          <w:color w:val="4F81BD" w:themeColor="accent1"/>
                          <w:sz w:val="22"/>
                        </w:rPr>
                      </w:pPr>
                      <w:r w:rsidRPr="006D2DEA">
                        <w:rPr>
                          <w:color w:val="4F81BD" w:themeColor="accent1"/>
                          <w:sz w:val="22"/>
                        </w:rPr>
                        <w:t>Bridging the gap:</w:t>
                      </w:r>
                    </w:p>
                    <w:p w14:paraId="4FF39F69" w14:textId="77777777" w:rsidR="00C64ED7" w:rsidRPr="00CD2506" w:rsidRDefault="00C64ED7" w:rsidP="004001F7">
                      <w:pPr>
                        <w:jc w:val="both"/>
                        <w:rPr>
                          <w:b/>
                        </w:rPr>
                      </w:pPr>
                      <w:r w:rsidRPr="00573810">
                        <w:rPr>
                          <w:sz w:val="22"/>
                        </w:rPr>
                        <w:t xml:space="preserve">The lack of comprehensive data on emissions remains a significant gap in the ICT sector. Addressing this requires approaches such as raising awareness, developing harmonized indicators and knowledge, promoting contributions and investments, sharing best practices, and building capacity. These elements are critical to achieving green digital transformation for climate change mitigation and environmental sustainability. </w:t>
                      </w:r>
                      <w:proofErr w:type="gramStart"/>
                      <w:r w:rsidRPr="00573810">
                        <w:rPr>
                          <w:sz w:val="22"/>
                        </w:rPr>
                        <w:t>In particular, ITU</w:t>
                      </w:r>
                      <w:proofErr w:type="gramEnd"/>
                      <w:r w:rsidRPr="00573810">
                        <w:rPr>
                          <w:sz w:val="22"/>
                        </w:rPr>
                        <w:t xml:space="preserve"> recommendations and informative deliverables provide industries with essential tools for advancing progress towards the SDGs.</w:t>
                      </w:r>
                    </w:p>
                  </w:txbxContent>
                </v:textbox>
                <w10:anchorlock/>
              </v:shape>
            </w:pict>
          </mc:Fallback>
        </mc:AlternateContent>
      </w:r>
    </w:p>
    <w:p w14:paraId="67857188" w14:textId="77777777" w:rsidR="00C64ED7" w:rsidRPr="006975BE" w:rsidRDefault="00C64ED7" w:rsidP="00C51599">
      <w:pPr>
        <w:pStyle w:val="enumlev1"/>
        <w:jc w:val="both"/>
        <w:rPr>
          <w:rFonts w:eastAsiaTheme="minorEastAsia"/>
          <w:szCs w:val="24"/>
          <w:lang w:eastAsia="zh-CN"/>
        </w:rPr>
      </w:pPr>
      <w:r w:rsidRPr="006975BE">
        <w:rPr>
          <w:rFonts w:eastAsiaTheme="minorEastAsia"/>
          <w:szCs w:val="24"/>
          <w:lang w:eastAsia="zh-CN"/>
        </w:rPr>
        <w:t>5.4.2</w:t>
      </w:r>
      <w:r w:rsidRPr="006975BE">
        <w:rPr>
          <w:rFonts w:eastAsiaTheme="minorEastAsia"/>
          <w:szCs w:val="24"/>
          <w:lang w:eastAsia="zh-CN"/>
        </w:rPr>
        <w:tab/>
        <w:t>In addition to the green digital transformation strategies outlined in this Report, consideration should also be given to:</w:t>
      </w:r>
    </w:p>
    <w:p w14:paraId="0561567C" w14:textId="77777777" w:rsidR="00C64ED7" w:rsidRPr="006975BE" w:rsidRDefault="00C64ED7" w:rsidP="00C51599">
      <w:pPr>
        <w:pStyle w:val="enumlev2"/>
        <w:jc w:val="both"/>
        <w:rPr>
          <w:rFonts w:eastAsiaTheme="minorEastAsia"/>
          <w:szCs w:val="24"/>
          <w:lang w:eastAsia="zh-CN"/>
        </w:rPr>
      </w:pPr>
      <w:r w:rsidRPr="006975BE">
        <w:rPr>
          <w:rFonts w:eastAsiaTheme="minorEastAsia"/>
          <w:szCs w:val="24"/>
          <w:lang w:val="en-US" w:eastAsia="zh-CN"/>
        </w:rPr>
        <w:t>•</w:t>
      </w:r>
      <w:r w:rsidRPr="006975BE">
        <w:rPr>
          <w:rFonts w:eastAsiaTheme="minorEastAsia"/>
          <w:szCs w:val="24"/>
          <w:lang w:val="en-US" w:eastAsia="zh-CN"/>
        </w:rPr>
        <w:tab/>
      </w:r>
      <w:r w:rsidRPr="006975BE">
        <w:rPr>
          <w:rFonts w:eastAsiaTheme="minorEastAsia"/>
          <w:szCs w:val="24"/>
          <w:lang w:eastAsia="zh-CN"/>
        </w:rPr>
        <w:t>Promoting infrastructure sharing, where technically and economically feasible, to reduce redundant infrastructure, minimize resource consumption, and lower energy usage.</w:t>
      </w:r>
    </w:p>
    <w:p w14:paraId="023F91FE" w14:textId="77777777" w:rsidR="00C64ED7" w:rsidRPr="006975BE" w:rsidRDefault="00C64ED7" w:rsidP="00C51599">
      <w:pPr>
        <w:pStyle w:val="enumlev2"/>
        <w:jc w:val="both"/>
        <w:rPr>
          <w:rFonts w:eastAsiaTheme="minorEastAsia"/>
          <w:szCs w:val="24"/>
          <w:lang w:eastAsia="zh-CN"/>
        </w:rPr>
      </w:pPr>
      <w:r w:rsidRPr="006975BE">
        <w:rPr>
          <w:rFonts w:eastAsiaTheme="minorEastAsia"/>
          <w:szCs w:val="24"/>
          <w:lang w:val="en-US" w:eastAsia="zh-CN"/>
        </w:rPr>
        <w:t>•</w:t>
      </w:r>
      <w:r w:rsidRPr="006975BE">
        <w:rPr>
          <w:rFonts w:eastAsiaTheme="minorEastAsia"/>
          <w:szCs w:val="24"/>
          <w:lang w:val="en-US" w:eastAsia="zh-CN"/>
        </w:rPr>
        <w:tab/>
      </w:r>
      <w:r w:rsidRPr="006975BE">
        <w:rPr>
          <w:rFonts w:eastAsiaTheme="minorEastAsia"/>
          <w:szCs w:val="24"/>
          <w:lang w:eastAsia="zh-CN"/>
        </w:rPr>
        <w:t>Responsible communications tower site selection and deployment to help minimize disruption or destruction of sensitive ecosystems and wildlife habitats.</w:t>
      </w:r>
    </w:p>
    <w:p w14:paraId="5BD06090" w14:textId="77777777" w:rsidR="00C64ED7" w:rsidRPr="006975BE" w:rsidRDefault="00C64ED7" w:rsidP="00C51599">
      <w:pPr>
        <w:pStyle w:val="enumlev2"/>
        <w:jc w:val="both"/>
        <w:rPr>
          <w:rFonts w:eastAsiaTheme="minorEastAsia"/>
          <w:szCs w:val="24"/>
          <w:lang w:eastAsia="zh-CN"/>
        </w:rPr>
      </w:pPr>
      <w:r w:rsidRPr="006975BE">
        <w:rPr>
          <w:rFonts w:eastAsiaTheme="minorEastAsia"/>
          <w:szCs w:val="24"/>
          <w:lang w:val="en-US" w:eastAsia="zh-CN"/>
        </w:rPr>
        <w:t>•</w:t>
      </w:r>
      <w:r w:rsidRPr="006975BE">
        <w:rPr>
          <w:rFonts w:eastAsiaTheme="minorEastAsia"/>
          <w:szCs w:val="24"/>
          <w:lang w:val="en-US" w:eastAsia="zh-CN"/>
        </w:rPr>
        <w:tab/>
      </w:r>
      <w:r w:rsidRPr="006975BE">
        <w:rPr>
          <w:rFonts w:eastAsiaTheme="minorEastAsia"/>
          <w:szCs w:val="24"/>
          <w:lang w:eastAsia="zh-CN"/>
        </w:rPr>
        <w:t>Ongoing research on the potential impacts of electromagnetic fields on wildlife.</w:t>
      </w:r>
    </w:p>
    <w:p w14:paraId="6415635B" w14:textId="77777777" w:rsidR="00C64ED7" w:rsidRPr="006975BE" w:rsidRDefault="00C64ED7" w:rsidP="00C51599">
      <w:pPr>
        <w:pStyle w:val="enumlev2"/>
        <w:jc w:val="both"/>
        <w:rPr>
          <w:rFonts w:eastAsiaTheme="minorEastAsia"/>
          <w:szCs w:val="24"/>
          <w:lang w:eastAsia="zh-CN"/>
        </w:rPr>
      </w:pPr>
      <w:r w:rsidRPr="006975BE">
        <w:rPr>
          <w:rFonts w:eastAsiaTheme="minorEastAsia"/>
          <w:szCs w:val="24"/>
          <w:lang w:val="en-US" w:eastAsia="zh-CN"/>
        </w:rPr>
        <w:t>•</w:t>
      </w:r>
      <w:r w:rsidRPr="006975BE">
        <w:rPr>
          <w:rFonts w:eastAsiaTheme="minorEastAsia"/>
          <w:szCs w:val="24"/>
          <w:lang w:val="en-US" w:eastAsia="zh-CN"/>
        </w:rPr>
        <w:tab/>
      </w:r>
      <w:r w:rsidRPr="006975BE">
        <w:rPr>
          <w:rFonts w:eastAsiaTheme="minorEastAsia"/>
          <w:szCs w:val="24"/>
          <w:lang w:eastAsia="zh-CN"/>
        </w:rPr>
        <w:t xml:space="preserve">Establishing the necessary policies, regulations, facilities, and mechanisms to encourage the recycling of ICT equipment and the environmentally sensitive disposal of e-waste. </w:t>
      </w:r>
    </w:p>
    <w:p w14:paraId="2391923F" w14:textId="42334BAF" w:rsidR="00C64ED7" w:rsidRPr="006975BE" w:rsidRDefault="00C64ED7" w:rsidP="00C51599">
      <w:pPr>
        <w:pStyle w:val="enumlev2"/>
        <w:jc w:val="both"/>
        <w:rPr>
          <w:rFonts w:eastAsiaTheme="minorEastAsia"/>
          <w:szCs w:val="24"/>
          <w:lang w:eastAsia="zh-CN"/>
        </w:rPr>
      </w:pPr>
      <w:r w:rsidRPr="006975BE">
        <w:rPr>
          <w:rFonts w:eastAsiaTheme="minorEastAsia"/>
          <w:szCs w:val="24"/>
          <w:lang w:val="en-US" w:eastAsia="zh-CN"/>
        </w:rPr>
        <w:t>•</w:t>
      </w:r>
      <w:r w:rsidRPr="006975BE">
        <w:rPr>
          <w:rFonts w:eastAsiaTheme="minorEastAsia"/>
          <w:szCs w:val="24"/>
          <w:lang w:val="en-US" w:eastAsia="zh-CN"/>
        </w:rPr>
        <w:tab/>
      </w:r>
      <w:r w:rsidRPr="006975BE">
        <w:rPr>
          <w:rFonts w:eastAsiaTheme="minorEastAsia"/>
          <w:szCs w:val="24"/>
          <w:lang w:eastAsia="zh-CN"/>
        </w:rPr>
        <w:t>Creating and enhancing digital marketplaces and e-commerce platforms to support the exchange of second-hand goods and refurbished products</w:t>
      </w:r>
      <w:r w:rsidR="00953D17" w:rsidRPr="006975BE">
        <w:rPr>
          <w:rFonts w:eastAsiaTheme="minorEastAsia"/>
          <w:szCs w:val="24"/>
          <w:lang w:eastAsia="zh-CN"/>
        </w:rPr>
        <w:t>.</w:t>
      </w:r>
    </w:p>
    <w:p w14:paraId="22A43BDA" w14:textId="77777777" w:rsidR="00C64ED7" w:rsidRPr="006975BE" w:rsidRDefault="00C64ED7" w:rsidP="007B20D8">
      <w:pPr>
        <w:jc w:val="both"/>
        <w:rPr>
          <w:rFonts w:eastAsiaTheme="minorEastAsia"/>
          <w:szCs w:val="24"/>
          <w:lang w:eastAsia="zh-CN"/>
        </w:rPr>
      </w:pPr>
      <w:r w:rsidRPr="006975BE">
        <w:rPr>
          <w:rFonts w:eastAsiaTheme="minorEastAsia"/>
          <w:szCs w:val="24"/>
          <w:lang w:eastAsia="zh-CN"/>
        </w:rPr>
        <w:t>This approach would align green digital transformation with both environmental and economic sustainability goals while addressing the specific challenges faced by tourism-dependent economies.</w:t>
      </w:r>
    </w:p>
    <w:p w14:paraId="1198E02E" w14:textId="77777777" w:rsidR="00C64ED7" w:rsidRPr="006975BE" w:rsidRDefault="00C64ED7" w:rsidP="007B20D8">
      <w:pPr>
        <w:jc w:val="both"/>
        <w:rPr>
          <w:rFonts w:eastAsiaTheme="minorEastAsia"/>
          <w:szCs w:val="24"/>
          <w:lang w:eastAsia="zh-CN"/>
        </w:rPr>
      </w:pPr>
      <w:r w:rsidRPr="006975BE">
        <w:rPr>
          <w:rFonts w:eastAsiaTheme="minorEastAsia"/>
          <w:szCs w:val="24"/>
          <w:lang w:eastAsia="zh-CN"/>
        </w:rPr>
        <w:t>5.5</w:t>
      </w:r>
      <w:r w:rsidRPr="006975BE">
        <w:rPr>
          <w:rFonts w:eastAsiaTheme="minorEastAsia"/>
          <w:szCs w:val="24"/>
          <w:lang w:eastAsia="zh-CN"/>
        </w:rPr>
        <w:tab/>
        <w:t>Some key aspects to consider in this respect are international partnerships that focus on promoting sustainable development and climate action through technological innovation, including satellite communications and AI for climate monitoring and disaster preparedness, support mechanisms for developing countries through targeted assistance and knowledge sharing, application of circular economy approaches across ICT manufacturing, deployment, and disposal to minimize e-waste, leveraging scalable digital solutions to facilitate climate-resilient services, evaluation of social and environmental benefits of digital transformation initiatives, development of industry best practices to examine how telecommunications/ICTs can reduce negative environmental impacts across sectors.</w:t>
      </w:r>
    </w:p>
    <w:p w14:paraId="30DD1137" w14:textId="77777777" w:rsidR="00C64ED7" w:rsidRPr="006975BE" w:rsidRDefault="00C64ED7" w:rsidP="0001178B">
      <w:r w:rsidRPr="006975BE">
        <w:t>5.6</w:t>
      </w:r>
      <w:r w:rsidRPr="006975BE">
        <w:tab/>
        <w:t>Regarding the theme of green digital transformation, IEG members held differing views on the relevance of specific climate change terminology, and its framing in the context of this theme.</w:t>
      </w:r>
      <w:r w:rsidRPr="006975BE">
        <w:rPr>
          <w:rStyle w:val="FootnoteReference"/>
        </w:rPr>
        <w:footnoteReference w:id="3"/>
      </w:r>
    </w:p>
    <w:p w14:paraId="2BEA2FEB" w14:textId="77777777" w:rsidR="00C64ED7" w:rsidRPr="006975BE" w:rsidRDefault="00C64ED7" w:rsidP="007B20D8">
      <w:pPr>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szCs w:val="24"/>
          <w:lang w:eastAsia="zh-CN"/>
        </w:rPr>
        <w:lastRenderedPageBreak/>
        <w:t>5.7</w:t>
      </w:r>
      <w:r w:rsidRPr="006975BE">
        <w:rPr>
          <w:rFonts w:asciiTheme="minorHAnsi" w:eastAsiaTheme="minorEastAsia" w:hAnsiTheme="minorHAnsi" w:cstheme="minorHAnsi"/>
          <w:szCs w:val="24"/>
          <w:lang w:eastAsia="zh-CN"/>
        </w:rPr>
        <w:tab/>
        <w:t>During the discussion on the Sustainable Development Goals (SDGs), one member state expressed differing views on the inclusion of these references. Other IEG members supported alignment with the SDGs.</w:t>
      </w:r>
      <w:r w:rsidRPr="006975BE">
        <w:rPr>
          <w:rStyle w:val="FootnoteReference"/>
        </w:rPr>
        <w:footnoteReference w:id="4"/>
      </w:r>
    </w:p>
    <w:p w14:paraId="523D020B" w14:textId="77777777" w:rsidR="00C64ED7" w:rsidRPr="006975BE" w:rsidRDefault="00C64ED7" w:rsidP="007B20D8">
      <w:pPr>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szCs w:val="24"/>
          <w:lang w:eastAsia="zh-CN"/>
        </w:rPr>
        <w:t>5.8</w:t>
      </w:r>
      <w:r w:rsidRPr="006975BE">
        <w:rPr>
          <w:rFonts w:asciiTheme="minorHAnsi" w:eastAsiaTheme="minorEastAsia" w:hAnsiTheme="minorHAnsi" w:cstheme="minorHAnsi"/>
          <w:szCs w:val="24"/>
          <w:lang w:eastAsia="zh-CN"/>
        </w:rPr>
        <w:tab/>
        <w:t>Given ongoing global developments in regulatory approaches, industry commitments, and collaborative initiatives, several critical questions emerge regarding how to accelerate and expand the telecommunication/ICT services and technology sector's contribution to environmental sustainability:</w:t>
      </w:r>
    </w:p>
    <w:p w14:paraId="09843844" w14:textId="77777777" w:rsidR="00C64ED7" w:rsidRPr="006975BE" w:rsidRDefault="00C64ED7" w:rsidP="00C51599">
      <w:pPr>
        <w:pStyle w:val="enumlev1"/>
        <w:jc w:val="both"/>
        <w:rPr>
          <w:rFonts w:asciiTheme="minorHAnsi" w:eastAsiaTheme="minorEastAsia" w:hAnsiTheme="minorHAnsi" w:cstheme="minorHAnsi"/>
          <w:szCs w:val="24"/>
          <w:rtl/>
          <w:lang w:eastAsia="zh-CN"/>
        </w:rPr>
      </w:pPr>
      <w:r w:rsidRPr="006975BE">
        <w:rPr>
          <w:rFonts w:asciiTheme="minorHAnsi" w:eastAsiaTheme="minorEastAsia" w:hAnsiTheme="minorHAnsi" w:cstheme="minorHAnsi"/>
          <w:szCs w:val="24"/>
          <w:lang w:eastAsia="zh-CN"/>
        </w:rPr>
        <w:t>5.8.1</w:t>
      </w:r>
      <w:r w:rsidRPr="006975BE">
        <w:rPr>
          <w:rFonts w:asciiTheme="minorHAnsi" w:eastAsiaTheme="minorEastAsia" w:hAnsiTheme="minorHAnsi" w:cstheme="minorHAnsi"/>
          <w:szCs w:val="24"/>
          <w:lang w:eastAsia="zh-CN"/>
        </w:rPr>
        <w:tab/>
        <w:t>What actions can ITU take to build</w:t>
      </w:r>
      <w:r w:rsidRPr="006975BE">
        <w:rPr>
          <w:rFonts w:asciiTheme="minorHAnsi" w:eastAsiaTheme="minorEastAsia" w:hAnsiTheme="minorHAnsi" w:cstheme="minorHAnsi"/>
          <w:szCs w:val="24"/>
          <w:rtl/>
          <w:lang w:eastAsia="zh-CN"/>
        </w:rPr>
        <w:t xml:space="preserve"> </w:t>
      </w:r>
      <w:r w:rsidRPr="006975BE">
        <w:rPr>
          <w:rFonts w:asciiTheme="minorHAnsi" w:eastAsiaTheme="minorEastAsia" w:hAnsiTheme="minorHAnsi" w:cstheme="minorHAnsi"/>
          <w:szCs w:val="24"/>
          <w:lang w:eastAsia="zh-CN"/>
        </w:rPr>
        <w:t>international partnerships that promote application of green digital transformation for sustainable development and climate action?</w:t>
      </w:r>
    </w:p>
    <w:p w14:paraId="306F3B22" w14:textId="35B95E1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5.8.2</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How can telecommunications/ICTs, including satellite communication and I</w:t>
      </w:r>
      <w:r w:rsidR="00423BB8" w:rsidRPr="006975BE">
        <w:rPr>
          <w:rFonts w:asciiTheme="minorHAnsi" w:eastAsiaTheme="minorEastAsia" w:hAnsiTheme="minorHAnsi" w:cstheme="minorHAnsi"/>
          <w:szCs w:val="24"/>
          <w:lang w:eastAsia="zh-CN"/>
        </w:rPr>
        <w:t xml:space="preserve">nternet </w:t>
      </w:r>
      <w:r w:rsidRPr="006975BE">
        <w:rPr>
          <w:rFonts w:asciiTheme="minorHAnsi" w:eastAsiaTheme="minorEastAsia" w:hAnsiTheme="minorHAnsi" w:cstheme="minorHAnsi"/>
          <w:szCs w:val="24"/>
          <w:lang w:eastAsia="zh-CN"/>
        </w:rPr>
        <w:t>o</w:t>
      </w:r>
      <w:r w:rsidR="00423BB8" w:rsidRPr="006975BE">
        <w:rPr>
          <w:rFonts w:asciiTheme="minorHAnsi" w:eastAsiaTheme="minorEastAsia" w:hAnsiTheme="minorHAnsi" w:cstheme="minorHAnsi"/>
          <w:szCs w:val="24"/>
          <w:lang w:eastAsia="zh-CN"/>
        </w:rPr>
        <w:t xml:space="preserve">f </w:t>
      </w:r>
      <w:r w:rsidRPr="006975BE">
        <w:rPr>
          <w:rFonts w:asciiTheme="minorHAnsi" w:eastAsiaTheme="minorEastAsia" w:hAnsiTheme="minorHAnsi" w:cstheme="minorHAnsi"/>
          <w:szCs w:val="24"/>
          <w:lang w:eastAsia="zh-CN"/>
        </w:rPr>
        <w:t>T</w:t>
      </w:r>
      <w:r w:rsidR="00423BB8" w:rsidRPr="006975BE">
        <w:rPr>
          <w:rFonts w:asciiTheme="minorHAnsi" w:eastAsiaTheme="minorEastAsia" w:hAnsiTheme="minorHAnsi" w:cstheme="minorHAnsi"/>
          <w:szCs w:val="24"/>
          <w:lang w:eastAsia="zh-CN"/>
        </w:rPr>
        <w:t>hings</w:t>
      </w:r>
      <w:r w:rsidRPr="006975BE">
        <w:rPr>
          <w:rFonts w:asciiTheme="minorHAnsi" w:eastAsiaTheme="minorEastAsia" w:hAnsiTheme="minorHAnsi" w:cstheme="minorHAnsi"/>
          <w:szCs w:val="24"/>
          <w:lang w:eastAsia="zh-CN"/>
        </w:rPr>
        <w:t xml:space="preserve">, support developing countries in achieving a green digital transformation, particularly through improved climate monitoring, disaster preparedness, and precision agriculture in remote and underserved areas? </w:t>
      </w:r>
    </w:p>
    <w:p w14:paraId="363C4432" w14:textId="7777777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5.8.3</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 xml:space="preserve">What are the good practices of telecommunications/ICTs in reducing the negative impact of industries on the environment, including but not limited to mechanisms such as the integration of circular economy principles in ICT manufacturing, deployment, and disposal to minimize e-waste? </w:t>
      </w:r>
    </w:p>
    <w:p w14:paraId="4110F886" w14:textId="7777777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5.8.4</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How can international standards assist governments and the ICT sector in reducing the environmental impact of telecommunications/ICTs, while also enabling them to leverage ICT solutions to drive positive environmental impacts within the ICT sector and beyond?</w:t>
      </w:r>
    </w:p>
    <w:p w14:paraId="431AF5A9" w14:textId="7777777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5.8.5</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How can policymakers help to reduce the environmental impact of telecommunications/ICTs, and to facilitate ICT’s contribution to sustainability and climate action?</w:t>
      </w:r>
    </w:p>
    <w:p w14:paraId="7C4F2B15" w14:textId="7777777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5.8.6</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Leveraging existing efforts like Green Digital Action, how can governments, industry, UN agencies, academia and civil society fast-track industry-wide commitments to address climate challenges, put digital solutions at the forefront of climate action and ensure digital literacy and capacity-building initiatives empower communities to participate in green digital ecosystems?</w:t>
      </w:r>
    </w:p>
    <w:p w14:paraId="0434CAE8" w14:textId="77777777" w:rsidR="00C64ED7" w:rsidRPr="006975BE" w:rsidRDefault="00C64ED7" w:rsidP="00C51599">
      <w:pPr>
        <w:pStyle w:val="enumlev1"/>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bCs/>
          <w:szCs w:val="24"/>
          <w:lang w:eastAsia="zh-CN"/>
        </w:rPr>
        <w:t>5.8.7</w:t>
      </w:r>
      <w:r w:rsidRPr="006975BE">
        <w:rPr>
          <w:rFonts w:asciiTheme="minorHAnsi" w:eastAsiaTheme="minorEastAsia" w:hAnsiTheme="minorHAnsi" w:cstheme="minorHAnsi"/>
          <w:bCs/>
          <w:szCs w:val="24"/>
          <w:lang w:eastAsia="zh-CN"/>
        </w:rPr>
        <w:tab/>
      </w:r>
      <w:r w:rsidRPr="006975BE">
        <w:rPr>
          <w:rFonts w:asciiTheme="minorHAnsi" w:eastAsiaTheme="minorEastAsia" w:hAnsiTheme="minorHAnsi" w:cstheme="minorHAnsi"/>
          <w:szCs w:val="24"/>
          <w:lang w:eastAsia="zh-CN"/>
        </w:rPr>
        <w:t>How can policy makers identify most significant data gaps and research needs in green digital transformation, including through development of metrics and indicators to assess environmental footprint and climate impact, and how can this be addressed through international cooperation and knowledge sharing?</w:t>
      </w:r>
    </w:p>
    <w:p w14:paraId="7858C692" w14:textId="77777777"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b/>
          <w:szCs w:val="24"/>
          <w:lang w:eastAsia="zh-CN"/>
        </w:rPr>
      </w:pPr>
      <w:r w:rsidRPr="006975BE">
        <w:rPr>
          <w:rFonts w:asciiTheme="minorHAnsi" w:eastAsiaTheme="minorEastAsia" w:hAnsiTheme="minorHAnsi" w:cstheme="minorBidi"/>
          <w:b/>
          <w:szCs w:val="24"/>
          <w:lang w:eastAsia="zh-CN"/>
        </w:rPr>
        <w:br w:type="page"/>
      </w:r>
    </w:p>
    <w:p w14:paraId="00C6DA43" w14:textId="1A112A37" w:rsidR="00C64ED7" w:rsidRPr="006975BE" w:rsidRDefault="00C64ED7" w:rsidP="00C51599">
      <w:pPr>
        <w:pStyle w:val="Heading1"/>
      </w:pPr>
      <w:r w:rsidRPr="006975BE">
        <w:lastRenderedPageBreak/>
        <w:t>6</w:t>
      </w:r>
      <w:r w:rsidRPr="006975BE">
        <w:tab/>
        <w:t xml:space="preserve">Building </w:t>
      </w:r>
      <w:r w:rsidR="00423BB8" w:rsidRPr="006975BE">
        <w:t>resilient telecomm</w:t>
      </w:r>
      <w:r w:rsidRPr="006975BE">
        <w:t xml:space="preserve">unication/ICT </w:t>
      </w:r>
      <w:r w:rsidR="00423BB8" w:rsidRPr="006975BE">
        <w:t>infrastructure and services</w:t>
      </w:r>
    </w:p>
    <w:p w14:paraId="67AFDC55" w14:textId="12414422"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6.1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Resilient telecommunication/ICT services and technologies </w:t>
      </w:r>
      <w:proofErr w:type="gramStart"/>
      <w:r w:rsidRPr="006975BE">
        <w:rPr>
          <w:rFonts w:asciiTheme="minorHAnsi" w:eastAsiaTheme="minorEastAsia" w:hAnsiTheme="minorHAnsi" w:cstheme="minorBidi"/>
          <w:szCs w:val="24"/>
          <w:lang w:eastAsia="zh-CN"/>
        </w:rPr>
        <w:t>are capable of predicting</w:t>
      </w:r>
      <w:proofErr w:type="gramEnd"/>
      <w:r w:rsidRPr="006975BE">
        <w:rPr>
          <w:rFonts w:asciiTheme="minorHAnsi" w:eastAsiaTheme="minorEastAsia" w:hAnsiTheme="minorHAnsi" w:cstheme="minorBidi"/>
          <w:szCs w:val="24"/>
          <w:lang w:eastAsia="zh-CN"/>
        </w:rPr>
        <w:t xml:space="preserve">, responding to, and withstanding multiple forms of disruption. The resilience of global telecommunications networks depends on multiple factors such as infrastructure (for e.g. terrestrial networks and submarine </w:t>
      </w:r>
      <w:r w:rsidRPr="006975BE">
        <w:rPr>
          <w:rFonts w:eastAsiaTheme="minorEastAsia"/>
          <w:szCs w:val="24"/>
          <w:lang w:eastAsia="zh-CN"/>
        </w:rPr>
        <w:t>cables</w:t>
      </w:r>
      <w:r w:rsidRPr="006975BE">
        <w:rPr>
          <w:rFonts w:asciiTheme="minorHAnsi" w:eastAsiaTheme="minorEastAsia" w:hAnsiTheme="minorHAnsi" w:cstheme="minorBidi"/>
          <w:szCs w:val="24"/>
          <w:lang w:eastAsia="zh-CN"/>
        </w:rPr>
        <w:t xml:space="preserve"> through which over 99% of global internet traffic passes), satellite systems providing critical redundancy and reach, the availability of relevant skills within the economy, public awareness, early warning systems, cybersecurity measures, and mitigations against the impact of climate change.</w:t>
      </w:r>
      <w:r w:rsidRPr="006975BE">
        <w:rPr>
          <w:rFonts w:asciiTheme="minorHAnsi" w:eastAsiaTheme="minorEastAsia" w:hAnsiTheme="minorHAnsi" w:cstheme="minorBidi"/>
          <w:noProof/>
          <w:szCs w:val="24"/>
          <w:lang w:eastAsia="zh-CN"/>
        </w:rPr>
        <w:t xml:space="preserve"> </w:t>
      </w:r>
    </w:p>
    <w:p w14:paraId="60A49839" w14:textId="77777777" w:rsidR="00C64ED7" w:rsidRPr="006975BE" w:rsidRDefault="00C64ED7" w:rsidP="00D10E8A">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noProof/>
          <w:sz w:val="22"/>
          <w:szCs w:val="22"/>
          <w:lang w:eastAsia="zh-CN"/>
        </w:rPr>
        <mc:AlternateContent>
          <mc:Choice Requires="wps">
            <w:drawing>
              <wp:inline distT="0" distB="0" distL="0" distR="0" wp14:anchorId="59AE4D44" wp14:editId="0ED719CD">
                <wp:extent cx="5580000" cy="1404620"/>
                <wp:effectExtent l="0" t="0" r="20955" b="11430"/>
                <wp:docPr id="57266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9050">
                          <a:solidFill>
                            <a:srgbClr val="9BBB59">
                              <a:lumMod val="100000"/>
                              <a:lumOff val="0"/>
                            </a:srgbClr>
                          </a:solidFill>
                          <a:miter lim="800000"/>
                          <a:headEnd/>
                          <a:tailEnd/>
                        </a:ln>
                      </wps:spPr>
                      <wps:txbx>
                        <w:txbxContent>
                          <w:p w14:paraId="76D0880B" w14:textId="77777777" w:rsidR="00C64ED7" w:rsidRPr="00A859A1" w:rsidRDefault="00C64ED7" w:rsidP="004001F7">
                            <w:pPr>
                              <w:rPr>
                                <w:color w:val="9BBB59" w:themeColor="accent3"/>
                                <w:sz w:val="22"/>
                              </w:rPr>
                            </w:pPr>
                            <w:r w:rsidRPr="00A859A1">
                              <w:rPr>
                                <w:color w:val="9BBB59" w:themeColor="accent3"/>
                                <w:sz w:val="22"/>
                              </w:rPr>
                              <w:t xml:space="preserve">Case Study: Submarine Cable Resilience </w:t>
                            </w:r>
                          </w:p>
                          <w:p w14:paraId="3900025C" w14:textId="77777777" w:rsidR="00C64ED7" w:rsidRPr="006D2DEA" w:rsidRDefault="00C64ED7" w:rsidP="004001F7">
                            <w:pPr>
                              <w:jc w:val="both"/>
                              <w:rPr>
                                <w:sz w:val="22"/>
                              </w:rPr>
                            </w:pPr>
                            <w:r w:rsidRPr="006D2DEA">
                              <w:rPr>
                                <w:sz w:val="22"/>
                              </w:rPr>
                              <w:t xml:space="preserve">Recognizing the critical importance of submarine cables to global connectivity and the digital economy, ITU has established an </w:t>
                            </w:r>
                            <w:hyperlink r:id="rId24" w:history="1">
                              <w:r w:rsidRPr="006D2DEA">
                                <w:rPr>
                                  <w:rStyle w:val="Hyperlink"/>
                                  <w:sz w:val="22"/>
                                </w:rPr>
                                <w:t>International Advisory Body for Submarine Cable Resilience</w:t>
                              </w:r>
                            </w:hyperlink>
                            <w:r w:rsidRPr="006D2DEA">
                              <w:rPr>
                                <w:sz w:val="22"/>
                              </w:rPr>
                              <w:t>. This initiative responds to the increasing vulnerability of submarine infrastructure to service outages and aims to enhance the safety, redundancy, and protection of submarine cables through international multistakeholder collaboration. The Advisory Body brings together governments, regulatory authorities, and industry leaders to develop best practices, improve technical frameworks, and strengthen policy approaches for submarine cable protection.</w:t>
                            </w:r>
                          </w:p>
                        </w:txbxContent>
                      </wps:txbx>
                      <wps:bodyPr rot="0" vert="horz" wrap="square" lIns="91440" tIns="45720" rIns="91440" bIns="45720" anchor="t" anchorCtr="0" upright="1">
                        <a:spAutoFit/>
                      </wps:bodyPr>
                    </wps:wsp>
                  </a:graphicData>
                </a:graphic>
              </wp:inline>
            </w:drawing>
          </mc:Choice>
          <mc:Fallback>
            <w:pict>
              <v:shape w14:anchorId="59AE4D44" id="_x0000_s1033"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" strokecolor="#9bbb59" strokeweight="1.5pt">
                <v:textbox style="mso-fit-shape-to-text:t">
                  <w:txbxContent>
                    <w:p w14:paraId="76D0880B" w14:textId="77777777" w:rsidR="00C64ED7" w:rsidRPr="00A859A1" w:rsidRDefault="00C64ED7" w:rsidP="004001F7">
                      <w:pPr>
                        <w:rPr>
                          <w:color w:val="9BBB59" w:themeColor="accent3"/>
                          <w:sz w:val="22"/>
                        </w:rPr>
                      </w:pPr>
                      <w:r w:rsidRPr="00A859A1">
                        <w:rPr>
                          <w:color w:val="9BBB59" w:themeColor="accent3"/>
                          <w:sz w:val="22"/>
                        </w:rPr>
                        <w:t xml:space="preserve">Case Study: Submarine Cable Resilience </w:t>
                      </w:r>
                    </w:p>
                    <w:p w14:paraId="3900025C" w14:textId="77777777" w:rsidR="00C64ED7" w:rsidRPr="006D2DEA" w:rsidRDefault="00C64ED7" w:rsidP="004001F7">
                      <w:pPr>
                        <w:jc w:val="both"/>
                        <w:rPr>
                          <w:sz w:val="22"/>
                        </w:rPr>
                      </w:pPr>
                      <w:r w:rsidRPr="006D2DEA">
                        <w:rPr>
                          <w:sz w:val="22"/>
                        </w:rPr>
                        <w:t xml:space="preserve">Recognizing the critical importance of submarine cables to global connectivity and the digital economy, ITU has established an </w:t>
                      </w:r>
                      <w:hyperlink r:id="rId25" w:history="1">
                        <w:r w:rsidRPr="006D2DEA">
                          <w:rPr>
                            <w:rStyle w:val="Hyperlink"/>
                            <w:sz w:val="22"/>
                          </w:rPr>
                          <w:t>International Advisory Body for Submarine Cable Resilience</w:t>
                        </w:r>
                      </w:hyperlink>
                      <w:r w:rsidRPr="006D2DEA">
                        <w:rPr>
                          <w:sz w:val="22"/>
                        </w:rPr>
                        <w:t>. This initiative responds to the increasing vulnerability of submarine infrastructure to service outages and aims to enhance the safety, redundancy, and protection of submarine cables through international multistakeholder collaboration. The Advisory Body brings together governments, regulatory authorities, and industry leaders to develop best practices, improve technical frameworks, and strengthen policy approaches for submarine cable protection.</w:t>
                      </w:r>
                    </w:p>
                  </w:txbxContent>
                </v:textbox>
                <w10:anchorlock/>
              </v:shape>
            </w:pict>
          </mc:Fallback>
        </mc:AlternateContent>
      </w:r>
    </w:p>
    <w:p w14:paraId="2570A4DD" w14:textId="0B4E8F64"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6.2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New and emerging technologies are transforming the approach towards telecommunication/ICT services and technologies resilience. Advanced capabilities such as AI and machine learning are being utilized for real-time risk detection and predictive maintenance of critical infrastructure. Satellite networks are expanding connectivity options for remote regions. Edge computing and digital twins are </w:t>
      </w:r>
      <w:r w:rsidRPr="006975BE">
        <w:rPr>
          <w:rFonts w:eastAsiaTheme="minorEastAsia"/>
          <w:szCs w:val="24"/>
          <w:lang w:eastAsia="zh-CN"/>
        </w:rPr>
        <w:t>enabling</w:t>
      </w:r>
      <w:r w:rsidRPr="006975BE">
        <w:rPr>
          <w:rFonts w:asciiTheme="minorHAnsi" w:eastAsiaTheme="minorEastAsia" w:hAnsiTheme="minorHAnsi" w:cstheme="minorBidi"/>
          <w:szCs w:val="24"/>
          <w:lang w:eastAsia="zh-CN"/>
        </w:rPr>
        <w:t xml:space="preserve"> faster decision-making and improved system modelling to predict and mitigate vulnerabilities. While offering new capabilities, also introduce new considerations for security management, technical expertise requirements, and the sustainability of new telecommunication/ICT services and technologies.</w:t>
      </w:r>
    </w:p>
    <w:p w14:paraId="6D718A2C" w14:textId="6544C4C5"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6.3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Recognizing this, a comprehensive approach to this issue should be adopted that acknowledges that the resilience of telecommunication/ICT services and technologies cuts across many kinds of challenges, such as climate-related disruptions, cyber incidents, non-malicious technical breakdowns, energy infrastructure, and grid resilience. It should also recognize that enhancing the resilience of telecommunication/ICT services and technologies involves wider initiatives, such as public awareness raising, early warning systems, and risk-management planning. A holistic approach includes the following key considerations</w:t>
      </w:r>
      <w:r w:rsidR="0052665F" w:rsidRPr="006975BE">
        <w:rPr>
          <w:rFonts w:asciiTheme="minorHAnsi" w:eastAsiaTheme="minorEastAsia" w:hAnsiTheme="minorHAnsi" w:cstheme="minorBidi"/>
          <w:szCs w:val="24"/>
          <w:lang w:eastAsia="zh-CN"/>
        </w:rPr>
        <w:t>.</w:t>
      </w:r>
    </w:p>
    <w:p w14:paraId="37CEBCA9" w14:textId="199D3F69"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noProof/>
          <w:szCs w:val="24"/>
          <w:lang w:eastAsia="zh-CN"/>
        </w:rPr>
        <w:lastRenderedPageBreak/>
        <mc:AlternateContent>
          <mc:Choice Requires="wps">
            <w:drawing>
              <wp:anchor distT="0" distB="0" distL="114300" distR="114300" simplePos="0" relativeHeight="251662336" behindDoc="0" locked="0" layoutInCell="1" allowOverlap="1" wp14:anchorId="6D0576C1" wp14:editId="64101EC4">
                <wp:simplePos x="0" y="0"/>
                <wp:positionH relativeFrom="column">
                  <wp:posOffset>3537197</wp:posOffset>
                </wp:positionH>
                <wp:positionV relativeFrom="paragraph">
                  <wp:posOffset>270510</wp:posOffset>
                </wp:positionV>
                <wp:extent cx="2502535" cy="3161665"/>
                <wp:effectExtent l="0" t="0" r="12065" b="19685"/>
                <wp:wrapSquare wrapText="bothSides"/>
                <wp:docPr id="18937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3161665"/>
                        </a:xfrm>
                        <a:prstGeom prst="rect">
                          <a:avLst/>
                        </a:prstGeom>
                        <a:solidFill>
                          <a:srgbClr val="FFFFFF"/>
                        </a:solidFill>
                        <a:ln w="19050">
                          <a:solidFill>
                            <a:srgbClr val="9BBB59">
                              <a:lumMod val="100000"/>
                              <a:lumOff val="0"/>
                            </a:srgbClr>
                          </a:solidFill>
                          <a:miter lim="800000"/>
                          <a:headEnd/>
                          <a:tailEnd/>
                        </a:ln>
                      </wps:spPr>
                      <wps:txbx>
                        <w:txbxContent>
                          <w:p w14:paraId="28F5DF10" w14:textId="59C3B0AD" w:rsidR="00C64ED7" w:rsidRPr="00A859A1" w:rsidRDefault="00C64ED7" w:rsidP="004001F7">
                            <w:pPr>
                              <w:rPr>
                                <w:color w:val="9BBB59" w:themeColor="accent3"/>
                                <w:sz w:val="22"/>
                              </w:rPr>
                            </w:pPr>
                            <w:r w:rsidRPr="00A859A1">
                              <w:rPr>
                                <w:color w:val="9BBB59" w:themeColor="accent3"/>
                                <w:sz w:val="22"/>
                              </w:rPr>
                              <w:t xml:space="preserve">Case Study: Network </w:t>
                            </w:r>
                            <w:r w:rsidR="00CF1C61" w:rsidRPr="00A859A1">
                              <w:rPr>
                                <w:color w:val="9BBB59" w:themeColor="accent3"/>
                                <w:sz w:val="22"/>
                              </w:rPr>
                              <w:t>resilience through standards</w:t>
                            </w:r>
                          </w:p>
                          <w:p w14:paraId="7B7B4472" w14:textId="77777777" w:rsidR="00C64ED7" w:rsidRPr="00A859A1" w:rsidRDefault="00C64ED7" w:rsidP="004001F7">
                            <w:pPr>
                              <w:jc w:val="both"/>
                              <w:rPr>
                                <w:sz w:val="22"/>
                                <w:lang w:eastAsia="ja-JP"/>
                              </w:rPr>
                            </w:pPr>
                            <w:r w:rsidRPr="00A859A1">
                              <w:rPr>
                                <w:sz w:val="22"/>
                                <w:lang w:eastAsia="ja-JP"/>
                              </w:rPr>
                              <w:t xml:space="preserve">To strengthen these global cooperation mechanisms, </w:t>
                            </w:r>
                            <w:r w:rsidRPr="00A859A1">
                              <w:rPr>
                                <w:rFonts w:hint="eastAsia"/>
                                <w:sz w:val="22"/>
                                <w:lang w:eastAsia="ja-JP"/>
                              </w:rPr>
                              <w:t>ITU has been developing international standards (</w:t>
                            </w:r>
                            <w:r w:rsidRPr="00A859A1">
                              <w:rPr>
                                <w:sz w:val="22"/>
                                <w:lang w:eastAsia="ja-JP"/>
                              </w:rPr>
                              <w:t>r</w:t>
                            </w:r>
                            <w:r w:rsidRPr="00A859A1">
                              <w:rPr>
                                <w:rFonts w:hint="eastAsia"/>
                                <w:sz w:val="22"/>
                                <w:lang w:eastAsia="ja-JP"/>
                              </w:rPr>
                              <w:t xml:space="preserve">ecommendations) for enhancing network resiliency. They include protection switching, performance monitoring, fault management, network element management functions for various transport technologies such as </w:t>
                            </w:r>
                            <w:r w:rsidRPr="00A859A1">
                              <w:rPr>
                                <w:rFonts w:hint="eastAsia"/>
                                <w:sz w:val="22"/>
                              </w:rPr>
                              <w:t>optical</w:t>
                            </w:r>
                            <w:r w:rsidRPr="00A859A1">
                              <w:rPr>
                                <w:rFonts w:hint="eastAsia"/>
                                <w:sz w:val="22"/>
                                <w:lang w:eastAsia="ja-JP"/>
                              </w:rPr>
                              <w:t xml:space="preserve"> transport network (OTN), Ethernet, MPLS-TP. Protection switching function pre-assigns some capacity between nodes so that the original traffic can be carried using this capacity in case of a failure on the original route.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6D0576C1" id="_x0000_s1034" type="#_x0000_t202" style="position:absolute;left:0;text-align:left;margin-left:278.5pt;margin-top:21.3pt;width:197.05pt;height:24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" strokecolor="#9bbb59" strokeweight="1.5pt">
                <v:textbox style="mso-fit-shape-to-text:t">
                  <w:txbxContent>
                    <w:p w14:paraId="28F5DF10" w14:textId="59C3B0AD" w:rsidR="00C64ED7" w:rsidRPr="00A859A1" w:rsidRDefault="00C64ED7" w:rsidP="004001F7">
                      <w:pPr>
                        <w:rPr>
                          <w:color w:val="9BBB59" w:themeColor="accent3"/>
                          <w:sz w:val="22"/>
                        </w:rPr>
                      </w:pPr>
                      <w:r w:rsidRPr="00A859A1">
                        <w:rPr>
                          <w:color w:val="9BBB59" w:themeColor="accent3"/>
                          <w:sz w:val="22"/>
                        </w:rPr>
                        <w:t xml:space="preserve">Case Study: Network </w:t>
                      </w:r>
                      <w:r w:rsidR="00CF1C61" w:rsidRPr="00A859A1">
                        <w:rPr>
                          <w:color w:val="9BBB59" w:themeColor="accent3"/>
                          <w:sz w:val="22"/>
                        </w:rPr>
                        <w:t>resilience through standards</w:t>
                      </w:r>
                    </w:p>
                    <w:p w14:paraId="7B7B4472" w14:textId="77777777" w:rsidR="00C64ED7" w:rsidRPr="00A859A1" w:rsidRDefault="00C64ED7" w:rsidP="004001F7">
                      <w:pPr>
                        <w:jc w:val="both"/>
                        <w:rPr>
                          <w:sz w:val="22"/>
                          <w:lang w:eastAsia="ja-JP"/>
                        </w:rPr>
                      </w:pPr>
                      <w:r w:rsidRPr="00A859A1">
                        <w:rPr>
                          <w:sz w:val="22"/>
                          <w:lang w:eastAsia="ja-JP"/>
                        </w:rPr>
                        <w:t xml:space="preserve">To strengthen these global cooperation mechanisms, </w:t>
                      </w:r>
                      <w:r w:rsidRPr="00A859A1">
                        <w:rPr>
                          <w:rFonts w:hint="eastAsia"/>
                          <w:sz w:val="22"/>
                          <w:lang w:eastAsia="ja-JP"/>
                        </w:rPr>
                        <w:t>ITU has been developing international standards (</w:t>
                      </w:r>
                      <w:r w:rsidRPr="00A859A1">
                        <w:rPr>
                          <w:sz w:val="22"/>
                          <w:lang w:eastAsia="ja-JP"/>
                        </w:rPr>
                        <w:t>r</w:t>
                      </w:r>
                      <w:r w:rsidRPr="00A859A1">
                        <w:rPr>
                          <w:rFonts w:hint="eastAsia"/>
                          <w:sz w:val="22"/>
                          <w:lang w:eastAsia="ja-JP"/>
                        </w:rPr>
                        <w:t xml:space="preserve">ecommendations) for enhancing network resiliency. They include protection switching, performance monitoring, fault management, network element management functions for various transport technologies such as </w:t>
                      </w:r>
                      <w:r w:rsidRPr="00A859A1">
                        <w:rPr>
                          <w:rFonts w:hint="eastAsia"/>
                          <w:sz w:val="22"/>
                        </w:rPr>
                        <w:t>optical</w:t>
                      </w:r>
                      <w:r w:rsidRPr="00A859A1">
                        <w:rPr>
                          <w:rFonts w:hint="eastAsia"/>
                          <w:sz w:val="22"/>
                          <w:lang w:eastAsia="ja-JP"/>
                        </w:rPr>
                        <w:t xml:space="preserve"> transport network (</w:t>
                      </w:r>
                      <w:proofErr w:type="spellStart"/>
                      <w:r w:rsidRPr="00A859A1">
                        <w:rPr>
                          <w:rFonts w:hint="eastAsia"/>
                          <w:sz w:val="22"/>
                          <w:lang w:eastAsia="ja-JP"/>
                        </w:rPr>
                        <w:t>OTN</w:t>
                      </w:r>
                      <w:proofErr w:type="spellEnd"/>
                      <w:r w:rsidRPr="00A859A1">
                        <w:rPr>
                          <w:rFonts w:hint="eastAsia"/>
                          <w:sz w:val="22"/>
                          <w:lang w:eastAsia="ja-JP"/>
                        </w:rPr>
                        <w:t>), Ethernet, MPLS-TP. Protection switching function pre-assigns some capacity between nodes so that the original traffic can be carried using this capacity in case of a failure on the original route.</w:t>
                      </w:r>
                    </w:p>
                  </w:txbxContent>
                </v:textbox>
                <w10:wrap type="square"/>
              </v:shape>
            </w:pict>
          </mc:Fallback>
        </mc:AlternateContent>
      </w:r>
      <w:r w:rsidRPr="006975BE">
        <w:rPr>
          <w:rFonts w:asciiTheme="minorHAnsi" w:eastAsiaTheme="minorEastAsia" w:hAnsiTheme="minorHAnsi" w:cstheme="minorBidi"/>
          <w:spacing w:val="-4"/>
          <w:szCs w:val="24"/>
          <w:lang w:eastAsia="zh-CN"/>
        </w:rPr>
        <w:t>6.4</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Infrastructure resilience requires coordinated technical frameworks across terrestrial, submarine and space-based networks. Collaborative work must continue </w:t>
      </w:r>
      <w:proofErr w:type="gramStart"/>
      <w:r w:rsidRPr="006975BE">
        <w:rPr>
          <w:rFonts w:asciiTheme="minorHAnsi" w:eastAsiaTheme="minorEastAsia" w:hAnsiTheme="minorHAnsi" w:cstheme="minorBidi"/>
          <w:szCs w:val="24"/>
          <w:lang w:eastAsia="zh-CN"/>
        </w:rPr>
        <w:t>in order to</w:t>
      </w:r>
      <w:proofErr w:type="gramEnd"/>
      <w:r w:rsidRPr="006975BE">
        <w:rPr>
          <w:rFonts w:asciiTheme="minorHAnsi" w:eastAsiaTheme="minorEastAsia" w:hAnsiTheme="minorHAnsi" w:cstheme="minorBidi"/>
          <w:szCs w:val="24"/>
          <w:lang w:eastAsia="zh-CN"/>
        </w:rPr>
        <w:t xml:space="preserve"> analyse these advances and identify how emerging technologies </w:t>
      </w:r>
      <w:r w:rsidRPr="006975BE">
        <w:rPr>
          <w:rFonts w:eastAsiaTheme="minorEastAsia"/>
          <w:szCs w:val="24"/>
          <w:lang w:eastAsia="zh-CN"/>
        </w:rPr>
        <w:t>could</w:t>
      </w:r>
      <w:r w:rsidRPr="006975BE">
        <w:rPr>
          <w:rFonts w:asciiTheme="minorHAnsi" w:eastAsiaTheme="minorEastAsia" w:hAnsiTheme="minorHAnsi" w:cstheme="minorBidi"/>
          <w:szCs w:val="24"/>
          <w:lang w:eastAsia="zh-CN"/>
        </w:rPr>
        <w:t xml:space="preserve"> enhance capabilities of comprehensive protection and rapid recovery. </w:t>
      </w:r>
    </w:p>
    <w:p w14:paraId="112870D8" w14:textId="77777777" w:rsidR="00C64ED7" w:rsidRPr="006975BE" w:rsidRDefault="00C64ED7" w:rsidP="00C51599">
      <w:pPr>
        <w:pStyle w:val="enumlev1"/>
        <w:jc w:val="both"/>
        <w:rPr>
          <w:rFonts w:eastAsiaTheme="minorEastAsia"/>
          <w:lang w:eastAsia="zh-CN"/>
        </w:rPr>
      </w:pPr>
      <w:r w:rsidRPr="006975BE">
        <w:rPr>
          <w:rFonts w:eastAsiaTheme="minorEastAsia"/>
          <w:bCs/>
          <w:lang w:eastAsia="zh-CN"/>
        </w:rPr>
        <w:t>6.4.1</w:t>
      </w:r>
      <w:r w:rsidRPr="006975BE">
        <w:rPr>
          <w:rFonts w:eastAsiaTheme="minorEastAsia"/>
          <w:bCs/>
          <w:lang w:eastAsia="zh-CN"/>
        </w:rPr>
        <w:tab/>
      </w:r>
      <w:r w:rsidRPr="006975BE">
        <w:rPr>
          <w:rFonts w:eastAsiaTheme="minorEastAsia"/>
          <w:lang w:eastAsia="zh-CN"/>
        </w:rPr>
        <w:t>Policy and regulatory approaches must address resilience across all infrastructure layers, including but not limited to early-warning detection and cybersecurity.</w:t>
      </w:r>
    </w:p>
    <w:p w14:paraId="577DD2F4" w14:textId="77777777" w:rsidR="00C64ED7" w:rsidRPr="006975BE" w:rsidRDefault="00C64ED7" w:rsidP="00C51599">
      <w:pPr>
        <w:pStyle w:val="enumlev1"/>
        <w:jc w:val="both"/>
        <w:rPr>
          <w:rFonts w:eastAsiaTheme="minorEastAsia"/>
          <w:lang w:eastAsia="zh-CN"/>
        </w:rPr>
      </w:pPr>
      <w:r w:rsidRPr="006975BE">
        <w:rPr>
          <w:rFonts w:eastAsiaTheme="minorEastAsia"/>
          <w:bCs/>
          <w:lang w:eastAsia="zh-CN"/>
        </w:rPr>
        <w:t>6.4.2</w:t>
      </w:r>
      <w:r w:rsidRPr="006975BE">
        <w:rPr>
          <w:rFonts w:eastAsiaTheme="minorEastAsia"/>
          <w:bCs/>
          <w:lang w:eastAsia="zh-CN"/>
        </w:rPr>
        <w:tab/>
      </w:r>
      <w:r w:rsidRPr="006975BE">
        <w:rPr>
          <w:rFonts w:eastAsiaTheme="minorEastAsia"/>
          <w:lang w:eastAsia="zh-CN"/>
        </w:rPr>
        <w:t>Capacity building and skills development are essential for operating, maintaining and protecting complex, multi-layered communication systems.</w:t>
      </w:r>
    </w:p>
    <w:p w14:paraId="1112B53B" w14:textId="77777777" w:rsidR="00C64ED7" w:rsidRPr="006975BE" w:rsidRDefault="00C64ED7" w:rsidP="00C51599">
      <w:pPr>
        <w:pStyle w:val="enumlev1"/>
        <w:jc w:val="both"/>
        <w:rPr>
          <w:rFonts w:eastAsiaTheme="minorEastAsia"/>
          <w:lang w:eastAsia="zh-CN"/>
        </w:rPr>
      </w:pPr>
      <w:r w:rsidRPr="006975BE">
        <w:rPr>
          <w:rFonts w:eastAsiaTheme="minorEastAsia"/>
          <w:bCs/>
          <w:lang w:eastAsia="zh-CN"/>
        </w:rPr>
        <w:t>6.4.3</w:t>
      </w:r>
      <w:r w:rsidRPr="006975BE">
        <w:rPr>
          <w:rFonts w:eastAsiaTheme="minorEastAsia"/>
          <w:bCs/>
          <w:lang w:eastAsia="zh-CN"/>
        </w:rPr>
        <w:tab/>
      </w:r>
      <w:r w:rsidRPr="006975BE">
        <w:rPr>
          <w:rFonts w:eastAsiaTheme="minorEastAsia"/>
          <w:lang w:eastAsia="zh-CN"/>
        </w:rPr>
        <w:t>International cooperation mechanisms strengthen global telecommunications infrastructure resilience through sharing of best practices, information exchange, and coordinated response capabilities.</w:t>
      </w:r>
    </w:p>
    <w:p w14:paraId="15BF6311" w14:textId="4932335C"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6.5</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Building resilient </w:t>
      </w:r>
      <w:r w:rsidR="0052665F" w:rsidRPr="006975BE">
        <w:rPr>
          <w:rFonts w:asciiTheme="minorHAnsi" w:eastAsiaTheme="minorEastAsia" w:hAnsiTheme="minorHAnsi" w:cstheme="minorBidi"/>
          <w:szCs w:val="24"/>
          <w:lang w:eastAsia="zh-CN"/>
        </w:rPr>
        <w:t>telecommunications</w:t>
      </w:r>
      <w:r w:rsidRPr="006975BE">
        <w:rPr>
          <w:rFonts w:asciiTheme="minorHAnsi" w:eastAsiaTheme="minorEastAsia" w:hAnsiTheme="minorHAnsi" w:cstheme="minorBidi"/>
          <w:szCs w:val="24"/>
          <w:lang w:eastAsia="zh-CN"/>
        </w:rPr>
        <w:t xml:space="preserve">/ICT infrastructure in underserved and disaster-prone regions requires addressing financing mechanisms and investment models that support long-term sustainability. Resilience must extend beyond physical infrastructure to encompass cybersecurity measures, ensuring networks remain operational during crises when they are most critical. </w:t>
      </w:r>
      <w:r w:rsidRPr="006975BE">
        <w:rPr>
          <w:rFonts w:eastAsiaTheme="minorEastAsia"/>
          <w:szCs w:val="24"/>
          <w:lang w:eastAsia="zh-CN"/>
        </w:rPr>
        <w:t>Design</w:t>
      </w:r>
      <w:r w:rsidRPr="006975BE">
        <w:rPr>
          <w:rFonts w:asciiTheme="minorHAnsi" w:eastAsiaTheme="minorEastAsia" w:hAnsiTheme="minorHAnsi" w:cstheme="minorBidi"/>
          <w:szCs w:val="24"/>
          <w:lang w:eastAsia="zh-CN"/>
        </w:rPr>
        <w:t xml:space="preserve"> of resilient ICT systems should prioritize accessibility for all populations, including persons with disabilities, older persons, and those in remote areas, to ensure emergency communications and essential digital services reach everyone during disasters and recovery efforts.</w:t>
      </w:r>
    </w:p>
    <w:p w14:paraId="6A48335A" w14:textId="77777777" w:rsidR="00C64ED7" w:rsidRPr="006975BE" w:rsidRDefault="00C64ED7" w:rsidP="007B20D8">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6.6</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Given the urgency of these issues in the face of an ever-evolving landscape of complex and multifaceted challenges, the following questions are intended to guide policymakers and stakeholders toward meaningful and productive tools to help build resilient telecommunication and ICT infrastructure and services: </w:t>
      </w:r>
    </w:p>
    <w:p w14:paraId="6EE6FC07"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6.6.1</w:t>
      </w:r>
      <w:r w:rsidRPr="006975BE">
        <w:rPr>
          <w:rFonts w:eastAsiaTheme="minorEastAsia"/>
          <w:bCs/>
          <w:szCs w:val="24"/>
          <w:lang w:eastAsia="zh-CN"/>
        </w:rPr>
        <w:tab/>
      </w:r>
      <w:r w:rsidRPr="006975BE">
        <w:rPr>
          <w:rFonts w:eastAsiaTheme="minorEastAsia"/>
          <w:szCs w:val="24"/>
          <w:lang w:eastAsia="zh-CN"/>
        </w:rPr>
        <w:t>How can emerging technologies and innovations improve the resilience of telecommunications and ICT infrastructure and the interdependence with other critical sectors like energy, health, and transportation to mitigate cascading failures during disasters?</w:t>
      </w:r>
    </w:p>
    <w:p w14:paraId="2E5F8DCF"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6.6.2</w:t>
      </w:r>
      <w:r w:rsidRPr="006975BE">
        <w:rPr>
          <w:rFonts w:eastAsiaTheme="minorEastAsia"/>
          <w:bCs/>
          <w:szCs w:val="24"/>
          <w:lang w:eastAsia="zh-CN"/>
        </w:rPr>
        <w:tab/>
      </w:r>
      <w:r w:rsidRPr="006975BE">
        <w:rPr>
          <w:rFonts w:eastAsiaTheme="minorEastAsia"/>
          <w:szCs w:val="24"/>
          <w:lang w:eastAsia="zh-CN"/>
        </w:rPr>
        <w:t>What policy and regulatory frameworks are needed to foster resilient telecommunication/ICT service and technology systems?</w:t>
      </w:r>
    </w:p>
    <w:p w14:paraId="22CFFC04"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6.6.3</w:t>
      </w:r>
      <w:r w:rsidRPr="006975BE">
        <w:rPr>
          <w:rFonts w:eastAsiaTheme="minorEastAsia"/>
          <w:bCs/>
          <w:szCs w:val="24"/>
          <w:lang w:eastAsia="zh-CN"/>
        </w:rPr>
        <w:tab/>
      </w:r>
      <w:r w:rsidRPr="006975BE">
        <w:rPr>
          <w:rFonts w:eastAsiaTheme="minorEastAsia"/>
          <w:szCs w:val="24"/>
          <w:lang w:eastAsia="zh-CN"/>
        </w:rPr>
        <w:t>How can public awareness and preparedness contribute to telecommunication/ICT services and technology resilience?</w:t>
      </w:r>
    </w:p>
    <w:p w14:paraId="2003F9AD"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6.6.4</w:t>
      </w:r>
      <w:r w:rsidRPr="006975BE">
        <w:rPr>
          <w:rFonts w:eastAsiaTheme="minorEastAsia"/>
          <w:bCs/>
          <w:szCs w:val="24"/>
          <w:lang w:eastAsia="zh-CN"/>
        </w:rPr>
        <w:tab/>
      </w:r>
      <w:r w:rsidRPr="006975BE">
        <w:rPr>
          <w:rFonts w:eastAsiaTheme="minorEastAsia"/>
          <w:szCs w:val="24"/>
          <w:lang w:eastAsia="zh-CN"/>
        </w:rPr>
        <w:t>What capacity building and skills development initiatives are needed to support telecommunication/ICT services and technologies resilience?</w:t>
      </w:r>
    </w:p>
    <w:p w14:paraId="538E1B9E"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6.6.5</w:t>
      </w:r>
      <w:r w:rsidRPr="006975BE">
        <w:rPr>
          <w:rFonts w:eastAsiaTheme="minorEastAsia"/>
          <w:bCs/>
          <w:szCs w:val="24"/>
          <w:lang w:eastAsia="zh-CN"/>
        </w:rPr>
        <w:tab/>
      </w:r>
      <w:r w:rsidRPr="006975BE">
        <w:rPr>
          <w:rFonts w:eastAsiaTheme="minorEastAsia"/>
          <w:szCs w:val="24"/>
          <w:lang w:eastAsia="zh-CN"/>
        </w:rPr>
        <w:t>How can international cooperation and collaboration strengthen telecommunication/ICT services and technologies resilience?</w:t>
      </w:r>
    </w:p>
    <w:p w14:paraId="0DC657F7"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lastRenderedPageBreak/>
        <w:t>6.6.6</w:t>
      </w:r>
      <w:r w:rsidRPr="006975BE">
        <w:rPr>
          <w:rFonts w:eastAsiaTheme="minorEastAsia"/>
          <w:bCs/>
          <w:szCs w:val="24"/>
          <w:lang w:eastAsia="zh-CN"/>
        </w:rPr>
        <w:tab/>
      </w:r>
      <w:r w:rsidRPr="006975BE">
        <w:rPr>
          <w:rFonts w:eastAsiaTheme="minorEastAsia"/>
          <w:szCs w:val="24"/>
          <w:lang w:eastAsia="zh-CN"/>
        </w:rPr>
        <w:t xml:space="preserve">How can networks, including </w:t>
      </w:r>
      <w:proofErr w:type="spellStart"/>
      <w:r w:rsidRPr="006975BE">
        <w:rPr>
          <w:rFonts w:eastAsiaTheme="minorEastAsia"/>
          <w:szCs w:val="24"/>
          <w:lang w:eastAsia="zh-CN"/>
        </w:rPr>
        <w:t>NRENs</w:t>
      </w:r>
      <w:proofErr w:type="spellEnd"/>
      <w:r w:rsidRPr="006975BE">
        <w:rPr>
          <w:rFonts w:eastAsiaTheme="minorEastAsia"/>
          <w:szCs w:val="24"/>
          <w:lang w:eastAsia="zh-CN"/>
        </w:rPr>
        <w:t xml:space="preserve"> (National Research and Education Networks), leverage existing infrastructure, technologies, and community assets to enhance the resilience of telecommunications and telecommunication/ICT services?</w:t>
      </w:r>
    </w:p>
    <w:p w14:paraId="0D2950DC" w14:textId="77777777" w:rsidR="00C64ED7" w:rsidRPr="006975BE" w:rsidRDefault="00C64ED7" w:rsidP="00B435CB">
      <w:pPr>
        <w:pStyle w:val="enumlev1"/>
        <w:jc w:val="both"/>
        <w:rPr>
          <w:rFonts w:eastAsiaTheme="minorEastAsia"/>
          <w:lang w:eastAsia="zh-CN"/>
        </w:rPr>
      </w:pPr>
      <w:r w:rsidRPr="006975BE">
        <w:rPr>
          <w:rFonts w:eastAsiaTheme="minorEastAsia"/>
          <w:bCs/>
          <w:lang w:eastAsia="zh-CN"/>
        </w:rPr>
        <w:t>6.6.7</w:t>
      </w:r>
      <w:r w:rsidRPr="006975BE">
        <w:rPr>
          <w:rFonts w:eastAsiaTheme="minorEastAsia"/>
          <w:bCs/>
          <w:lang w:eastAsia="zh-CN"/>
        </w:rPr>
        <w:tab/>
      </w:r>
      <w:r w:rsidRPr="006975BE">
        <w:rPr>
          <w:rFonts w:eastAsiaTheme="minorEastAsia"/>
          <w:lang w:eastAsia="zh-CN"/>
        </w:rPr>
        <w:t>How can telecommunication/ICT services and technologies infrastructure and services be strengthened to ensure reliable performance in times of crisis, including natural disasters, supporting timely response and recovery efforts?</w:t>
      </w:r>
    </w:p>
    <w:p w14:paraId="050FCF42" w14:textId="77777777" w:rsidR="00C64ED7" w:rsidRPr="006975BE" w:rsidRDefault="00C64ED7" w:rsidP="00B435CB">
      <w:pPr>
        <w:pStyle w:val="enumlev1"/>
        <w:jc w:val="both"/>
        <w:rPr>
          <w:rFonts w:eastAsiaTheme="minorEastAsia"/>
          <w:lang w:eastAsia="zh-CN"/>
        </w:rPr>
      </w:pPr>
      <w:r w:rsidRPr="006975BE">
        <w:rPr>
          <w:rFonts w:eastAsiaTheme="minorEastAsia"/>
          <w:bCs/>
          <w:lang w:eastAsia="zh-CN"/>
        </w:rPr>
        <w:t>6.6.8</w:t>
      </w:r>
      <w:r w:rsidRPr="006975BE">
        <w:rPr>
          <w:rFonts w:eastAsiaTheme="minorEastAsia"/>
          <w:bCs/>
          <w:lang w:eastAsia="zh-CN"/>
        </w:rPr>
        <w:tab/>
      </w:r>
      <w:r w:rsidRPr="006975BE">
        <w:rPr>
          <w:rFonts w:eastAsiaTheme="minorEastAsia"/>
          <w:lang w:eastAsia="zh-CN"/>
        </w:rPr>
        <w:t>How can policymakers create frameworks for monitoring and evaluating the resilience of telecommunication/ICT services and technologies?</w:t>
      </w:r>
    </w:p>
    <w:p w14:paraId="4A8EC774" w14:textId="77777777" w:rsidR="00C64ED7" w:rsidRPr="006975BE" w:rsidRDefault="00C64ED7" w:rsidP="00B435CB">
      <w:pPr>
        <w:pStyle w:val="enumlev1"/>
        <w:jc w:val="both"/>
        <w:rPr>
          <w:rFonts w:eastAsiaTheme="minorEastAsia"/>
          <w:lang w:eastAsia="zh-CN"/>
        </w:rPr>
      </w:pPr>
      <w:r w:rsidRPr="006975BE">
        <w:rPr>
          <w:rFonts w:eastAsiaTheme="minorEastAsia"/>
          <w:bCs/>
          <w:lang w:eastAsia="zh-CN"/>
        </w:rPr>
        <w:t>6.6.9</w:t>
      </w:r>
      <w:r w:rsidRPr="006975BE">
        <w:rPr>
          <w:rFonts w:eastAsiaTheme="minorEastAsia"/>
          <w:bCs/>
          <w:lang w:eastAsia="zh-CN"/>
        </w:rPr>
        <w:tab/>
      </w:r>
      <w:r w:rsidRPr="006975BE">
        <w:rPr>
          <w:rFonts w:eastAsiaTheme="minorEastAsia"/>
          <w:lang w:val="en-IN"/>
        </w:rPr>
        <w:t xml:space="preserve">What financing models, investment strategies, and public-private partnerships can support the </w:t>
      </w:r>
      <w:r w:rsidRPr="006975BE">
        <w:rPr>
          <w:rFonts w:eastAsiaTheme="minorEastAsia"/>
          <w:lang w:eastAsia="zh-CN"/>
        </w:rPr>
        <w:t>development</w:t>
      </w:r>
      <w:r w:rsidRPr="006975BE">
        <w:rPr>
          <w:rFonts w:eastAsiaTheme="minorEastAsia"/>
          <w:lang w:val="en-IN"/>
        </w:rPr>
        <w:t xml:space="preserve"> of resilient ICT infrastructure, particularly in underserved and disaster-prone regions?</w:t>
      </w:r>
    </w:p>
    <w:p w14:paraId="62869AFC" w14:textId="77777777"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eastAsiaTheme="minorEastAsia"/>
          <w:b/>
          <w:sz w:val="28"/>
          <w:lang w:eastAsia="zh-CN"/>
        </w:rPr>
      </w:pPr>
      <w:r w:rsidRPr="006975BE">
        <w:br w:type="page"/>
      </w:r>
    </w:p>
    <w:p w14:paraId="60F49A53" w14:textId="4FF41700" w:rsidR="00C64ED7" w:rsidRPr="006975BE" w:rsidRDefault="00C64ED7" w:rsidP="00D03710">
      <w:pPr>
        <w:pStyle w:val="Heading1"/>
      </w:pPr>
      <w:r w:rsidRPr="006975BE">
        <w:lastRenderedPageBreak/>
        <w:t>7</w:t>
      </w:r>
      <w:r w:rsidRPr="006975BE">
        <w:tab/>
        <w:t xml:space="preserve">Space </w:t>
      </w:r>
      <w:r w:rsidR="00CF1C61" w:rsidRPr="006975BE">
        <w:t xml:space="preserve">connectivity </w:t>
      </w:r>
    </w:p>
    <w:p w14:paraId="22D147C2"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3360" behindDoc="0" locked="0" layoutInCell="1" allowOverlap="1" wp14:anchorId="5E3EF1AF" wp14:editId="6F8C0C34">
                <wp:simplePos x="0" y="0"/>
                <wp:positionH relativeFrom="column">
                  <wp:posOffset>3543185</wp:posOffset>
                </wp:positionH>
                <wp:positionV relativeFrom="paragraph">
                  <wp:posOffset>688975</wp:posOffset>
                </wp:positionV>
                <wp:extent cx="2644140" cy="2857500"/>
                <wp:effectExtent l="0" t="0" r="22860" b="19050"/>
                <wp:wrapSquare wrapText="bothSides"/>
                <wp:docPr id="194197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2857500"/>
                        </a:xfrm>
                        <a:prstGeom prst="rect">
                          <a:avLst/>
                        </a:prstGeom>
                        <a:solidFill>
                          <a:srgbClr val="FFFFFF"/>
                        </a:solidFill>
                        <a:ln w="12700">
                          <a:solidFill>
                            <a:srgbClr val="4F81BD">
                              <a:lumMod val="100000"/>
                              <a:lumOff val="0"/>
                            </a:srgbClr>
                          </a:solidFill>
                          <a:miter lim="800000"/>
                          <a:headEnd/>
                          <a:tailEnd/>
                        </a:ln>
                      </wps:spPr>
                      <wps:txbx>
                        <w:txbxContent>
                          <w:p w14:paraId="1E041A86" w14:textId="77777777" w:rsidR="00C64ED7" w:rsidRPr="00A859A1" w:rsidRDefault="00C64ED7" w:rsidP="004001F7">
                            <w:pPr>
                              <w:rPr>
                                <w:color w:val="4F81BD" w:themeColor="accent1"/>
                                <w:sz w:val="22"/>
                              </w:rPr>
                            </w:pPr>
                            <w:r w:rsidRPr="00A859A1">
                              <w:rPr>
                                <w:color w:val="4F81BD" w:themeColor="accent1"/>
                                <w:sz w:val="22"/>
                              </w:rPr>
                              <w:t xml:space="preserve">Understanding the space arena: </w:t>
                            </w:r>
                          </w:p>
                          <w:p w14:paraId="1E7A4579" w14:textId="77777777" w:rsidR="00C64ED7" w:rsidRPr="00A859A1" w:rsidRDefault="00C64ED7" w:rsidP="004001F7">
                            <w:pPr>
                              <w:jc w:val="both"/>
                              <w:rPr>
                                <w:sz w:val="22"/>
                              </w:rPr>
                            </w:pPr>
                            <w:r w:rsidRPr="00A859A1">
                              <w:rPr>
                                <w:sz w:val="22"/>
                              </w:rPr>
                              <w:t xml:space="preserve">The space economy demonstrates significant growth potential, with forecasts indicating it will reach USD 1.8 trillion by 2035, growing at an average of 9% per year. </w:t>
                            </w:r>
                            <w:r w:rsidRPr="00E13F8B">
                              <w:rPr>
                                <w:sz w:val="22"/>
                              </w:rPr>
                              <w:t>This growth will largely be built upon space-based and/or enabled technologies such as communications; positioning, navigation and timing; and Earth observatio</w:t>
                            </w:r>
                            <w:r>
                              <w:rPr>
                                <w:sz w:val="22"/>
                              </w:rPr>
                              <w:t xml:space="preserve">n. </w:t>
                            </w:r>
                          </w:p>
                          <w:p w14:paraId="53C7EEAD" w14:textId="78B5F0EB" w:rsidR="00C64ED7" w:rsidRPr="00A859A1" w:rsidRDefault="00C64ED7" w:rsidP="004001F7">
                            <w:pPr>
                              <w:jc w:val="both"/>
                              <w:rPr>
                                <w:i/>
                                <w:iCs/>
                                <w:sz w:val="18"/>
                                <w:szCs w:val="18"/>
                              </w:rPr>
                            </w:pPr>
                            <w:r w:rsidRPr="00A859A1">
                              <w:rPr>
                                <w:i/>
                                <w:iCs/>
                                <w:sz w:val="18"/>
                                <w:szCs w:val="18"/>
                              </w:rPr>
                              <w:t>Source: “Space: The $1.8 Trillion Opportunity for Global Economic Growth.” World Economic Forum, April 2024</w:t>
                            </w:r>
                            <w:r>
                              <w:rPr>
                                <w:i/>
                                <w:iCs/>
                                <w:sz w:val="18"/>
                                <w:szCs w:val="18"/>
                              </w:rPr>
                              <w:t xml:space="preserve"> &amp; “The State of Satellite Broadband” </w:t>
                            </w:r>
                            <w:r w:rsidRPr="00696402">
                              <w:rPr>
                                <w:i/>
                                <w:iCs/>
                                <w:sz w:val="18"/>
                                <w:szCs w:val="18"/>
                              </w:rPr>
                              <w:t>International Telecommunication Union and United Nations Educational, Scientific and Cultural Organization,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E3EF1AF" id="_x0000_s1035" type="#_x0000_t202" style="position:absolute;left:0;text-align:left;margin-left:279pt;margin-top:54.25pt;width:208.2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" strokecolor="#4f81bd" strokeweight="1pt">
                <v:textbox>
                  <w:txbxContent>
                    <w:p w14:paraId="1E041A86" w14:textId="77777777" w:rsidR="00C64ED7" w:rsidRPr="00A859A1" w:rsidRDefault="00C64ED7" w:rsidP="004001F7">
                      <w:pPr>
                        <w:rPr>
                          <w:color w:val="4F81BD" w:themeColor="accent1"/>
                          <w:sz w:val="22"/>
                        </w:rPr>
                      </w:pPr>
                      <w:r w:rsidRPr="00A859A1">
                        <w:rPr>
                          <w:color w:val="4F81BD" w:themeColor="accent1"/>
                          <w:sz w:val="22"/>
                        </w:rPr>
                        <w:t xml:space="preserve">Understanding the space arena: </w:t>
                      </w:r>
                    </w:p>
                    <w:p w14:paraId="1E7A4579" w14:textId="77777777" w:rsidR="00C64ED7" w:rsidRPr="00A859A1" w:rsidRDefault="00C64ED7" w:rsidP="004001F7">
                      <w:pPr>
                        <w:jc w:val="both"/>
                        <w:rPr>
                          <w:sz w:val="22"/>
                        </w:rPr>
                      </w:pPr>
                      <w:r w:rsidRPr="00A859A1">
                        <w:rPr>
                          <w:sz w:val="22"/>
                        </w:rPr>
                        <w:t xml:space="preserve">The space economy demonstrates significant growth potential, with forecasts indicating it will reach USD 1.8 trillion by 2035, growing at an average of 9% per year. </w:t>
                      </w:r>
                      <w:r w:rsidRPr="00E13F8B">
                        <w:rPr>
                          <w:sz w:val="22"/>
                        </w:rPr>
                        <w:t>This growth will largely be built upon space-based and/or enabled technologies such as communications; positioning, navigation and timing; and Earth observatio</w:t>
                      </w:r>
                      <w:r>
                        <w:rPr>
                          <w:sz w:val="22"/>
                        </w:rPr>
                        <w:t xml:space="preserve">n. </w:t>
                      </w:r>
                    </w:p>
                    <w:p w14:paraId="53C7EEAD" w14:textId="78B5F0EB" w:rsidR="00C64ED7" w:rsidRPr="00A859A1" w:rsidRDefault="00C64ED7" w:rsidP="004001F7">
                      <w:pPr>
                        <w:jc w:val="both"/>
                        <w:rPr>
                          <w:i/>
                          <w:iCs/>
                          <w:sz w:val="18"/>
                          <w:szCs w:val="18"/>
                        </w:rPr>
                      </w:pPr>
                      <w:r w:rsidRPr="00A859A1">
                        <w:rPr>
                          <w:i/>
                          <w:iCs/>
                          <w:sz w:val="18"/>
                          <w:szCs w:val="18"/>
                        </w:rPr>
                        <w:t>Source: “Space: The $1.8 Trillion Opportunity for Global Economic Growth.” World Economic Forum, April 2024</w:t>
                      </w:r>
                      <w:r>
                        <w:rPr>
                          <w:i/>
                          <w:iCs/>
                          <w:sz w:val="18"/>
                          <w:szCs w:val="18"/>
                        </w:rPr>
                        <w:t xml:space="preserve"> &amp; “The State of Satellite Broadband” </w:t>
                      </w:r>
                      <w:r w:rsidRPr="00696402">
                        <w:rPr>
                          <w:i/>
                          <w:iCs/>
                          <w:sz w:val="18"/>
                          <w:szCs w:val="18"/>
                        </w:rPr>
                        <w:t>International Telecommunication Union and United Nations Educational, Scientific and Cultural Organization, 2025</w:t>
                      </w:r>
                    </w:p>
                  </w:txbxContent>
                </v:textbox>
                <w10:wrap type="square"/>
              </v:shape>
            </w:pict>
          </mc:Fallback>
        </mc:AlternateContent>
      </w:r>
      <w:r w:rsidRPr="006975BE">
        <w:rPr>
          <w:rFonts w:asciiTheme="minorHAnsi" w:eastAsiaTheme="minorEastAsia" w:hAnsiTheme="minorHAnsi" w:cstheme="minorBidi"/>
          <w:spacing w:val="-4"/>
          <w:szCs w:val="24"/>
          <w:lang w:eastAsia="zh-CN"/>
        </w:rPr>
        <w:t>7.1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Space connectivity has become fundamental to achieving global digital inclusion. Satellite technologies have a transformative role in providing universal connectivity, particularly for unserved and underserved areas where terrestrial infrastructure deployment faces geographical, technical and/or economic challenges.</w:t>
      </w:r>
    </w:p>
    <w:p w14:paraId="51BA9CA4" w14:textId="13FB295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The space connectivity landscape is evolving rapidly through the deployment of </w:t>
      </w:r>
      <w:r w:rsidR="0052665F" w:rsidRPr="006975BE">
        <w:rPr>
          <w:rFonts w:asciiTheme="minorHAnsi" w:eastAsiaTheme="minorEastAsia" w:hAnsiTheme="minorHAnsi" w:cstheme="minorBidi"/>
          <w:szCs w:val="24"/>
          <w:lang w:eastAsia="zh-CN"/>
        </w:rPr>
        <w:t xml:space="preserve">very-high-throughput satellites in geostationary orbit </w:t>
      </w:r>
      <w:r w:rsidRPr="006975BE">
        <w:rPr>
          <w:rFonts w:asciiTheme="minorHAnsi" w:eastAsiaTheme="minorEastAsia" w:hAnsiTheme="minorHAnsi" w:cstheme="minorBidi"/>
          <w:szCs w:val="24"/>
          <w:lang w:eastAsia="zh-CN"/>
        </w:rPr>
        <w:t>(GSO), advances in non-geostationary orbit (</w:t>
      </w:r>
      <w:r w:rsidR="0052665F" w:rsidRPr="006975BE">
        <w:rPr>
          <w:rFonts w:asciiTheme="minorHAnsi" w:eastAsiaTheme="minorEastAsia" w:hAnsiTheme="minorHAnsi" w:cstheme="minorBidi"/>
          <w:szCs w:val="24"/>
          <w:lang w:eastAsia="zh-CN"/>
        </w:rPr>
        <w:t>non-</w:t>
      </w:r>
      <w:r w:rsidRPr="006975BE">
        <w:rPr>
          <w:rFonts w:asciiTheme="minorHAnsi" w:eastAsiaTheme="minorEastAsia" w:hAnsiTheme="minorHAnsi" w:cstheme="minorBidi"/>
          <w:szCs w:val="24"/>
          <w:lang w:eastAsia="zh-CN"/>
        </w:rPr>
        <w:t xml:space="preserve">GSO) satellite constellations, including in </w:t>
      </w:r>
      <w:r w:rsidR="0052665F" w:rsidRPr="006975BE">
        <w:rPr>
          <w:rFonts w:asciiTheme="minorHAnsi" w:eastAsiaTheme="minorEastAsia" w:hAnsiTheme="minorHAnsi" w:cstheme="minorBidi"/>
          <w:szCs w:val="24"/>
          <w:lang w:eastAsia="zh-CN"/>
        </w:rPr>
        <w:t xml:space="preserve">low </w:t>
      </w:r>
      <w:r w:rsidRPr="006975BE">
        <w:rPr>
          <w:rFonts w:asciiTheme="minorHAnsi" w:eastAsiaTheme="minorEastAsia" w:hAnsiTheme="minorHAnsi" w:cstheme="minorBidi"/>
          <w:szCs w:val="24"/>
          <w:lang w:eastAsia="zh-CN"/>
        </w:rPr>
        <w:t xml:space="preserve">Earth </w:t>
      </w:r>
      <w:r w:rsidR="0052665F" w:rsidRPr="006975BE">
        <w:rPr>
          <w:rFonts w:asciiTheme="minorHAnsi" w:eastAsiaTheme="minorEastAsia" w:hAnsiTheme="minorHAnsi" w:cstheme="minorBidi"/>
          <w:szCs w:val="24"/>
          <w:lang w:eastAsia="zh-CN"/>
        </w:rPr>
        <w:t xml:space="preserve">orbit </w:t>
      </w:r>
      <w:r w:rsidRPr="006975BE">
        <w:rPr>
          <w:rFonts w:asciiTheme="minorHAnsi" w:eastAsiaTheme="minorEastAsia" w:hAnsiTheme="minorHAnsi" w:cstheme="minorBidi"/>
          <w:szCs w:val="24"/>
          <w:lang w:eastAsia="zh-CN"/>
        </w:rPr>
        <w:t xml:space="preserve">(LEO) and </w:t>
      </w:r>
      <w:r w:rsidR="0052665F" w:rsidRPr="006975BE">
        <w:rPr>
          <w:rFonts w:asciiTheme="minorHAnsi" w:eastAsiaTheme="minorEastAsia" w:hAnsiTheme="minorHAnsi" w:cstheme="minorBidi"/>
          <w:szCs w:val="24"/>
          <w:lang w:eastAsia="zh-CN"/>
        </w:rPr>
        <w:t xml:space="preserve">medium </w:t>
      </w:r>
      <w:r w:rsidRPr="006975BE">
        <w:rPr>
          <w:rFonts w:asciiTheme="minorHAnsi" w:eastAsiaTheme="minorEastAsia" w:hAnsiTheme="minorHAnsi" w:cstheme="minorBidi"/>
          <w:szCs w:val="24"/>
          <w:lang w:eastAsia="zh-CN"/>
        </w:rPr>
        <w:t xml:space="preserve">Earth </w:t>
      </w:r>
      <w:r w:rsidR="0052665F" w:rsidRPr="006975BE">
        <w:rPr>
          <w:rFonts w:asciiTheme="minorHAnsi" w:eastAsiaTheme="minorEastAsia" w:hAnsiTheme="minorHAnsi" w:cstheme="minorBidi"/>
          <w:szCs w:val="24"/>
          <w:lang w:eastAsia="zh-CN"/>
        </w:rPr>
        <w:t xml:space="preserve">orbit </w:t>
      </w:r>
      <w:r w:rsidRPr="006975BE">
        <w:rPr>
          <w:rFonts w:asciiTheme="minorHAnsi" w:eastAsiaTheme="minorEastAsia" w:hAnsiTheme="minorHAnsi" w:cstheme="minorBidi"/>
          <w:szCs w:val="24"/>
          <w:lang w:eastAsia="zh-CN"/>
        </w:rPr>
        <w:t xml:space="preserve">(MEO), and innovative business partnerships between satellite and terrestrial telecommunications providers. </w:t>
      </w:r>
    </w:p>
    <w:p w14:paraId="7F181E22"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The integration of satellite and terrestrial networks is creating new possibilities for connectivity. </w:t>
      </w:r>
      <w:r w:rsidRPr="006975BE">
        <w:rPr>
          <w:rFonts w:eastAsiaTheme="minorEastAsia"/>
          <w:szCs w:val="24"/>
        </w:rPr>
        <w:t>Such integration is</w:t>
      </w:r>
      <w:r w:rsidRPr="006975BE">
        <w:rPr>
          <w:rFonts w:asciiTheme="minorHAnsi" w:eastAsiaTheme="minorEastAsia" w:hAnsiTheme="minorHAnsi" w:cstheme="minorBidi"/>
          <w:szCs w:val="24"/>
          <w:lang w:eastAsia="zh-CN"/>
        </w:rPr>
        <w:t xml:space="preserve"> particularly significant as </w:t>
      </w:r>
      <w:r w:rsidRPr="006975BE">
        <w:rPr>
          <w:rFonts w:eastAsiaTheme="minorEastAsia"/>
          <w:szCs w:val="24"/>
        </w:rPr>
        <w:t xml:space="preserve">it enables </w:t>
      </w:r>
      <w:r w:rsidRPr="006975BE">
        <w:rPr>
          <w:rFonts w:asciiTheme="minorHAnsi" w:eastAsiaTheme="minorEastAsia" w:hAnsiTheme="minorHAnsi" w:cstheme="minorBidi"/>
          <w:szCs w:val="24"/>
          <w:lang w:eastAsia="zh-CN"/>
        </w:rPr>
        <w:t>cost-effective and reliable communications in areas where terrestrial infrastructure has been geographically, technically and/or economically challenging.</w:t>
      </w:r>
    </w:p>
    <w:p w14:paraId="5B490765"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7.4</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Countries are increasingly adopting forward-looking regulatory frameworks that address several aspects including:</w:t>
      </w:r>
    </w:p>
    <w:p w14:paraId="1BAD9013" w14:textId="176F7507" w:rsidR="00C64ED7" w:rsidRPr="006975BE" w:rsidRDefault="00C64ED7" w:rsidP="00D448DE">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 xml:space="preserve">efficient authorization processes for both GSO and </w:t>
      </w:r>
      <w:r w:rsidR="0052665F" w:rsidRPr="006975BE">
        <w:rPr>
          <w:rFonts w:eastAsiaTheme="minorEastAsia"/>
          <w:lang w:eastAsia="zh-CN"/>
        </w:rPr>
        <w:t>non-</w:t>
      </w:r>
      <w:r w:rsidRPr="006975BE">
        <w:rPr>
          <w:rFonts w:eastAsiaTheme="minorEastAsia"/>
          <w:lang w:eastAsia="zh-CN"/>
        </w:rPr>
        <w:t>GSO systems, mechanisms to encourage investment in space infrastructure</w:t>
      </w:r>
      <w:r w:rsidR="00F56933" w:rsidRPr="006975BE">
        <w:rPr>
          <w:rFonts w:eastAsiaTheme="minorEastAsia"/>
          <w:lang w:eastAsia="zh-CN"/>
        </w:rPr>
        <w:t>;</w:t>
      </w:r>
    </w:p>
    <w:p w14:paraId="6C7CEF55" w14:textId="29E95D45" w:rsidR="00C64ED7" w:rsidRPr="006975BE" w:rsidRDefault="00C64ED7" w:rsidP="00D448DE">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requirements for security and data protection provisions for industry partnerships and collaborations</w:t>
      </w:r>
      <w:r w:rsidR="00F56933" w:rsidRPr="006975BE">
        <w:rPr>
          <w:rFonts w:eastAsiaTheme="minorEastAsia"/>
          <w:lang w:eastAsia="zh-CN"/>
        </w:rPr>
        <w:t>;</w:t>
      </w:r>
    </w:p>
    <w:p w14:paraId="0FF68632" w14:textId="0D56FED0" w:rsidR="00C64ED7" w:rsidRPr="006975BE" w:rsidRDefault="00C64ED7" w:rsidP="00D448DE">
      <w:pPr>
        <w:pStyle w:val="enumlev1"/>
        <w:jc w:val="both"/>
        <w:rPr>
          <w:rFonts w:eastAsiaTheme="minorEastAsia"/>
          <w:lang w:eastAsia="zh-CN"/>
        </w:rPr>
      </w:pPr>
      <w:r w:rsidRPr="006975BE">
        <w:rPr>
          <w:rFonts w:eastAsiaTheme="minorEastAsia"/>
          <w:lang w:eastAsia="zh-CN"/>
        </w:rPr>
        <w:t>–</w:t>
      </w:r>
      <w:r w:rsidRPr="006975BE">
        <w:rPr>
          <w:rFonts w:eastAsiaTheme="minorEastAsia"/>
          <w:lang w:eastAsia="zh-CN"/>
        </w:rPr>
        <w:tab/>
        <w:t xml:space="preserve">measures to </w:t>
      </w:r>
      <w:r w:rsidRPr="006975BE">
        <w:rPr>
          <w:rFonts w:eastAsiaTheme="minorEastAsia"/>
        </w:rPr>
        <w:t xml:space="preserve">protect and </w:t>
      </w:r>
      <w:r w:rsidRPr="006975BE">
        <w:rPr>
          <w:rFonts w:eastAsiaTheme="minorEastAsia"/>
          <w:lang w:eastAsia="zh-CN"/>
        </w:rPr>
        <w:t>optimize existing networks while enabling new connectivity-related telecommunication/ICT services and technologies</w:t>
      </w:r>
      <w:r w:rsidR="00F56933" w:rsidRPr="006975BE">
        <w:rPr>
          <w:rFonts w:eastAsiaTheme="minorEastAsia"/>
          <w:lang w:eastAsia="zh-CN"/>
        </w:rPr>
        <w:t>.</w:t>
      </w:r>
    </w:p>
    <w:p w14:paraId="7F86D871"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7.5</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Advancements </w:t>
      </w:r>
      <w:r w:rsidRPr="006975BE">
        <w:rPr>
          <w:rFonts w:eastAsiaTheme="minorEastAsia"/>
          <w:szCs w:val="24"/>
        </w:rPr>
        <w:t>in space connectivity</w:t>
      </w:r>
      <w:r w:rsidRPr="006975BE">
        <w:rPr>
          <w:rFonts w:asciiTheme="minorHAnsi" w:eastAsiaTheme="minorEastAsia" w:hAnsiTheme="minorHAnsi" w:cstheme="minorBidi"/>
          <w:szCs w:val="24"/>
          <w:lang w:eastAsia="zh-CN"/>
        </w:rPr>
        <w:t xml:space="preserve"> must </w:t>
      </w:r>
      <w:r w:rsidRPr="006975BE">
        <w:rPr>
          <w:rFonts w:eastAsiaTheme="minorEastAsia"/>
          <w:szCs w:val="24"/>
        </w:rPr>
        <w:t xml:space="preserve">also support </w:t>
      </w:r>
      <w:r w:rsidRPr="006975BE">
        <w:rPr>
          <w:rFonts w:asciiTheme="minorHAnsi" w:eastAsiaTheme="minorEastAsia" w:hAnsiTheme="minorHAnsi" w:cstheme="minorBidi"/>
          <w:szCs w:val="24"/>
          <w:lang w:eastAsia="zh-CN"/>
        </w:rPr>
        <w:t xml:space="preserve">space sustainability to ensure long-term accessibility of orbital resources. </w:t>
      </w:r>
    </w:p>
    <w:p w14:paraId="732A74AA"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7.6</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Space connectivity </w:t>
      </w:r>
      <w:r w:rsidRPr="006975BE">
        <w:rPr>
          <w:rFonts w:eastAsiaTheme="minorEastAsia"/>
          <w:szCs w:val="24"/>
        </w:rPr>
        <w:t>plays</w:t>
      </w:r>
      <w:r w:rsidRPr="006975BE">
        <w:rPr>
          <w:rFonts w:asciiTheme="minorHAnsi" w:eastAsiaTheme="minorEastAsia" w:hAnsiTheme="minorHAnsi" w:cstheme="minorBidi"/>
          <w:szCs w:val="24"/>
          <w:lang w:eastAsia="zh-CN"/>
        </w:rPr>
        <w:t xml:space="preserve"> a vital role in disaster preparedness, early-warning systems, and climate monitoring, particularly in regions without robust terrestrial infrastructure. Strengthening voluntary data-sharing on environmental and disaster-related information within the scope of space connectivity activities can enhance resilience and global cooperation.</w:t>
      </w:r>
    </w:p>
    <w:p w14:paraId="3ECA8349"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7.7</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As space connectivity expands, fostering trust, transparency, and peaceful cooperation among actors is essential to ensure that new technologies contribute to inclusive and sustainable development.</w:t>
      </w:r>
    </w:p>
    <w:p w14:paraId="7A1B6627"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7.8</w:t>
      </w:r>
      <w:r w:rsidRPr="006975BE">
        <w:rPr>
          <w:rFonts w:asciiTheme="minorHAnsi" w:eastAsiaTheme="minorEastAsia" w:hAnsiTheme="minorHAnsi" w:cstheme="minorBidi"/>
          <w:spacing w:val="-4"/>
          <w:szCs w:val="24"/>
          <w:lang w:eastAsia="zh-CN"/>
        </w:rPr>
        <w:tab/>
      </w:r>
      <w:r w:rsidRPr="006975BE">
        <w:rPr>
          <w:szCs w:val="24"/>
        </w:rPr>
        <w:t xml:space="preserve">During the discussion on space connectivity, IEG members addressed the intersection of space connectivity and national regulatory frameworks, with divergent views emerging on the inclusion of security-related language. Some IEG members emphasized that the rapid deployment of non-GSO satellite constellations involves national security considerations and requirements for data security that should be recognized to </w:t>
      </w:r>
      <w:r w:rsidRPr="006975BE">
        <w:rPr>
          <w:rFonts w:asciiTheme="minorHAnsi" w:eastAsiaTheme="minorEastAsia" w:hAnsiTheme="minorHAnsi" w:cstheme="minorBidi"/>
          <w:szCs w:val="24"/>
          <w:lang w:eastAsia="zh-CN"/>
        </w:rPr>
        <w:t>ensure</w:t>
      </w:r>
      <w:r w:rsidRPr="006975BE">
        <w:rPr>
          <w:szCs w:val="24"/>
        </w:rPr>
        <w:t xml:space="preserve"> a balanced regulatory approach. Conversely, some IEG members opposed the inclusion of security and data protection aspects, arguing that such </w:t>
      </w:r>
      <w:r w:rsidRPr="006975BE">
        <w:rPr>
          <w:szCs w:val="24"/>
        </w:rPr>
        <w:lastRenderedPageBreak/>
        <w:t>matters fall outside the technical mandate of the ITU and are a matter of sovereign policy. This debate extended to the affirmation of sovereign rights in authorizing satellite services, where some IEG members suggested that such references are redundant, whereas other IEG members maintained that an explicit reference was necessary to safeguard the principle of sovereignty in the context of emerging space technologies. These divergent perspectives are noted here.</w:t>
      </w:r>
    </w:p>
    <w:p w14:paraId="082ACFD2"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7.9</w:t>
      </w:r>
      <w:r w:rsidRPr="006975BE">
        <w:rPr>
          <w:rFonts w:asciiTheme="minorHAnsi" w:eastAsiaTheme="minorEastAsia" w:hAnsiTheme="minorHAnsi" w:cstheme="minorBidi"/>
          <w:spacing w:val="-4"/>
          <w:szCs w:val="24"/>
          <w:lang w:eastAsia="zh-CN"/>
        </w:rPr>
        <w:tab/>
      </w:r>
      <w:r w:rsidRPr="006975BE">
        <w:rPr>
          <w:szCs w:val="24"/>
        </w:rPr>
        <w:t>IEG members expressed divergent views on the necessity of including specific references to non-discriminatory and equitable access to orbital and spectrum resources, as well as orbital debris and mitigation of its impacts.</w:t>
      </w:r>
    </w:p>
    <w:p w14:paraId="6D736342"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7.10</w:t>
      </w:r>
      <w:r w:rsidRPr="006975BE">
        <w:rPr>
          <w:rFonts w:asciiTheme="minorHAnsi" w:eastAsiaTheme="minorEastAsia" w:hAnsiTheme="minorHAnsi" w:cstheme="minorBidi"/>
          <w:spacing w:val="-4"/>
          <w:szCs w:val="24"/>
          <w:lang w:eastAsia="zh-CN"/>
        </w:rPr>
        <w:tab/>
      </w:r>
      <w:r w:rsidRPr="006975BE">
        <w:rPr>
          <w:szCs w:val="24"/>
        </w:rPr>
        <w:t xml:space="preserve">IEG members also </w:t>
      </w:r>
      <w:r w:rsidRPr="006975BE">
        <w:rPr>
          <w:rFonts w:asciiTheme="minorHAnsi" w:eastAsiaTheme="minorEastAsia" w:hAnsiTheme="minorHAnsi" w:cstheme="minorBidi"/>
          <w:szCs w:val="24"/>
          <w:lang w:eastAsia="zh-CN"/>
        </w:rPr>
        <w:t>addressed</w:t>
      </w:r>
      <w:r w:rsidRPr="006975BE">
        <w:rPr>
          <w:szCs w:val="24"/>
        </w:rPr>
        <w:t xml:space="preserve"> the role of technology transfer in supporting the development of satellite and telecommunication infrastructure, with divergent views on the framing of technology transfer.</w:t>
      </w:r>
    </w:p>
    <w:p w14:paraId="7EB3CF1D" w14:textId="77777777" w:rsidR="00C64ED7" w:rsidRPr="006975BE" w:rsidRDefault="00C64ED7" w:rsidP="000827A7">
      <w:pPr>
        <w:keepNext/>
        <w:keepLines/>
        <w:tabs>
          <w:tab w:val="clear" w:pos="1134"/>
          <w:tab w:val="clear" w:pos="1701"/>
          <w:tab w:val="clear" w:pos="2268"/>
          <w:tab w:val="clear" w:pos="2835"/>
        </w:tabs>
        <w:overflowPunct/>
        <w:autoSpaceDE/>
        <w:autoSpaceDN/>
        <w:adjustRightInd/>
        <w:spacing w:before="240"/>
        <w:jc w:val="center"/>
        <w:textAlignment w:val="auto"/>
        <w:outlineLvl w:val="1"/>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noProof/>
          <w:sz w:val="22"/>
          <w:szCs w:val="22"/>
          <w:lang w:eastAsia="zh-CN"/>
        </w:rPr>
        <mc:AlternateContent>
          <mc:Choice Requires="wps">
            <w:drawing>
              <wp:inline distT="0" distB="0" distL="0" distR="0" wp14:anchorId="0FAEC3B0" wp14:editId="3E95DF19">
                <wp:extent cx="5580000" cy="1535373"/>
                <wp:effectExtent l="0" t="0" r="20955" b="27305"/>
                <wp:docPr id="124993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535373"/>
                        </a:xfrm>
                        <a:prstGeom prst="rect">
                          <a:avLst/>
                        </a:prstGeom>
                        <a:solidFill>
                          <a:srgbClr val="FFFFFF"/>
                        </a:solidFill>
                        <a:ln w="12700">
                          <a:solidFill>
                            <a:srgbClr val="9BBB59"/>
                          </a:solidFill>
                          <a:miter lim="800000"/>
                          <a:headEnd/>
                          <a:tailEnd/>
                        </a:ln>
                      </wps:spPr>
                      <wps:txbx>
                        <w:txbxContent>
                          <w:p w14:paraId="2CFAED00" w14:textId="77777777" w:rsidR="00C64ED7" w:rsidRPr="00A859A1" w:rsidRDefault="00C64ED7" w:rsidP="004001F7">
                            <w:pPr>
                              <w:rPr>
                                <w:color w:val="9BBB59" w:themeColor="accent3"/>
                                <w:sz w:val="22"/>
                              </w:rPr>
                            </w:pPr>
                            <w:r w:rsidRPr="00A859A1">
                              <w:rPr>
                                <w:color w:val="9BBB59" w:themeColor="accent3"/>
                                <w:sz w:val="22"/>
                              </w:rPr>
                              <w:t>Case Study: Space Sustainability Forum</w:t>
                            </w:r>
                          </w:p>
                          <w:p w14:paraId="3162EA13" w14:textId="77777777" w:rsidR="00C64ED7" w:rsidRPr="00A859A1" w:rsidRDefault="00C64ED7" w:rsidP="004001F7">
                            <w:pPr>
                              <w:jc w:val="both"/>
                              <w:rPr>
                                <w:sz w:val="22"/>
                              </w:rPr>
                            </w:pPr>
                            <w:r w:rsidRPr="00EA7B9E">
                              <w:rPr>
                                <w:sz w:val="22"/>
                              </w:rPr>
                              <w:t xml:space="preserve">The </w:t>
                            </w:r>
                            <w:hyperlink r:id="rId26" w:history="1">
                              <w:r w:rsidRPr="00E54129">
                                <w:rPr>
                                  <w:rStyle w:val="Hyperlink"/>
                                  <w:sz w:val="22"/>
                                </w:rPr>
                                <w:t>Space Sustainability Forum</w:t>
                              </w:r>
                            </w:hyperlink>
                            <w:r w:rsidRPr="00EA7B9E">
                              <w:rPr>
                                <w:sz w:val="22"/>
                              </w:rPr>
                              <w:t xml:space="preserve"> has convened top leaders and subject matter experts from the satellite and space industries, space and telecom agencies, governments and other space stakeholders committed to the responsible use of outer space. Across its two editions, the Forum has provided a platform to discuss and explore the policies, best practices, guidelines and strategies needed to ensure that space remains accessible and sustainable for the growing range of space activities envisioned today and in the future.</w:t>
                            </w:r>
                          </w:p>
                        </w:txbxContent>
                      </wps:txbx>
                      <wps:bodyPr rot="0" vert="horz" wrap="square" lIns="91440" tIns="45720" rIns="91440" bIns="45720" anchor="t" anchorCtr="0" upright="1">
                        <a:noAutofit/>
                      </wps:bodyPr>
                    </wps:wsp>
                  </a:graphicData>
                </a:graphic>
              </wp:inline>
            </w:drawing>
          </mc:Choice>
          <mc:Fallback>
            <w:pict>
              <v:shape w14:anchorId="0FAEC3B0" id="_x0000_s1036" type="#_x0000_t202" style="width:439.35pt;height:1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" strokecolor="#9bbb59" strokeweight="1pt">
                <v:textbox>
                  <w:txbxContent>
                    <w:p w14:paraId="2CFAED00" w14:textId="77777777" w:rsidR="00C64ED7" w:rsidRPr="00A859A1" w:rsidRDefault="00C64ED7" w:rsidP="004001F7">
                      <w:pPr>
                        <w:rPr>
                          <w:color w:val="9BBB59" w:themeColor="accent3"/>
                          <w:sz w:val="22"/>
                        </w:rPr>
                      </w:pPr>
                      <w:r w:rsidRPr="00A859A1">
                        <w:rPr>
                          <w:color w:val="9BBB59" w:themeColor="accent3"/>
                          <w:sz w:val="22"/>
                        </w:rPr>
                        <w:t>Case Study: Space Sustainability Forum</w:t>
                      </w:r>
                    </w:p>
                    <w:p w14:paraId="3162EA13" w14:textId="77777777" w:rsidR="00C64ED7" w:rsidRPr="00A859A1" w:rsidRDefault="00C64ED7" w:rsidP="004001F7">
                      <w:pPr>
                        <w:jc w:val="both"/>
                        <w:rPr>
                          <w:sz w:val="22"/>
                        </w:rPr>
                      </w:pPr>
                      <w:r w:rsidRPr="00EA7B9E">
                        <w:rPr>
                          <w:sz w:val="22"/>
                        </w:rPr>
                        <w:t xml:space="preserve">The </w:t>
                      </w:r>
                      <w:hyperlink r:id="rId27" w:history="1">
                        <w:r w:rsidRPr="00E54129">
                          <w:rPr>
                            <w:rStyle w:val="Hyperlink"/>
                            <w:sz w:val="22"/>
                          </w:rPr>
                          <w:t>Space Sustainability Forum</w:t>
                        </w:r>
                      </w:hyperlink>
                      <w:r w:rsidRPr="00EA7B9E">
                        <w:rPr>
                          <w:sz w:val="22"/>
                        </w:rPr>
                        <w:t xml:space="preserve"> has convened top leaders and subject matter experts from the satellite and space industries, space and telecom agencies, governments and other space stakeholders committed to the responsible use of outer space. Across its two editions, the Forum has provided a platform to discuss and explore the policies, best practices, guidelines and strategies needed to ensure that space remains accessible and sustainable for the growing range of space activities envisioned today and in the future.</w:t>
                      </w:r>
                    </w:p>
                  </w:txbxContent>
                </v:textbox>
                <w10:anchorlock/>
              </v:shape>
            </w:pict>
          </mc:Fallback>
        </mc:AlternateContent>
      </w:r>
    </w:p>
    <w:p w14:paraId="531D7A5A"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7.11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As the space connectivity sector continues its rapid evolution, several important aspects </w:t>
      </w:r>
      <w:r w:rsidRPr="006975BE">
        <w:rPr>
          <w:szCs w:val="24"/>
        </w:rPr>
        <w:t>emerge</w:t>
      </w:r>
      <w:r w:rsidRPr="006975BE">
        <w:rPr>
          <w:rFonts w:asciiTheme="minorHAnsi" w:eastAsiaTheme="minorEastAsia" w:hAnsiTheme="minorHAnsi" w:cstheme="minorBidi"/>
          <w:szCs w:val="24"/>
          <w:lang w:eastAsia="zh-CN"/>
        </w:rPr>
        <w:t xml:space="preserve"> for consideration at the intersection of technological advancement, universal access, and sustainable space operations:</w:t>
      </w:r>
    </w:p>
    <w:p w14:paraId="2CEBC169"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7.11.1</w:t>
      </w:r>
      <w:r w:rsidRPr="006975BE">
        <w:rPr>
          <w:rFonts w:eastAsiaTheme="minorEastAsia"/>
          <w:bCs/>
          <w:szCs w:val="24"/>
          <w:lang w:eastAsia="zh-CN"/>
        </w:rPr>
        <w:tab/>
      </w:r>
      <w:r w:rsidRPr="006975BE">
        <w:rPr>
          <w:rFonts w:eastAsiaTheme="minorEastAsia"/>
          <w:szCs w:val="24"/>
          <w:lang w:eastAsia="zh-CN"/>
        </w:rPr>
        <w:t>Emerging trends and developments in space connectivity focus on creating innovative solutions for inclusive and sustainable digital futures.</w:t>
      </w:r>
    </w:p>
    <w:p w14:paraId="6B67B681"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7.11.2</w:t>
      </w:r>
      <w:r w:rsidRPr="006975BE">
        <w:rPr>
          <w:rFonts w:eastAsiaTheme="minorEastAsia"/>
          <w:bCs/>
          <w:szCs w:val="24"/>
          <w:lang w:eastAsia="zh-CN"/>
        </w:rPr>
        <w:tab/>
      </w:r>
      <w:r w:rsidRPr="006975BE">
        <w:rPr>
          <w:rFonts w:eastAsiaTheme="minorEastAsia"/>
          <w:szCs w:val="24"/>
          <w:lang w:eastAsia="zh-CN"/>
        </w:rPr>
        <w:t xml:space="preserve">Bridging the digital divide through space-based connectivity can help to </w:t>
      </w:r>
      <w:r w:rsidRPr="006975BE">
        <w:rPr>
          <w:rFonts w:eastAsiaTheme="minorEastAsia"/>
          <w:szCs w:val="24"/>
        </w:rPr>
        <w:t>address</w:t>
      </w:r>
      <w:r w:rsidRPr="006975BE">
        <w:rPr>
          <w:rFonts w:eastAsiaTheme="minorEastAsia"/>
          <w:szCs w:val="24"/>
          <w:lang w:eastAsia="zh-CN"/>
        </w:rPr>
        <w:t xml:space="preserve"> the needs of unserved and underserved communities.</w:t>
      </w:r>
    </w:p>
    <w:p w14:paraId="04D15925"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7.11.3</w:t>
      </w:r>
      <w:r w:rsidRPr="006975BE">
        <w:rPr>
          <w:rFonts w:eastAsiaTheme="minorEastAsia"/>
          <w:bCs/>
          <w:szCs w:val="24"/>
          <w:lang w:eastAsia="zh-CN"/>
        </w:rPr>
        <w:tab/>
      </w:r>
      <w:r w:rsidRPr="006975BE">
        <w:rPr>
          <w:rFonts w:eastAsiaTheme="minorEastAsia"/>
          <w:szCs w:val="24"/>
          <w:lang w:eastAsia="zh-CN"/>
        </w:rPr>
        <w:t>Enabling policy and regulatory frameworks support the responsible deployment and sustainable use of space-based connectivity systems. There is broad recognition that space connectivity themes fall under the mandates of different UN entities related to outer space, such as the United Nations Office for Outer Space Affairs (UNOOSA), the Committee on the Peaceful Uses of Outer Space (COPUOS), and ITU. Within ITU specifically, there are established global regulatory frameworks governing these sectors, particularly through the World Radiocommunication Conferences.</w:t>
      </w:r>
    </w:p>
    <w:p w14:paraId="6E5591AB" w14:textId="77777777" w:rsidR="00C64ED7" w:rsidRPr="006975BE" w:rsidRDefault="00C64ED7" w:rsidP="00B435CB">
      <w:pPr>
        <w:pStyle w:val="enumlev1"/>
        <w:jc w:val="both"/>
        <w:rPr>
          <w:rFonts w:eastAsiaTheme="minorEastAsia" w:cstheme="minorHAnsi"/>
          <w:szCs w:val="24"/>
          <w:lang w:eastAsia="zh-CN"/>
        </w:rPr>
      </w:pPr>
      <w:r w:rsidRPr="006975BE">
        <w:rPr>
          <w:rFonts w:eastAsiaTheme="minorEastAsia" w:cstheme="minorHAnsi"/>
          <w:bCs/>
          <w:szCs w:val="24"/>
          <w:lang w:eastAsia="zh-CN"/>
        </w:rPr>
        <w:t>7.11.4</w:t>
      </w:r>
      <w:r w:rsidRPr="006975BE">
        <w:rPr>
          <w:rFonts w:eastAsiaTheme="minorEastAsia" w:cstheme="minorHAnsi"/>
          <w:bCs/>
          <w:szCs w:val="24"/>
          <w:lang w:eastAsia="zh-CN"/>
        </w:rPr>
        <w:tab/>
      </w:r>
      <w:r w:rsidRPr="006975BE">
        <w:rPr>
          <w:rFonts w:eastAsiaTheme="minorEastAsia"/>
          <w:szCs w:val="24"/>
          <w:lang w:eastAsia="zh-CN"/>
        </w:rPr>
        <w:t xml:space="preserve">Complementarity between different space-based systems and terrestrial networks creates </w:t>
      </w:r>
      <w:r w:rsidRPr="006975BE">
        <w:rPr>
          <w:rFonts w:eastAsiaTheme="minorEastAsia" w:cstheme="minorHAnsi"/>
          <w:szCs w:val="24"/>
          <w:lang w:eastAsia="zh-CN"/>
        </w:rPr>
        <w:t>opportunities for enhanced connectivity solutions.</w:t>
      </w:r>
    </w:p>
    <w:p w14:paraId="63C233EC" w14:textId="77777777" w:rsidR="00C64ED7" w:rsidRPr="006975BE" w:rsidRDefault="00C64ED7" w:rsidP="00B435CB">
      <w:pPr>
        <w:pStyle w:val="enumlev1"/>
        <w:jc w:val="both"/>
        <w:rPr>
          <w:rFonts w:eastAsiaTheme="minorEastAsia" w:cstheme="minorHAnsi"/>
          <w:szCs w:val="24"/>
          <w:lang w:eastAsia="zh-CN"/>
        </w:rPr>
      </w:pPr>
      <w:r w:rsidRPr="006975BE">
        <w:rPr>
          <w:rFonts w:eastAsiaTheme="minorEastAsia" w:cstheme="minorHAnsi"/>
          <w:bCs/>
          <w:szCs w:val="24"/>
          <w:lang w:eastAsia="zh-CN"/>
        </w:rPr>
        <w:t>7.11.5</w:t>
      </w:r>
      <w:r w:rsidRPr="006975BE">
        <w:rPr>
          <w:rFonts w:eastAsiaTheme="minorEastAsia" w:cstheme="minorHAnsi"/>
          <w:bCs/>
          <w:szCs w:val="24"/>
          <w:lang w:eastAsia="zh-CN"/>
        </w:rPr>
        <w:tab/>
      </w:r>
      <w:r w:rsidRPr="006975BE">
        <w:rPr>
          <w:rFonts w:eastAsiaTheme="minorEastAsia" w:cstheme="minorHAnsi"/>
          <w:szCs w:val="24"/>
          <w:lang w:eastAsia="zh-CN"/>
        </w:rPr>
        <w:t xml:space="preserve">The spectrum and </w:t>
      </w:r>
      <w:r w:rsidRPr="006975BE">
        <w:rPr>
          <w:rFonts w:eastAsiaTheme="minorEastAsia" w:cstheme="minorHAnsi"/>
          <w:szCs w:val="24"/>
        </w:rPr>
        <w:t xml:space="preserve">related satellite </w:t>
      </w:r>
      <w:r w:rsidRPr="006975BE">
        <w:rPr>
          <w:rFonts w:eastAsiaTheme="minorEastAsia" w:cstheme="minorHAnsi"/>
          <w:szCs w:val="24"/>
          <w:lang w:eastAsia="zh-CN"/>
        </w:rPr>
        <w:t xml:space="preserve">orbits being limited; it is necessary to use </w:t>
      </w:r>
      <w:r w:rsidRPr="006975BE">
        <w:rPr>
          <w:rFonts w:eastAsiaTheme="minorEastAsia" w:cstheme="minorHAnsi"/>
          <w:szCs w:val="24"/>
        </w:rPr>
        <w:t>them</w:t>
      </w:r>
      <w:r w:rsidRPr="006975BE">
        <w:rPr>
          <w:rFonts w:eastAsiaTheme="minorEastAsia" w:cstheme="minorHAnsi"/>
          <w:szCs w:val="24"/>
          <w:lang w:eastAsia="zh-CN"/>
        </w:rPr>
        <w:t xml:space="preserve"> optimally </w:t>
      </w:r>
      <w:r w:rsidRPr="006975BE">
        <w:rPr>
          <w:rFonts w:eastAsiaTheme="minorEastAsia" w:cstheme="minorHAnsi"/>
          <w:szCs w:val="24"/>
        </w:rPr>
        <w:t xml:space="preserve">by updating regulatory frameworks </w:t>
      </w:r>
      <w:proofErr w:type="gramStart"/>
      <w:r w:rsidRPr="006975BE">
        <w:rPr>
          <w:rFonts w:eastAsiaTheme="minorEastAsia" w:cstheme="minorHAnsi"/>
          <w:szCs w:val="24"/>
        </w:rPr>
        <w:t>in order to</w:t>
      </w:r>
      <w:proofErr w:type="gramEnd"/>
      <w:r w:rsidRPr="006975BE">
        <w:rPr>
          <w:rFonts w:eastAsiaTheme="minorEastAsia" w:cstheme="minorHAnsi"/>
          <w:szCs w:val="24"/>
        </w:rPr>
        <w:t xml:space="preserve"> maximize spectral efficiency and employ modern spectrum management techniques, </w:t>
      </w:r>
      <w:r w:rsidRPr="006975BE">
        <w:rPr>
          <w:rFonts w:eastAsiaTheme="minorEastAsia" w:cstheme="minorHAnsi"/>
          <w:szCs w:val="24"/>
          <w:lang w:eastAsia="zh-CN"/>
        </w:rPr>
        <w:t xml:space="preserve">with </w:t>
      </w:r>
      <w:r w:rsidRPr="006975BE">
        <w:rPr>
          <w:rFonts w:eastAsiaTheme="minorEastAsia" w:cstheme="minorHAnsi"/>
          <w:szCs w:val="24"/>
        </w:rPr>
        <w:t>rational,</w:t>
      </w:r>
      <w:r w:rsidRPr="006975BE">
        <w:rPr>
          <w:rFonts w:eastAsiaTheme="minorEastAsia" w:cstheme="minorHAnsi"/>
          <w:szCs w:val="24"/>
          <w:lang w:eastAsia="zh-CN"/>
        </w:rPr>
        <w:t xml:space="preserve"> equitable</w:t>
      </w:r>
      <w:r w:rsidRPr="006975BE">
        <w:rPr>
          <w:rFonts w:eastAsiaTheme="minorEastAsia" w:cstheme="minorHAnsi"/>
          <w:szCs w:val="24"/>
        </w:rPr>
        <w:t>, efficient and economical use</w:t>
      </w:r>
      <w:r w:rsidRPr="006975BE">
        <w:rPr>
          <w:rFonts w:eastAsiaTheme="minorEastAsia" w:cstheme="minorHAnsi"/>
          <w:szCs w:val="24"/>
          <w:lang w:eastAsia="zh-CN"/>
        </w:rPr>
        <w:t xml:space="preserve"> access </w:t>
      </w:r>
      <w:r w:rsidRPr="006975BE">
        <w:rPr>
          <w:rFonts w:eastAsiaTheme="minorEastAsia" w:cstheme="minorHAnsi"/>
          <w:szCs w:val="24"/>
        </w:rPr>
        <w:t>for</w:t>
      </w:r>
      <w:r w:rsidRPr="006975BE">
        <w:rPr>
          <w:rFonts w:eastAsiaTheme="minorEastAsia" w:cstheme="minorHAnsi"/>
          <w:szCs w:val="24"/>
          <w:lang w:eastAsia="zh-CN"/>
        </w:rPr>
        <w:t xml:space="preserve"> all countries, especially developing countries.</w:t>
      </w:r>
    </w:p>
    <w:p w14:paraId="2C4EC6AB" w14:textId="77777777" w:rsidR="00C64ED7" w:rsidRPr="006975BE" w:rsidRDefault="00C64ED7" w:rsidP="00B435CB">
      <w:pPr>
        <w:pStyle w:val="enumlev1"/>
        <w:jc w:val="both"/>
        <w:rPr>
          <w:rFonts w:eastAsiaTheme="minorEastAsia" w:cstheme="minorHAnsi"/>
          <w:szCs w:val="24"/>
          <w:lang w:eastAsia="zh-CN"/>
        </w:rPr>
      </w:pPr>
      <w:r w:rsidRPr="006975BE">
        <w:rPr>
          <w:rFonts w:eastAsiaTheme="minorEastAsia" w:cstheme="minorHAnsi"/>
          <w:bCs/>
          <w:szCs w:val="24"/>
          <w:lang w:eastAsia="zh-CN"/>
        </w:rPr>
        <w:t>7.11.6</w:t>
      </w:r>
      <w:r w:rsidRPr="006975BE">
        <w:rPr>
          <w:rFonts w:eastAsiaTheme="minorEastAsia" w:cstheme="minorHAnsi"/>
          <w:bCs/>
          <w:szCs w:val="24"/>
          <w:lang w:eastAsia="zh-CN"/>
        </w:rPr>
        <w:tab/>
      </w:r>
      <w:r w:rsidRPr="006975BE">
        <w:rPr>
          <w:rFonts w:eastAsiaTheme="minorEastAsia" w:cstheme="minorHAnsi"/>
          <w:szCs w:val="24"/>
          <w:lang w:eastAsia="zh-CN"/>
        </w:rPr>
        <w:t>Public private partnership and economic incentive by governments can accelerate the deployment of space-based telecommunication/ICT services and technologies which can accelerate access to connectivity in underserved and unserved regions.</w:t>
      </w:r>
    </w:p>
    <w:p w14:paraId="6528511B" w14:textId="77777777" w:rsidR="00C64ED7" w:rsidRPr="006975BE" w:rsidRDefault="00C64ED7" w:rsidP="00B435CB">
      <w:pPr>
        <w:jc w:val="both"/>
        <w:rPr>
          <w:rFonts w:asciiTheme="minorHAnsi" w:eastAsiaTheme="minorEastAsia" w:hAnsiTheme="minorHAnsi" w:cstheme="minorHAnsi"/>
          <w:szCs w:val="24"/>
          <w:lang w:eastAsia="zh-CN"/>
        </w:rPr>
      </w:pPr>
      <w:r w:rsidRPr="006975BE">
        <w:rPr>
          <w:rFonts w:asciiTheme="minorHAnsi" w:eastAsiaTheme="minorEastAsia" w:hAnsiTheme="minorHAnsi" w:cstheme="minorHAnsi"/>
          <w:spacing w:val="-4"/>
          <w:szCs w:val="24"/>
          <w:lang w:eastAsia="zh-CN"/>
        </w:rPr>
        <w:lastRenderedPageBreak/>
        <w:t>7.12</w:t>
      </w:r>
      <w:r w:rsidRPr="006975BE">
        <w:rPr>
          <w:rFonts w:asciiTheme="minorHAnsi" w:eastAsiaTheme="minorEastAsia" w:hAnsiTheme="minorHAnsi" w:cstheme="minorHAnsi"/>
          <w:spacing w:val="-4"/>
          <w:szCs w:val="24"/>
          <w:lang w:eastAsia="zh-CN"/>
        </w:rPr>
        <w:tab/>
      </w:r>
      <w:r w:rsidRPr="006975BE">
        <w:rPr>
          <w:rFonts w:asciiTheme="minorHAnsi" w:eastAsiaTheme="minorEastAsia" w:hAnsiTheme="minorHAnsi" w:cstheme="minorHAnsi"/>
          <w:szCs w:val="24"/>
          <w:lang w:eastAsia="zh-CN"/>
        </w:rPr>
        <w:t>Given these considerations in space-based telecommunication/ICT connectivity and sustainability, policymakers and stakeholders should address the following questions to ensure responsible development of space-based telecommunication/ICT services and technologies:</w:t>
      </w:r>
    </w:p>
    <w:p w14:paraId="56BC617B"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7.12.1</w:t>
      </w:r>
      <w:r w:rsidRPr="006975BE">
        <w:rPr>
          <w:rFonts w:eastAsiaTheme="minorEastAsia"/>
          <w:bCs/>
          <w:szCs w:val="24"/>
          <w:lang w:eastAsia="zh-CN"/>
        </w:rPr>
        <w:tab/>
      </w:r>
      <w:r w:rsidRPr="006975BE">
        <w:rPr>
          <w:rFonts w:eastAsiaTheme="minorEastAsia"/>
          <w:szCs w:val="24"/>
          <w:lang w:eastAsia="zh-CN"/>
        </w:rPr>
        <w:t>What challenges, trends and developments in space-based telecommunication/ICT connectivity contribute to an inclusive, sustainable, resilient, affordable and innovative digital future? How can governments, the public sector, the private sector, and civil society, each in its respective role, build upon these developments?</w:t>
      </w:r>
    </w:p>
    <w:p w14:paraId="13F4A25F"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7.12.2</w:t>
      </w:r>
      <w:r w:rsidRPr="006975BE">
        <w:rPr>
          <w:rFonts w:eastAsiaTheme="minorEastAsia"/>
          <w:bCs/>
          <w:szCs w:val="24"/>
          <w:lang w:eastAsia="zh-CN"/>
        </w:rPr>
        <w:tab/>
      </w:r>
      <w:r w:rsidRPr="006975BE">
        <w:rPr>
          <w:rFonts w:eastAsiaTheme="minorEastAsia"/>
          <w:szCs w:val="24"/>
          <w:lang w:eastAsia="zh-CN"/>
        </w:rPr>
        <w:t>How can space -based telecommunication/ICT connectivity bridge digital divides and contribute to sustainable development, particularly in historically underserved and unserved communities, while addressing various stakeholder priorities including accessibility, affordability and resilience of communications?</w:t>
      </w:r>
    </w:p>
    <w:p w14:paraId="2B05E590"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7.12.3</w:t>
      </w:r>
      <w:r w:rsidRPr="006975BE">
        <w:rPr>
          <w:rFonts w:eastAsiaTheme="minorEastAsia"/>
          <w:bCs/>
          <w:szCs w:val="24"/>
          <w:lang w:eastAsia="zh-CN"/>
        </w:rPr>
        <w:tab/>
      </w:r>
      <w:r w:rsidRPr="006975BE">
        <w:rPr>
          <w:rFonts w:eastAsiaTheme="minorEastAsia"/>
          <w:szCs w:val="24"/>
          <w:lang w:eastAsia="zh-CN"/>
        </w:rPr>
        <w:t>How can administrations act at the national, regional, and international levels to create an enabling policy and regulatory environment for the deployment and use of space-based telecommunication/ICT connectivity? How can regulatory frameworks be harmonized across different countries to facilitate the deployment and operation of space-based telecommunication/ICT connectivity systems?</w:t>
      </w:r>
    </w:p>
    <w:p w14:paraId="1C4490FE" w14:textId="40966281" w:rsidR="00C64ED7" w:rsidRPr="006975BE" w:rsidRDefault="00C64ED7" w:rsidP="00B435CB">
      <w:pPr>
        <w:pStyle w:val="enumlev1"/>
        <w:jc w:val="both"/>
        <w:rPr>
          <w:rFonts w:eastAsiaTheme="minorEastAsia"/>
          <w:szCs w:val="24"/>
        </w:rPr>
      </w:pPr>
      <w:r w:rsidRPr="006975BE">
        <w:rPr>
          <w:rFonts w:eastAsiaTheme="minorEastAsia"/>
          <w:bCs/>
          <w:szCs w:val="24"/>
        </w:rPr>
        <w:t>7.12.4</w:t>
      </w:r>
      <w:r w:rsidRPr="006975BE">
        <w:rPr>
          <w:rFonts w:eastAsiaTheme="minorEastAsia"/>
          <w:bCs/>
          <w:szCs w:val="24"/>
        </w:rPr>
        <w:tab/>
      </w:r>
      <w:r w:rsidRPr="006975BE">
        <w:rPr>
          <w:rFonts w:eastAsiaTheme="minorEastAsia"/>
          <w:szCs w:val="24"/>
          <w:lang w:eastAsia="zh-CN"/>
        </w:rPr>
        <w:t xml:space="preserve">How can complementarities among different space-based telecommunication/ICT connectivity systems and between space-based telecommunication/ICT connectivity systems and terrestrial networks contribute to an inclusive and innovative digital future? How can policymakers help enable </w:t>
      </w:r>
      <w:r w:rsidRPr="006975BE">
        <w:rPr>
          <w:rFonts w:eastAsiaTheme="minorEastAsia"/>
          <w:szCs w:val="24"/>
        </w:rPr>
        <w:t>connectivity services</w:t>
      </w:r>
      <w:r w:rsidRPr="006975BE">
        <w:rPr>
          <w:rFonts w:eastAsiaTheme="minorEastAsia"/>
          <w:szCs w:val="24"/>
          <w:lang w:eastAsia="zh-CN"/>
        </w:rPr>
        <w:t xml:space="preserve"> that evolve from these complementarities and what regulatory mechanisms can be put in place </w:t>
      </w:r>
      <w:r w:rsidRPr="006975BE">
        <w:rPr>
          <w:rFonts w:eastAsiaTheme="minorEastAsia"/>
          <w:szCs w:val="24"/>
        </w:rPr>
        <w:t xml:space="preserve">to foster collaboration? </w:t>
      </w:r>
    </w:p>
    <w:p w14:paraId="0D7B2549"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7.12.5</w:t>
      </w:r>
      <w:r w:rsidRPr="006975BE">
        <w:rPr>
          <w:rFonts w:eastAsiaTheme="minorEastAsia" w:cstheme="minorBidi"/>
          <w:bCs/>
          <w:szCs w:val="24"/>
          <w:lang w:eastAsia="zh-CN"/>
        </w:rPr>
        <w:tab/>
      </w:r>
      <w:r w:rsidRPr="006975BE">
        <w:rPr>
          <w:rFonts w:eastAsiaTheme="minorEastAsia"/>
          <w:szCs w:val="24"/>
          <w:lang w:eastAsia="zh-CN"/>
        </w:rPr>
        <w:t xml:space="preserve">Recognizing the mandate of ITU and its regulatory framework and sectors, particularly </w:t>
      </w:r>
      <w:r w:rsidRPr="006975BE">
        <w:rPr>
          <w:rFonts w:eastAsiaTheme="minorEastAsia" w:cstheme="minorBidi"/>
          <w:szCs w:val="24"/>
          <w:lang w:eastAsia="zh-CN"/>
        </w:rPr>
        <w:t>the world radiocommunication conferences, how can international coordination and collaboration be improved to manage the) use of radio frequency spectrum for space-based telecommunication/ICT services, ensuring equitable access to space resources for all countries?</w:t>
      </w:r>
    </w:p>
    <w:p w14:paraId="48522029"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7.12.6</w:t>
      </w:r>
      <w:r w:rsidRPr="006975BE">
        <w:rPr>
          <w:rFonts w:eastAsiaTheme="minorEastAsia" w:cstheme="minorBidi"/>
          <w:bCs/>
          <w:szCs w:val="24"/>
          <w:lang w:eastAsia="zh-CN"/>
        </w:rPr>
        <w:tab/>
      </w:r>
      <w:r w:rsidRPr="006975BE">
        <w:rPr>
          <w:rFonts w:eastAsiaTheme="minorEastAsia" w:cstheme="minorBidi"/>
          <w:szCs w:val="24"/>
          <w:lang w:eastAsia="zh-CN"/>
        </w:rPr>
        <w:t>What regulatory frameworks need to be established to ensure Space Traffic Coordination (STC) and to enable efficient use of orbits? How can countries collaborate to develop and implement space traffic coordination systems that ensure the safety and sustainability of space connectivity activities?</w:t>
      </w:r>
    </w:p>
    <w:p w14:paraId="11A8990B"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7.12.7</w:t>
      </w:r>
      <w:r w:rsidRPr="006975BE">
        <w:rPr>
          <w:rFonts w:eastAsiaTheme="minorEastAsia" w:cstheme="minorBidi"/>
          <w:bCs/>
          <w:szCs w:val="24"/>
          <w:lang w:eastAsia="zh-CN"/>
        </w:rPr>
        <w:tab/>
      </w:r>
      <w:r w:rsidRPr="006975BE">
        <w:rPr>
          <w:rFonts w:eastAsiaTheme="minorEastAsia" w:cstheme="minorBidi"/>
          <w:szCs w:val="24"/>
          <w:lang w:eastAsia="zh-CN"/>
        </w:rPr>
        <w:t xml:space="preserve">How to promote widespread affordable access to space-based telecommunication/ICT connectivity solutions, particularly in developing and least developed countries and low-income and remote communities, by encouraging competition, innovation, private investment, and public-private partnerships, among other mechanisms? </w:t>
      </w:r>
    </w:p>
    <w:p w14:paraId="0C03EDCD"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7.12.8</w:t>
      </w:r>
      <w:r w:rsidRPr="006975BE">
        <w:rPr>
          <w:rFonts w:eastAsiaTheme="minorEastAsia" w:cstheme="minorBidi"/>
          <w:bCs/>
          <w:szCs w:val="24"/>
          <w:lang w:eastAsia="zh-CN"/>
        </w:rPr>
        <w:tab/>
      </w:r>
      <w:r w:rsidRPr="006975BE">
        <w:rPr>
          <w:rFonts w:eastAsiaTheme="minorEastAsia" w:cstheme="minorBidi"/>
          <w:szCs w:val="24"/>
          <w:lang w:eastAsia="zh-CN"/>
        </w:rPr>
        <w:t xml:space="preserve">How can the environmental impact of space connectivity operations be minimized, and what technically informed measures or policies can promote environmentally sustainable practices in the space industry? Recognizing the respective mandates of different UN entities related to the outer space, such as ITU, UNOOSA and COPUOS, how can the ITU support coordination and dialogue on space debris, and how can international cooperation be enhanced to ensure sustainable space operations? What innovative approaches are being considered to mitigate these challenges related to environmental risks and the long-term sustainable use of outer space? </w:t>
      </w:r>
    </w:p>
    <w:p w14:paraId="0DC68ACC" w14:textId="32AF6EFD"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lastRenderedPageBreak/>
        <w:t>7.12.9</w:t>
      </w:r>
      <w:r w:rsidRPr="006975BE">
        <w:rPr>
          <w:rFonts w:eastAsiaTheme="minorEastAsia" w:cstheme="minorBidi"/>
          <w:bCs/>
          <w:szCs w:val="24"/>
          <w:lang w:eastAsia="zh-CN"/>
        </w:rPr>
        <w:tab/>
      </w:r>
      <w:r w:rsidRPr="006975BE">
        <w:rPr>
          <w:rFonts w:eastAsiaTheme="minorEastAsia" w:cstheme="minorBidi"/>
          <w:szCs w:val="24"/>
          <w:lang w:eastAsia="zh-CN"/>
        </w:rPr>
        <w:t>What policies can support ongoing innovation and research in space-based telecommunication/ICT connectivity technologies, and how can these policies ensure that advancements benefit all sectors of society?</w:t>
      </w:r>
    </w:p>
    <w:p w14:paraId="14C765DD"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7.12.10</w:t>
      </w:r>
      <w:r w:rsidRPr="006975BE">
        <w:rPr>
          <w:rFonts w:eastAsiaTheme="minorEastAsia" w:cstheme="minorBidi"/>
          <w:bCs/>
          <w:szCs w:val="24"/>
          <w:lang w:eastAsia="zh-CN"/>
        </w:rPr>
        <w:tab/>
      </w:r>
      <w:r w:rsidRPr="006975BE">
        <w:rPr>
          <w:rFonts w:eastAsiaTheme="minorEastAsia" w:cstheme="minorBidi"/>
          <w:szCs w:val="24"/>
          <w:lang w:eastAsia="zh-CN"/>
        </w:rPr>
        <w:t xml:space="preserve">What policy and regulatory measures based on good practices countries can take to ensure security, trust, and resilience regarding space-based services for communication? How can these measures be coordinated and harmonized internationally? </w:t>
      </w:r>
    </w:p>
    <w:p w14:paraId="409B9A24" w14:textId="77777777" w:rsidR="00C64ED7" w:rsidRPr="006975BE" w:rsidRDefault="00C64ED7" w:rsidP="00B435CB">
      <w:pPr>
        <w:pStyle w:val="enumlev1"/>
        <w:jc w:val="both"/>
        <w:rPr>
          <w:rFonts w:eastAsiaTheme="minorEastAsia" w:cstheme="minorBidi"/>
          <w:szCs w:val="24"/>
          <w:lang w:eastAsia="zh-CN"/>
        </w:rPr>
      </w:pPr>
      <w:r w:rsidRPr="006975BE">
        <w:rPr>
          <w:rFonts w:eastAsiaTheme="minorEastAsia" w:cstheme="minorBidi"/>
          <w:bCs/>
          <w:szCs w:val="24"/>
          <w:lang w:eastAsia="zh-CN"/>
        </w:rPr>
        <w:t>7.12.11</w:t>
      </w:r>
      <w:r w:rsidRPr="006975BE">
        <w:rPr>
          <w:rFonts w:eastAsiaTheme="minorEastAsia" w:cstheme="minorBidi"/>
          <w:bCs/>
          <w:szCs w:val="24"/>
          <w:lang w:eastAsia="zh-CN"/>
        </w:rPr>
        <w:tab/>
      </w:r>
      <w:r w:rsidRPr="006975BE">
        <w:rPr>
          <w:rFonts w:eastAsiaTheme="minorEastAsia" w:cstheme="minorBidi"/>
          <w:szCs w:val="24"/>
          <w:lang w:eastAsia="zh-CN"/>
        </w:rPr>
        <w:t>How can space-based telecommunication/ICT connectivity support disaster preparedness, early-warning systems, and climate monitoring, particularly in vulnerable regions? Within ITU’s coordination role, what cooperation mechanisms can promote timely voluntary data-sharing and integration with terrestrial emergency-response systems?</w:t>
      </w:r>
    </w:p>
    <w:p w14:paraId="2C751C2A" w14:textId="77777777" w:rsidR="00C64ED7" w:rsidRPr="006975BE" w:rsidRDefault="00C64ED7" w:rsidP="004001F7">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4"/>
          <w:lang w:eastAsia="zh-CN"/>
        </w:rPr>
      </w:pPr>
      <w:r w:rsidRPr="006975BE">
        <w:rPr>
          <w:rFonts w:asciiTheme="minorHAnsi" w:eastAsiaTheme="minorEastAsia" w:hAnsiTheme="minorHAnsi" w:cstheme="minorBidi"/>
          <w:szCs w:val="24"/>
          <w:lang w:eastAsia="zh-CN"/>
        </w:rPr>
        <w:br w:type="page"/>
      </w:r>
    </w:p>
    <w:p w14:paraId="23C63CDE" w14:textId="0EEE50B6" w:rsidR="00C64ED7" w:rsidRPr="006975BE" w:rsidRDefault="00C64ED7" w:rsidP="00D03710">
      <w:pPr>
        <w:pStyle w:val="Heading1"/>
      </w:pPr>
      <w:r w:rsidRPr="006975BE">
        <w:lastRenderedPageBreak/>
        <w:t>8</w:t>
      </w:r>
      <w:r w:rsidRPr="006975BE">
        <w:tab/>
        <w:t xml:space="preserve">Strengthening ICT-centric </w:t>
      </w:r>
      <w:r w:rsidR="00F56933" w:rsidRPr="006975BE">
        <w:t>innovation ecosystems and entrepreneurship</w:t>
      </w:r>
    </w:p>
    <w:p w14:paraId="0719E0AD" w14:textId="77777777" w:rsidR="00C64ED7" w:rsidRPr="006975BE" w:rsidRDefault="00C64ED7" w:rsidP="00B435CB">
      <w:pPr>
        <w:jc w:val="both"/>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spacing w:val="-4"/>
          <w:szCs w:val="24"/>
          <w:lang w:eastAsia="zh-CN"/>
        </w:rPr>
        <w:t>8.1</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noProof/>
          <w:szCs w:val="24"/>
          <w:lang w:eastAsia="zh-CN"/>
        </w:rPr>
        <mc:AlternateContent>
          <mc:Choice Requires="wps">
            <w:drawing>
              <wp:anchor distT="0" distB="0" distL="114300" distR="114300" simplePos="0" relativeHeight="251664384" behindDoc="0" locked="0" layoutInCell="1" allowOverlap="1" wp14:anchorId="169CA9B6" wp14:editId="1327669D">
                <wp:simplePos x="0" y="0"/>
                <wp:positionH relativeFrom="column">
                  <wp:posOffset>3465357</wp:posOffset>
                </wp:positionH>
                <wp:positionV relativeFrom="paragraph">
                  <wp:posOffset>221615</wp:posOffset>
                </wp:positionV>
                <wp:extent cx="2691130" cy="3344545"/>
                <wp:effectExtent l="0" t="0" r="13970" b="27305"/>
                <wp:wrapSquare wrapText="bothSides"/>
                <wp:docPr id="526521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3344545"/>
                        </a:xfrm>
                        <a:prstGeom prst="rect">
                          <a:avLst/>
                        </a:prstGeom>
                        <a:solidFill>
                          <a:srgbClr val="FFFFFF"/>
                        </a:solidFill>
                        <a:ln w="12700">
                          <a:solidFill>
                            <a:srgbClr val="9BBB59">
                              <a:lumMod val="100000"/>
                              <a:lumOff val="0"/>
                            </a:srgbClr>
                          </a:solidFill>
                          <a:miter lim="800000"/>
                          <a:headEnd/>
                          <a:tailEnd/>
                        </a:ln>
                      </wps:spPr>
                      <wps:txbx>
                        <w:txbxContent>
                          <w:p w14:paraId="25088D7A" w14:textId="223AB957" w:rsidR="00C64ED7" w:rsidRPr="00A859A1" w:rsidRDefault="00C64ED7" w:rsidP="004001F7">
                            <w:pPr>
                              <w:rPr>
                                <w:color w:val="9BBB59" w:themeColor="accent3"/>
                                <w:sz w:val="22"/>
                              </w:rPr>
                            </w:pPr>
                            <w:r w:rsidRPr="00A859A1">
                              <w:rPr>
                                <w:color w:val="9BBB59" w:themeColor="accent3"/>
                                <w:sz w:val="22"/>
                              </w:rPr>
                              <w:t xml:space="preserve">Case Study: Digital </w:t>
                            </w:r>
                            <w:r w:rsidR="00F56933" w:rsidRPr="00A859A1">
                              <w:rPr>
                                <w:color w:val="9BBB59" w:themeColor="accent3"/>
                                <w:sz w:val="22"/>
                              </w:rPr>
                              <w:t xml:space="preserve">innovation profiles </w:t>
                            </w:r>
                            <w:r w:rsidRPr="00A859A1">
                              <w:rPr>
                                <w:color w:val="9BBB59" w:themeColor="accent3"/>
                                <w:sz w:val="22"/>
                              </w:rPr>
                              <w:t xml:space="preserve">and ITU </w:t>
                            </w:r>
                            <w:r w:rsidR="00F56933" w:rsidRPr="00A859A1">
                              <w:rPr>
                                <w:color w:val="9BBB59" w:themeColor="accent3"/>
                                <w:sz w:val="22"/>
                              </w:rPr>
                              <w:t>acceleration centres</w:t>
                            </w:r>
                          </w:p>
                          <w:p w14:paraId="54284A13" w14:textId="77777777" w:rsidR="00C64ED7" w:rsidRPr="00A859A1" w:rsidRDefault="00C64ED7" w:rsidP="004001F7">
                            <w:pPr>
                              <w:jc w:val="both"/>
                              <w:rPr>
                                <w:sz w:val="22"/>
                              </w:rPr>
                            </w:pPr>
                            <w:r w:rsidRPr="00A859A1">
                              <w:rPr>
                                <w:sz w:val="22"/>
                              </w:rPr>
                              <w:t>ITU collaborates with countries to provide accurate assessments of the health of their digital innovation ecosystems. This helps them develop strategies to inform national policies and initiatives. The ITU has delivered assessments to numerous countries, offering a comprehensive roadmap for ecosystem-driven innovation strategies.</w:t>
                            </w:r>
                          </w:p>
                          <w:p w14:paraId="28AEA30E" w14:textId="77777777" w:rsidR="00C64ED7" w:rsidRPr="00A859A1" w:rsidRDefault="00C64ED7" w:rsidP="004001F7">
                            <w:pPr>
                              <w:jc w:val="both"/>
                              <w:rPr>
                                <w:sz w:val="22"/>
                              </w:rPr>
                            </w:pPr>
                            <w:r w:rsidRPr="00A859A1">
                              <w:rPr>
                                <w:sz w:val="22"/>
                              </w:rPr>
                              <w:t>ITU has supported countries in establishing new ecosystem acceleration centers that provide a coordinated implementation and governance framework for their digital ecosystems, helping them achieve national goals.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CA9B6" id="_x0000_s1037" type="#_x0000_t202" style="position:absolute;left:0;text-align:left;margin-left:272.85pt;margin-top:17.45pt;width:211.9pt;height:26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" strokecolor="#9bbb59" strokeweight="1pt">
                <v:textbox>
                  <w:txbxContent>
                    <w:p w14:paraId="25088D7A" w14:textId="223AB957" w:rsidR="00C64ED7" w:rsidRPr="00A859A1" w:rsidRDefault="00C64ED7" w:rsidP="004001F7">
                      <w:pPr>
                        <w:rPr>
                          <w:color w:val="9BBB59" w:themeColor="accent3"/>
                          <w:sz w:val="22"/>
                        </w:rPr>
                      </w:pPr>
                      <w:r w:rsidRPr="00A859A1">
                        <w:rPr>
                          <w:color w:val="9BBB59" w:themeColor="accent3"/>
                          <w:sz w:val="22"/>
                        </w:rPr>
                        <w:t xml:space="preserve">Case Study: Digital </w:t>
                      </w:r>
                      <w:r w:rsidR="00F56933" w:rsidRPr="00A859A1">
                        <w:rPr>
                          <w:color w:val="9BBB59" w:themeColor="accent3"/>
                          <w:sz w:val="22"/>
                        </w:rPr>
                        <w:t xml:space="preserve">innovation profiles </w:t>
                      </w:r>
                      <w:r w:rsidRPr="00A859A1">
                        <w:rPr>
                          <w:color w:val="9BBB59" w:themeColor="accent3"/>
                          <w:sz w:val="22"/>
                        </w:rPr>
                        <w:t xml:space="preserve">and ITU </w:t>
                      </w:r>
                      <w:r w:rsidR="00F56933" w:rsidRPr="00A859A1">
                        <w:rPr>
                          <w:color w:val="9BBB59" w:themeColor="accent3"/>
                          <w:sz w:val="22"/>
                        </w:rPr>
                        <w:t>acceleration centres</w:t>
                      </w:r>
                    </w:p>
                    <w:p w14:paraId="54284A13" w14:textId="77777777" w:rsidR="00C64ED7" w:rsidRPr="00A859A1" w:rsidRDefault="00C64ED7" w:rsidP="004001F7">
                      <w:pPr>
                        <w:jc w:val="both"/>
                        <w:rPr>
                          <w:sz w:val="22"/>
                        </w:rPr>
                      </w:pPr>
                      <w:r w:rsidRPr="00A859A1">
                        <w:rPr>
                          <w:sz w:val="22"/>
                        </w:rPr>
                        <w:t>ITU collaborates with countries to provide accurate assessments of the health of their digital innovation ecosystems. This helps them develop strategies to inform national policies and initiatives. The ITU has delivered assessments to numerous countries, offering a comprehensive roadmap for ecosystem-driven innovation strategies.</w:t>
                      </w:r>
                    </w:p>
                    <w:p w14:paraId="28AEA30E" w14:textId="77777777" w:rsidR="00C64ED7" w:rsidRPr="00A859A1" w:rsidRDefault="00C64ED7" w:rsidP="004001F7">
                      <w:pPr>
                        <w:jc w:val="both"/>
                        <w:rPr>
                          <w:sz w:val="22"/>
                        </w:rPr>
                      </w:pPr>
                      <w:r w:rsidRPr="00A859A1">
                        <w:rPr>
                          <w:sz w:val="22"/>
                        </w:rPr>
                        <w:t xml:space="preserve">ITU has supported countries in establishing new ecosystem acceleration </w:t>
                      </w:r>
                      <w:proofErr w:type="spellStart"/>
                      <w:r w:rsidRPr="00A859A1">
                        <w:rPr>
                          <w:sz w:val="22"/>
                        </w:rPr>
                        <w:t>centers</w:t>
                      </w:r>
                      <w:proofErr w:type="spellEnd"/>
                      <w:r w:rsidRPr="00A859A1">
                        <w:rPr>
                          <w:sz w:val="22"/>
                        </w:rPr>
                        <w:t xml:space="preserve"> that provide a coordinated implementation and governance framework for their digital ecosystems, helping them achieve national goals.</w:t>
                      </w:r>
                    </w:p>
                  </w:txbxContent>
                </v:textbox>
                <w10:wrap type="square"/>
              </v:shape>
            </w:pict>
          </mc:Fallback>
        </mc:AlternateContent>
      </w:r>
      <w:r w:rsidRPr="006975BE">
        <w:rPr>
          <w:rFonts w:asciiTheme="minorHAnsi" w:eastAsiaTheme="minorEastAsia" w:hAnsiTheme="minorHAnsi" w:cstheme="minorBidi"/>
          <w:szCs w:val="24"/>
          <w:lang w:eastAsia="zh-CN"/>
        </w:rPr>
        <w:t>Entrepreneurial ecosystems are essential to drive sustainable development while increasing inclusion, providing economies of scale, and bridging digital divides.</w:t>
      </w:r>
    </w:p>
    <w:p w14:paraId="06CD0007"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8.2</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However, there is a growing digital innovation divide among countries that inhibits access to equitable benefits for all</w:t>
      </w:r>
      <w:r w:rsidRPr="006975BE" w:rsidDel="004A5658">
        <w:rPr>
          <w:rFonts w:asciiTheme="minorHAnsi" w:eastAsiaTheme="minorEastAsia" w:hAnsiTheme="minorHAnsi" w:cstheme="minorBidi"/>
          <w:szCs w:val="24"/>
          <w:lang w:eastAsia="zh-CN"/>
        </w:rPr>
        <w:t>.</w:t>
      </w:r>
      <w:r w:rsidRPr="006975BE">
        <w:rPr>
          <w:rFonts w:asciiTheme="minorHAnsi" w:eastAsiaTheme="minorEastAsia" w:hAnsiTheme="minorHAnsi" w:cstheme="minorBidi"/>
          <w:szCs w:val="24"/>
          <w:lang w:eastAsia="zh-CN"/>
        </w:rPr>
        <w:t xml:space="preserve"> </w:t>
      </w:r>
    </w:p>
    <w:p w14:paraId="0186C258"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8.3</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 xml:space="preserve">Supportive policies and regulations are key to enable innovation and support micro, small and medium-sized enterprises (MSMEs), as well as enhanced collaboration efforts among key stakeholders, including policymakers, industry and academia. </w:t>
      </w:r>
    </w:p>
    <w:p w14:paraId="29DA6D7B"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8.4</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The participation of MSMEs in ICT innovation within developing countries faces multiple barriers. These include challenges related to intellectual-property protection and technology transfer, limited commercialization opportunities due to business environments still adapting to new technologies, and still-developing governmental support in areas such as funding and incubators. Additionally, while the digital infrastructure is improving, as evidenced by high internet penetration rates, many small businesses still lack digital integration, operating without web presence or digital payment solutions in predominantly paper-based environments.</w:t>
      </w:r>
    </w:p>
    <w:p w14:paraId="3BA6D469" w14:textId="77777777" w:rsidR="00C64ED7" w:rsidRPr="006975BE" w:rsidRDefault="00C64ED7" w:rsidP="000827A7">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heme="minorHAnsi" w:eastAsiaTheme="minorEastAsia" w:hAnsiTheme="minorHAnsi" w:cstheme="minorBidi"/>
          <w:sz w:val="22"/>
          <w:szCs w:val="22"/>
          <w:lang w:eastAsia="zh-CN"/>
        </w:rPr>
      </w:pPr>
      <w:r w:rsidRPr="006975BE">
        <w:rPr>
          <w:rFonts w:asciiTheme="minorHAnsi" w:eastAsiaTheme="minorEastAsia" w:hAnsiTheme="minorHAnsi" w:cstheme="minorBidi"/>
          <w:noProof/>
          <w:sz w:val="22"/>
          <w:szCs w:val="22"/>
          <w:lang w:eastAsia="zh-CN"/>
        </w:rPr>
        <mc:AlternateContent>
          <mc:Choice Requires="wps">
            <w:drawing>
              <wp:inline distT="0" distB="0" distL="0" distR="0" wp14:anchorId="6998510D" wp14:editId="136A4C86">
                <wp:extent cx="5580000" cy="1404620"/>
                <wp:effectExtent l="0" t="0" r="20955" b="15875"/>
                <wp:docPr id="89047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2700">
                          <a:solidFill>
                            <a:srgbClr val="9BBB59">
                              <a:lumMod val="100000"/>
                              <a:lumOff val="0"/>
                            </a:srgbClr>
                          </a:solidFill>
                          <a:miter lim="800000"/>
                          <a:headEnd/>
                          <a:tailEnd/>
                        </a:ln>
                      </wps:spPr>
                      <wps:txbx>
                        <w:txbxContent>
                          <w:p w14:paraId="21029D2C" w14:textId="77777777" w:rsidR="00C64ED7" w:rsidRDefault="00C64ED7" w:rsidP="004001F7">
                            <w:pPr>
                              <w:rPr>
                                <w:sz w:val="22"/>
                              </w:rPr>
                            </w:pPr>
                            <w:r w:rsidRPr="00A859A1">
                              <w:rPr>
                                <w:color w:val="9BBB59" w:themeColor="accent3"/>
                                <w:sz w:val="22"/>
                              </w:rPr>
                              <w:t xml:space="preserve">Case Study: </w:t>
                            </w:r>
                            <w:r>
                              <w:rPr>
                                <w:color w:val="9BBB59" w:themeColor="accent3"/>
                                <w:sz w:val="22"/>
                              </w:rPr>
                              <w:t>Innovation and Entrepreneurship Alliance for Digital Development</w:t>
                            </w:r>
                            <w:r w:rsidRPr="00A859A1">
                              <w:rPr>
                                <w:sz w:val="22"/>
                              </w:rPr>
                              <w:t xml:space="preserve"> </w:t>
                            </w:r>
                          </w:p>
                          <w:p w14:paraId="7C546A09" w14:textId="77777777" w:rsidR="00C64ED7" w:rsidRDefault="00C64ED7" w:rsidP="004001F7">
                            <w:pPr>
                              <w:jc w:val="both"/>
                              <w:rPr>
                                <w:sz w:val="22"/>
                              </w:rPr>
                            </w:pPr>
                            <w:r w:rsidRPr="00142FAE">
                              <w:rPr>
                                <w:sz w:val="22"/>
                              </w:rPr>
                              <w:t xml:space="preserve">ITU has launched the </w:t>
                            </w:r>
                            <w:hyperlink r:id="rId28" w:history="1">
                              <w:r w:rsidRPr="004362D3">
                                <w:rPr>
                                  <w:rStyle w:val="Hyperlink"/>
                                  <w:sz w:val="22"/>
                                </w:rPr>
                                <w:t>Innovation and Entrepreneurship Alliance for Digital Development</w:t>
                              </w:r>
                            </w:hyperlink>
                            <w:r w:rsidRPr="00142FAE">
                              <w:rPr>
                                <w:sz w:val="22"/>
                              </w:rPr>
                              <w:t xml:space="preserve"> to support Members with new, more resilient, and forward-thinking approaches that help build local innovation capacity. This is achieved through a network of ITU Acceleration Centres equipped with key capabilities in strategic foresight, project co-design, open technology cluster development, policy experimentation, and support for the growth of startups and SMEs. Each centre is nationally owned but collaborates with other centres to ensure that capabilities, knowledge, and opportunities are accelerated across their innovation ecosystems.</w:t>
                            </w:r>
                          </w:p>
                          <w:p w14:paraId="4D74DF4B" w14:textId="77777777" w:rsidR="00C64ED7" w:rsidRPr="00A859A1" w:rsidRDefault="00C64ED7" w:rsidP="004001F7">
                            <w:pPr>
                              <w:jc w:val="both"/>
                              <w:rPr>
                                <w:sz w:val="22"/>
                              </w:rPr>
                            </w:pPr>
                            <w:r>
                              <w:rPr>
                                <w:sz w:val="22"/>
                              </w:rPr>
                              <w:t>Together, this</w:t>
                            </w:r>
                            <w:r w:rsidRPr="0019666C">
                              <w:rPr>
                                <w:sz w:val="22"/>
                              </w:rPr>
                              <w:t xml:space="preserve"> network builds the innovation capacity needed to drive an equitable future where innovation and entrepreneurship are </w:t>
                            </w:r>
                            <w:r>
                              <w:rPr>
                                <w:sz w:val="22"/>
                              </w:rPr>
                              <w:t xml:space="preserve">the engine of growth for digital development. </w:t>
                            </w:r>
                          </w:p>
                        </w:txbxContent>
                      </wps:txbx>
                      <wps:bodyPr rot="0" vert="horz" wrap="square" lIns="91440" tIns="45720" rIns="91440" bIns="45720" anchor="t" anchorCtr="0" upright="1">
                        <a:spAutoFit/>
                      </wps:bodyPr>
                    </wps:wsp>
                  </a:graphicData>
                </a:graphic>
              </wp:inline>
            </w:drawing>
          </mc:Choice>
          <mc:Fallback>
            <w:pict>
              <v:shape w14:anchorId="6998510D" id="_x0000_s1038"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" strokecolor="#9bbb59" strokeweight="1pt">
                <v:textbox style="mso-fit-shape-to-text:t">
                  <w:txbxContent>
                    <w:p w14:paraId="21029D2C" w14:textId="77777777" w:rsidR="00C64ED7" w:rsidRDefault="00C64ED7" w:rsidP="004001F7">
                      <w:pPr>
                        <w:rPr>
                          <w:sz w:val="22"/>
                        </w:rPr>
                      </w:pPr>
                      <w:r w:rsidRPr="00A859A1">
                        <w:rPr>
                          <w:color w:val="9BBB59" w:themeColor="accent3"/>
                          <w:sz w:val="22"/>
                        </w:rPr>
                        <w:t xml:space="preserve">Case Study: </w:t>
                      </w:r>
                      <w:r>
                        <w:rPr>
                          <w:color w:val="9BBB59" w:themeColor="accent3"/>
                          <w:sz w:val="22"/>
                        </w:rPr>
                        <w:t>Innovation and Entrepreneurship Alliance for Digital Development</w:t>
                      </w:r>
                      <w:r w:rsidRPr="00A859A1">
                        <w:rPr>
                          <w:sz w:val="22"/>
                        </w:rPr>
                        <w:t xml:space="preserve"> </w:t>
                      </w:r>
                    </w:p>
                    <w:p w14:paraId="7C546A09" w14:textId="77777777" w:rsidR="00C64ED7" w:rsidRDefault="00C64ED7" w:rsidP="004001F7">
                      <w:pPr>
                        <w:jc w:val="both"/>
                        <w:rPr>
                          <w:sz w:val="22"/>
                        </w:rPr>
                      </w:pPr>
                      <w:r w:rsidRPr="00142FAE">
                        <w:rPr>
                          <w:sz w:val="22"/>
                        </w:rPr>
                        <w:t xml:space="preserve">ITU has launched the </w:t>
                      </w:r>
                      <w:hyperlink r:id="rId29" w:history="1">
                        <w:r w:rsidRPr="004362D3">
                          <w:rPr>
                            <w:rStyle w:val="Hyperlink"/>
                            <w:sz w:val="22"/>
                          </w:rPr>
                          <w:t>Innovation and Entrepreneurship Alliance for Digital Development</w:t>
                        </w:r>
                      </w:hyperlink>
                      <w:r w:rsidRPr="00142FAE">
                        <w:rPr>
                          <w:sz w:val="22"/>
                        </w:rPr>
                        <w:t xml:space="preserve"> to support Members with new, more resilient, and forward-thinking approaches that help build local innovation capacity. This is achieved through a network of ITU Acceleration Centres equipped with key capabilities in strategic foresight, project co-design, open technology cluster development, policy experimentation, and support for the growth of startups and SMEs. Each centre is nationally owned but collaborates with other centres to ensure that capabilities, knowledge, and opportunities are accelerated across their innovation ecosystems.</w:t>
                      </w:r>
                    </w:p>
                    <w:p w14:paraId="4D74DF4B" w14:textId="77777777" w:rsidR="00C64ED7" w:rsidRPr="00A859A1" w:rsidRDefault="00C64ED7" w:rsidP="004001F7">
                      <w:pPr>
                        <w:jc w:val="both"/>
                        <w:rPr>
                          <w:sz w:val="22"/>
                        </w:rPr>
                      </w:pPr>
                      <w:r>
                        <w:rPr>
                          <w:sz w:val="22"/>
                        </w:rPr>
                        <w:t>Together, this</w:t>
                      </w:r>
                      <w:r w:rsidRPr="0019666C">
                        <w:rPr>
                          <w:sz w:val="22"/>
                        </w:rPr>
                        <w:t xml:space="preserve"> network builds the innovation capacity needed to drive an equitable future where innovation and entrepreneurship are </w:t>
                      </w:r>
                      <w:r>
                        <w:rPr>
                          <w:sz w:val="22"/>
                        </w:rPr>
                        <w:t xml:space="preserve">the engine of growth for digital development. </w:t>
                      </w:r>
                    </w:p>
                  </w:txbxContent>
                </v:textbox>
                <w10:anchorlock/>
              </v:shape>
            </w:pict>
          </mc:Fallback>
        </mc:AlternateContent>
      </w:r>
    </w:p>
    <w:p w14:paraId="0A2FA57D"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8.5</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Given the importance of the role of innovation as a driver of sustainable development and the growing innovation divide between developing and developed countries, several important considerations require attention:</w:t>
      </w:r>
    </w:p>
    <w:p w14:paraId="60EC6667"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8.5.1</w:t>
      </w:r>
      <w:r w:rsidRPr="006975BE">
        <w:rPr>
          <w:rFonts w:eastAsiaTheme="minorEastAsia"/>
          <w:bCs/>
          <w:szCs w:val="24"/>
          <w:lang w:eastAsia="zh-CN"/>
        </w:rPr>
        <w:tab/>
      </w:r>
      <w:r w:rsidRPr="006975BE">
        <w:rPr>
          <w:rFonts w:eastAsiaTheme="minorEastAsia"/>
          <w:szCs w:val="24"/>
          <w:lang w:eastAsia="zh-CN"/>
        </w:rPr>
        <w:t xml:space="preserve">Trends research readiness: Adapting to the fast-changing digital environment requires institutions and other ecosystem stakeholders to stay ahead of the curve and effectively interpret the evolution of technology, policy and innovation dynamics. This requires new thinking and approaches, such as equipping countries with foresight capabilities and strategic research. </w:t>
      </w:r>
    </w:p>
    <w:p w14:paraId="68216DE2" w14:textId="77777777" w:rsidR="00C64ED7" w:rsidRPr="006975BE" w:rsidRDefault="00C64ED7" w:rsidP="000827A7">
      <w:pPr>
        <w:pStyle w:val="enumlev1"/>
        <w:jc w:val="both"/>
        <w:rPr>
          <w:rFonts w:eastAsiaTheme="minorEastAsia"/>
          <w:spacing w:val="-2"/>
          <w:szCs w:val="24"/>
        </w:rPr>
      </w:pPr>
      <w:r w:rsidRPr="006975BE">
        <w:rPr>
          <w:rFonts w:eastAsiaTheme="minorEastAsia"/>
          <w:spacing w:val="-2"/>
          <w:szCs w:val="24"/>
        </w:rPr>
        <w:lastRenderedPageBreak/>
        <w:t>8.5.2</w:t>
      </w:r>
      <w:r w:rsidRPr="006975BE">
        <w:rPr>
          <w:rFonts w:eastAsiaTheme="minorEastAsia"/>
          <w:spacing w:val="-2"/>
          <w:szCs w:val="24"/>
        </w:rPr>
        <w:tab/>
        <w:t>Open innovation: Harnessing technological know-how for competitive digital economy value chain, embracing open innovation and multistakeholder mechanisms, appropriate access to emerging technology for all. Promoting collaboration and synergies that scale digital innovations and achieve cross-cutting sectoral value for a competitive digital economy.</w:t>
      </w:r>
    </w:p>
    <w:p w14:paraId="65816997"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8.5.3</w:t>
      </w:r>
      <w:r w:rsidRPr="006975BE">
        <w:rPr>
          <w:rFonts w:eastAsiaTheme="minorEastAsia"/>
          <w:bCs/>
          <w:szCs w:val="24"/>
          <w:lang w:eastAsia="zh-CN"/>
        </w:rPr>
        <w:tab/>
      </w:r>
      <w:r w:rsidRPr="006975BE">
        <w:rPr>
          <w:rFonts w:eastAsiaTheme="minorEastAsia"/>
          <w:szCs w:val="24"/>
          <w:lang w:eastAsia="zh-CN"/>
        </w:rPr>
        <w:t>Entrepreneurship and MSMEs growth: Accelerating the uptake of digital innovation-driven entrepreneurship and opportunities for talent to achieve socio economic inclusion in their communities need renewed focus.</w:t>
      </w:r>
      <w:r w:rsidRPr="006975BE">
        <w:rPr>
          <w:b/>
          <w:bCs/>
          <w:szCs w:val="24"/>
        </w:rPr>
        <w:t xml:space="preserve"> </w:t>
      </w:r>
      <w:r w:rsidRPr="006975BE">
        <w:rPr>
          <w:rFonts w:eastAsiaTheme="minorEastAsia"/>
          <w:szCs w:val="24"/>
          <w:lang w:eastAsia="zh-CN"/>
        </w:rPr>
        <w:t>Integrating emerging technologies into curricula and supporting innovation ecosystems within academic institutions can unlock local talent and foster inclusive economic growth.</w:t>
      </w:r>
    </w:p>
    <w:p w14:paraId="30BCB4AD"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8.5.4</w:t>
      </w:r>
      <w:r w:rsidRPr="006975BE">
        <w:rPr>
          <w:rFonts w:eastAsiaTheme="minorEastAsia"/>
          <w:bCs/>
          <w:szCs w:val="24"/>
          <w:lang w:eastAsia="zh-CN"/>
        </w:rPr>
        <w:tab/>
      </w:r>
      <w:r w:rsidRPr="006975BE">
        <w:rPr>
          <w:rFonts w:eastAsiaTheme="minorEastAsia"/>
          <w:szCs w:val="24"/>
          <w:lang w:eastAsia="zh-CN"/>
        </w:rPr>
        <w:t>Appropriate Policy: Crafting flexible and forward-thinking policies that encourage innovation, support ecosystem stakeholders, and enhance investment opportunities. International collaboration plays a crucial role in driving knowledge exchange, capacity development, and harmonization of standards</w:t>
      </w:r>
    </w:p>
    <w:p w14:paraId="526C1D20" w14:textId="77777777" w:rsidR="00C64ED7" w:rsidRPr="006975BE" w:rsidRDefault="00C64ED7" w:rsidP="00B435CB">
      <w:pPr>
        <w:jc w:val="both"/>
        <w:rPr>
          <w:rFonts w:asciiTheme="minorHAnsi" w:eastAsiaTheme="minorEastAsia" w:hAnsiTheme="minorHAnsi" w:cstheme="minorBidi"/>
          <w:szCs w:val="24"/>
          <w:lang w:eastAsia="zh-CN"/>
        </w:rPr>
      </w:pPr>
      <w:r w:rsidRPr="006975BE">
        <w:rPr>
          <w:rFonts w:asciiTheme="minorHAnsi" w:eastAsiaTheme="minorEastAsia" w:hAnsiTheme="minorHAnsi" w:cstheme="minorBidi"/>
          <w:spacing w:val="-4"/>
          <w:szCs w:val="24"/>
          <w:lang w:eastAsia="zh-CN"/>
        </w:rPr>
        <w:t>8.6</w:t>
      </w:r>
      <w:r w:rsidRPr="006975BE">
        <w:rPr>
          <w:rFonts w:asciiTheme="minorHAnsi" w:eastAsiaTheme="minorEastAsia" w:hAnsiTheme="minorHAnsi" w:cstheme="minorBidi"/>
          <w:spacing w:val="-4"/>
          <w:szCs w:val="24"/>
          <w:lang w:eastAsia="zh-CN"/>
        </w:rPr>
        <w:tab/>
      </w:r>
      <w:r w:rsidRPr="006975BE">
        <w:rPr>
          <w:rFonts w:asciiTheme="minorHAnsi" w:eastAsiaTheme="minorEastAsia" w:hAnsiTheme="minorHAnsi" w:cstheme="minorBidi"/>
          <w:szCs w:val="24"/>
          <w:lang w:eastAsia="zh-CN"/>
        </w:rPr>
        <w:t>To address these challenges in ICT innovation ecosystems, several questions require consideration, particularly regarding the role of MSMEs in driving digital transformation:</w:t>
      </w:r>
    </w:p>
    <w:p w14:paraId="18A62B05"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8.6.1</w:t>
      </w:r>
      <w:r w:rsidRPr="006975BE">
        <w:rPr>
          <w:rFonts w:eastAsiaTheme="minorEastAsia"/>
          <w:bCs/>
          <w:szCs w:val="24"/>
          <w:lang w:eastAsia="zh-CN"/>
        </w:rPr>
        <w:tab/>
      </w:r>
      <w:r w:rsidRPr="006975BE">
        <w:rPr>
          <w:rFonts w:eastAsiaTheme="minorEastAsia"/>
          <w:szCs w:val="24"/>
          <w:lang w:eastAsia="zh-CN"/>
        </w:rPr>
        <w:t>What are the barriers for MSMEs to innovate and to contribute to the telecommunication/ICT services and technology innovation ecosystem?</w:t>
      </w:r>
    </w:p>
    <w:p w14:paraId="39CD22DA"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8.6.2</w:t>
      </w:r>
      <w:r w:rsidRPr="006975BE">
        <w:rPr>
          <w:rFonts w:eastAsiaTheme="minorEastAsia"/>
          <w:bCs/>
          <w:szCs w:val="24"/>
          <w:lang w:eastAsia="zh-CN"/>
        </w:rPr>
        <w:tab/>
      </w:r>
      <w:r w:rsidRPr="006975BE">
        <w:rPr>
          <w:rFonts w:eastAsiaTheme="minorEastAsia"/>
          <w:szCs w:val="24"/>
          <w:lang w:eastAsia="zh-CN"/>
        </w:rPr>
        <w:t>How can policy makers help MSMEs digitally transform their telecommunication/ICT service and technology innovation ecosystems efficiently and sustainable</w:t>
      </w:r>
      <w:r w:rsidRPr="006975BE" w:rsidDel="002374AD">
        <w:rPr>
          <w:rFonts w:eastAsiaTheme="minorEastAsia"/>
          <w:szCs w:val="24"/>
          <w:lang w:eastAsia="zh-CN"/>
        </w:rPr>
        <w:t xml:space="preserve"> </w:t>
      </w:r>
      <w:r w:rsidRPr="006975BE">
        <w:rPr>
          <w:rFonts w:eastAsiaTheme="minorEastAsia"/>
          <w:szCs w:val="24"/>
          <w:lang w:eastAsia="zh-CN"/>
        </w:rPr>
        <w:t>and support them in collaboration with large enterprises?</w:t>
      </w:r>
    </w:p>
    <w:p w14:paraId="0DBEDC57"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8.6.3</w:t>
      </w:r>
      <w:r w:rsidRPr="006975BE">
        <w:rPr>
          <w:rFonts w:eastAsiaTheme="minorEastAsia"/>
          <w:bCs/>
          <w:szCs w:val="24"/>
          <w:lang w:eastAsia="zh-CN"/>
        </w:rPr>
        <w:tab/>
      </w:r>
      <w:r w:rsidRPr="006975BE">
        <w:rPr>
          <w:rFonts w:eastAsiaTheme="minorEastAsia"/>
          <w:szCs w:val="24"/>
          <w:lang w:eastAsia="zh-CN"/>
        </w:rPr>
        <w:t xml:space="preserve">How can policy makers help MSMEs innovate, grow and integrate into the telecommunication/ICT services and technology innovation ecosystem more efficiently? </w:t>
      </w:r>
    </w:p>
    <w:p w14:paraId="6E17B298"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8.6.4</w:t>
      </w:r>
      <w:r w:rsidRPr="006975BE">
        <w:rPr>
          <w:rFonts w:eastAsiaTheme="minorEastAsia"/>
          <w:bCs/>
          <w:szCs w:val="24"/>
          <w:lang w:eastAsia="zh-CN"/>
        </w:rPr>
        <w:tab/>
      </w:r>
      <w:r w:rsidRPr="006975BE">
        <w:rPr>
          <w:rFonts w:eastAsiaTheme="minorEastAsia"/>
          <w:szCs w:val="24"/>
          <w:lang w:eastAsia="zh-CN"/>
        </w:rPr>
        <w:t xml:space="preserve">How can ITU assist policy makers to work with relevant stakeholders to invest in telecommunication/ICT services and technology research and development for new innovative products and services for MSMEs? </w:t>
      </w:r>
    </w:p>
    <w:p w14:paraId="1E2B6BE1"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8.6.5</w:t>
      </w:r>
      <w:r w:rsidRPr="006975BE">
        <w:rPr>
          <w:rFonts w:eastAsiaTheme="minorEastAsia"/>
          <w:bCs/>
          <w:szCs w:val="24"/>
          <w:lang w:eastAsia="zh-CN"/>
        </w:rPr>
        <w:tab/>
      </w:r>
      <w:r w:rsidRPr="006975BE">
        <w:rPr>
          <w:rFonts w:eastAsiaTheme="minorEastAsia"/>
          <w:szCs w:val="24"/>
          <w:lang w:eastAsia="zh-CN"/>
        </w:rPr>
        <w:t xml:space="preserve">How can ITU assist policy makers to bring intellectual property developed by MSMEs to market and to the telecommunication/ICT services and technology innovation ecosystem? </w:t>
      </w:r>
    </w:p>
    <w:p w14:paraId="02D6578E"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8.6.6</w:t>
      </w:r>
      <w:r w:rsidRPr="006975BE">
        <w:rPr>
          <w:rFonts w:eastAsiaTheme="minorEastAsia"/>
          <w:bCs/>
          <w:szCs w:val="24"/>
          <w:lang w:eastAsia="zh-CN"/>
        </w:rPr>
        <w:tab/>
      </w:r>
      <w:r w:rsidRPr="006975BE">
        <w:rPr>
          <w:rFonts w:eastAsiaTheme="minorEastAsia"/>
          <w:szCs w:val="24"/>
          <w:lang w:eastAsia="zh-CN"/>
        </w:rPr>
        <w:t>How can policy makers, universities, research institutes, innovation hubs and enterprises in the telecommunication/ICT services and technology innovation sector promote, invest, support and develop entrepreneurship and enhance the supply of digital talents for enterprises?</w:t>
      </w:r>
    </w:p>
    <w:p w14:paraId="73E99AA1"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8.6.7</w:t>
      </w:r>
      <w:r w:rsidRPr="006975BE">
        <w:rPr>
          <w:rFonts w:eastAsiaTheme="minorEastAsia"/>
          <w:bCs/>
          <w:szCs w:val="24"/>
          <w:lang w:eastAsia="zh-CN"/>
        </w:rPr>
        <w:tab/>
      </w:r>
      <w:r w:rsidRPr="006975BE">
        <w:rPr>
          <w:rFonts w:eastAsiaTheme="minorEastAsia"/>
          <w:szCs w:val="24"/>
          <w:lang w:eastAsia="zh-CN"/>
        </w:rPr>
        <w:t>How can policy makers promote competition and improve access to open markets to foster entrepreneurship?</w:t>
      </w:r>
    </w:p>
    <w:p w14:paraId="63DE0D99"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8.6.8</w:t>
      </w:r>
      <w:r w:rsidRPr="006975BE">
        <w:rPr>
          <w:rFonts w:eastAsiaTheme="minorEastAsia"/>
          <w:bCs/>
          <w:szCs w:val="24"/>
          <w:lang w:eastAsia="zh-CN"/>
        </w:rPr>
        <w:tab/>
      </w:r>
      <w:r w:rsidRPr="006975BE">
        <w:rPr>
          <w:rFonts w:eastAsiaTheme="minorEastAsia"/>
          <w:szCs w:val="24"/>
          <w:lang w:eastAsia="zh-CN"/>
        </w:rPr>
        <w:t>How can the ITU and international cooperation support enhancing telecommunication/ICT services and technology-centric innovation and entrepreneurship by providing platforms for building cooperation networks for knowledge and capability sharing, for evaluation and training, for bringing telecommunication/ICT services and technology innovations into standardization, for regulatory toolkits and sandboxes?</w:t>
      </w:r>
    </w:p>
    <w:p w14:paraId="58BC81C5"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8.6.9</w:t>
      </w:r>
      <w:r w:rsidRPr="006975BE">
        <w:rPr>
          <w:rFonts w:eastAsiaTheme="minorEastAsia"/>
          <w:bCs/>
          <w:szCs w:val="24"/>
          <w:lang w:eastAsia="zh-CN"/>
        </w:rPr>
        <w:tab/>
      </w:r>
      <w:r w:rsidRPr="006975BE">
        <w:rPr>
          <w:rFonts w:eastAsiaTheme="minorEastAsia"/>
          <w:szCs w:val="24"/>
          <w:lang w:eastAsia="zh-CN"/>
        </w:rPr>
        <w:t>How can reducing regulatory barriers to market entry enable telecommunication/ICT services and technology -centric innovation?</w:t>
      </w:r>
    </w:p>
    <w:p w14:paraId="52CB3E94" w14:textId="77777777" w:rsidR="00C64ED7" w:rsidRPr="006975BE" w:rsidRDefault="00C64ED7" w:rsidP="00B435CB">
      <w:pPr>
        <w:pStyle w:val="enumlev1"/>
        <w:jc w:val="both"/>
        <w:rPr>
          <w:rFonts w:eastAsiaTheme="minorEastAsia"/>
          <w:szCs w:val="24"/>
          <w:lang w:eastAsia="zh-CN"/>
        </w:rPr>
      </w:pPr>
      <w:r w:rsidRPr="006975BE">
        <w:rPr>
          <w:rFonts w:eastAsiaTheme="minorEastAsia"/>
          <w:bCs/>
          <w:szCs w:val="24"/>
          <w:lang w:eastAsia="zh-CN"/>
        </w:rPr>
        <w:t>8.6.10</w:t>
      </w:r>
      <w:r w:rsidRPr="006975BE">
        <w:rPr>
          <w:rFonts w:eastAsiaTheme="minorEastAsia"/>
          <w:bCs/>
          <w:szCs w:val="24"/>
          <w:lang w:eastAsia="zh-CN"/>
        </w:rPr>
        <w:tab/>
      </w:r>
      <w:r w:rsidRPr="006975BE">
        <w:rPr>
          <w:rFonts w:eastAsiaTheme="minorEastAsia"/>
          <w:szCs w:val="24"/>
          <w:lang w:eastAsia="zh-CN"/>
        </w:rPr>
        <w:t>What capacities do public bodies need to support an innovative telecommunication/ICT services and technology sector and to anticipate emerging issues?</w:t>
      </w:r>
    </w:p>
    <w:bookmarkEnd w:id="8"/>
    <w:p w14:paraId="7A91C15B" w14:textId="58285485" w:rsidR="00C64ED7" w:rsidRPr="006975BE" w:rsidRDefault="00C64ED7" w:rsidP="000827A7">
      <w:pPr>
        <w:tabs>
          <w:tab w:val="clear" w:pos="1134"/>
          <w:tab w:val="clear" w:pos="1701"/>
          <w:tab w:val="clear" w:pos="2268"/>
          <w:tab w:val="clear" w:pos="2835"/>
        </w:tabs>
        <w:overflowPunct/>
        <w:autoSpaceDE/>
        <w:autoSpaceDN/>
        <w:adjustRightInd/>
        <w:spacing w:before="240"/>
        <w:textAlignment w:val="auto"/>
        <w:rPr>
          <w:rFonts w:eastAsia="Calibri"/>
          <w:caps/>
          <w:sz w:val="28"/>
        </w:rPr>
      </w:pPr>
      <w:r w:rsidRPr="006975BE">
        <w:rPr>
          <w:b/>
          <w:bCs/>
        </w:rPr>
        <w:t>Annex:</w:t>
      </w:r>
      <w:r w:rsidRPr="006975BE">
        <w:t xml:space="preserve"> 1</w:t>
      </w:r>
      <w:r w:rsidRPr="006975BE">
        <w:rPr>
          <w:rFonts w:eastAsia="Calibri"/>
        </w:rPr>
        <w:br w:type="page"/>
      </w:r>
    </w:p>
    <w:p w14:paraId="44B3BF83" w14:textId="77777777" w:rsidR="00C64ED7" w:rsidRPr="006975BE" w:rsidRDefault="00C64ED7" w:rsidP="00BA755A">
      <w:pPr>
        <w:pStyle w:val="AnnexNo"/>
        <w:rPr>
          <w:rFonts w:eastAsia="Calibri"/>
        </w:rPr>
      </w:pPr>
      <w:r w:rsidRPr="006975BE">
        <w:rPr>
          <w:rFonts w:eastAsia="Calibri"/>
        </w:rPr>
        <w:lastRenderedPageBreak/>
        <w:t>ANNEX</w:t>
      </w:r>
    </w:p>
    <w:p w14:paraId="3EC6DD61" w14:textId="77777777" w:rsidR="00C64ED7" w:rsidRPr="006975BE" w:rsidRDefault="00C64ED7" w:rsidP="00740558">
      <w:pPr>
        <w:pStyle w:val="Annextitle"/>
        <w:rPr>
          <w:rFonts w:eastAsia="Calibri"/>
        </w:rPr>
      </w:pPr>
      <w:r w:rsidRPr="006975BE">
        <w:rPr>
          <w:rFonts w:eastAsia="Calibri"/>
        </w:rPr>
        <w:t>Draft Opinions for the Seventh World Telecommunication/Information and Communication Technology Policy Forum 2026</w:t>
      </w:r>
    </w:p>
    <w:p w14:paraId="6E27B571" w14:textId="77777777" w:rsidR="00C64ED7" w:rsidRPr="006975BE" w:rsidRDefault="00C64ED7" w:rsidP="00740558">
      <w:pPr>
        <w:pStyle w:val="OpNo"/>
      </w:pPr>
      <w:r w:rsidRPr="006975BE">
        <w:t>DRAFT OPINION 1</w:t>
      </w:r>
    </w:p>
    <w:p w14:paraId="04689CC7" w14:textId="77777777" w:rsidR="00C64ED7" w:rsidRPr="006975BE" w:rsidRDefault="00C64ED7" w:rsidP="00740558">
      <w:pPr>
        <w:pStyle w:val="Optitle0"/>
      </w:pPr>
      <w:r w:rsidRPr="006975BE">
        <w:t xml:space="preserve">Bridging digital divides, particularly on gender and age </w:t>
      </w:r>
      <w:r w:rsidRPr="006975BE">
        <w:br/>
        <w:t>as well as skills and connectivity</w:t>
      </w:r>
    </w:p>
    <w:p w14:paraId="6787C791" w14:textId="77777777" w:rsidR="00870C27" w:rsidRPr="00686ACB" w:rsidRDefault="00870C27" w:rsidP="00870C27">
      <w:pPr>
        <w:pStyle w:val="Normalaftertitle"/>
      </w:pPr>
      <w:r w:rsidRPr="00686ACB">
        <w:t>The seventh World Telecommunication/ICT Policy Forum (Nassau, 2026),</w:t>
      </w:r>
    </w:p>
    <w:p w14:paraId="5EFFF312" w14:textId="77777777" w:rsidR="00870C27" w:rsidRPr="00686ACB" w:rsidRDefault="00870C27" w:rsidP="00870C27">
      <w:pPr>
        <w:pStyle w:val="Call"/>
        <w:jc w:val="both"/>
        <w:rPr>
          <w:rFonts w:asciiTheme="minorHAnsi" w:eastAsiaTheme="minorEastAsia" w:hAnsiTheme="minorHAnsi" w:cstheme="minorHAnsi"/>
          <w:szCs w:val="24"/>
          <w:lang w:eastAsia="zh-CN"/>
        </w:rPr>
      </w:pPr>
      <w:r w:rsidRPr="00686ACB">
        <w:rPr>
          <w:rFonts w:asciiTheme="minorHAnsi" w:eastAsiaTheme="minorEastAsia" w:hAnsiTheme="minorHAnsi" w:cstheme="minorHAnsi"/>
          <w:szCs w:val="24"/>
          <w:lang w:eastAsia="zh-CN"/>
        </w:rPr>
        <w:t>recalling</w:t>
      </w:r>
    </w:p>
    <w:p w14:paraId="1C1CDAE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70/1 of the United Nations General Assembly (UNGA), on transforming our world: the 2030 Agenda for Sustainable Development;</w:t>
      </w:r>
    </w:p>
    <w:p w14:paraId="1A0574FB" w14:textId="4D485C8B"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hAnsiTheme="minorHAnsi" w:cstheme="minorHAnsi"/>
          <w:szCs w:val="24"/>
        </w:rPr>
        <w:t>Resolution 80/173 of UNGA, on the outcome document of the high-level meeting on the overall review of the implementation of the outcomes of the World Summit on the Information Society (</w:t>
      </w:r>
      <w:proofErr w:type="spellStart"/>
      <w:r w:rsidRPr="00686ACB">
        <w:rPr>
          <w:rFonts w:asciiTheme="minorHAnsi" w:hAnsiTheme="minorHAnsi" w:cstheme="minorHAnsi"/>
          <w:szCs w:val="24"/>
        </w:rPr>
        <w:t>WSIS+20</w:t>
      </w:r>
      <w:proofErr w:type="spellEnd"/>
      <w:r w:rsidRPr="00686ACB">
        <w:rPr>
          <w:rFonts w:asciiTheme="minorHAnsi" w:hAnsiTheme="minorHAnsi" w:cstheme="minorHAnsi"/>
          <w:szCs w:val="24"/>
        </w:rPr>
        <w:t xml:space="preserve">); </w:t>
      </w:r>
    </w:p>
    <w:p w14:paraId="5E657E1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c)</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78/311 of UNGA, on enhancing international cooperation on capacity-building of artificial intelligence;</w:t>
      </w:r>
    </w:p>
    <w:p w14:paraId="76A378C5" w14:textId="13E742FC"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11 (Rev. Baku, 2025) of the World Telecommunication Development Conference (WTDC), on telecommunication/information and communication technology (ICT) services in rural, isolated, unserved and  underserved areas;</w:t>
      </w:r>
    </w:p>
    <w:p w14:paraId="785D08C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37 (Rev. Baku, 2025) of WTDC, on bridging the digital divide;</w:t>
      </w:r>
    </w:p>
    <w:p w14:paraId="24270487" w14:textId="2A018089"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55 (Rev. Baku, 2025) of WTDC, on mainstreaming a gender perspective in the ITU Telecommunication Development Sector and promoting gender equality and the empowerment of women and girls through telecommunications/ICTs;</w:t>
      </w:r>
    </w:p>
    <w:p w14:paraId="07E56C1D" w14:textId="16ACCA15"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58 (Rev. Baku, 2025) of WTDC, on telecommunication/ICT accessibility for persons with disabilities and persons with specific needs;</w:t>
      </w:r>
    </w:p>
    <w:p w14:paraId="07714970" w14:textId="7DD157F3"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h)</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70 (Rev. Bucharest, 2022) of the Plenipotentiary Conference, on mainstreaming a gender perspective in ITU and promoting gender equality and the empowerment of women and girls through telecommunications/ICTs;</w:t>
      </w:r>
    </w:p>
    <w:p w14:paraId="201B0A4F"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i)</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91 (Rev. Baku, 2025) of WTDC, on artificial intelligence technologies in telecommunication development;</w:t>
      </w:r>
    </w:p>
    <w:p w14:paraId="48672A27"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j)</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214 (Bucharest, 2022) of the Plenipotentiary Conference, on artificial intelligence technologies and telecommunications/ICTs;</w:t>
      </w:r>
    </w:p>
    <w:p w14:paraId="38C8EF83"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k)</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71 (Rev. Bucharest, 2022) of the Plenipotentiary Conference, on the ITU strategic framework for 2024</w:t>
      </w:r>
      <w:r w:rsidRPr="00686ACB">
        <w:rPr>
          <w:rFonts w:asciiTheme="minorHAnsi" w:eastAsiaTheme="minorEastAsia" w:hAnsiTheme="minorHAnsi" w:cstheme="minorHAnsi"/>
          <w:noProof/>
          <w:szCs w:val="24"/>
          <w:lang w:val="en-US" w:eastAsia="zh-CN"/>
        </w:rPr>
        <w:noBreakHyphen/>
        <w:t>2027, aiming to enable and foster universal access to affordable, high-quality, and secure telecommunications/ICTs;</w:t>
      </w:r>
    </w:p>
    <w:p w14:paraId="0F994A2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l)</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139 (Rev. Bucharest, 2022) of the Plenipotentiary Conference, on the use of telecommunications/ICTs to bridge the digital divide and build an inclusive information society;</w:t>
      </w:r>
    </w:p>
    <w:p w14:paraId="06BECB02"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lastRenderedPageBreak/>
        <w:t>m)</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175 (Rev. Bucharest, 2022) of the Plenipotentiary Conference, on telecommunication/ICT accessibility for persons with disabilities and persons with specific needs;</w:t>
      </w:r>
    </w:p>
    <w:p w14:paraId="607EC37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n)</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179 (Rev. Bucharest, 2022) of the Plenipotentiary Conference, on ITU’s role in child online protection;</w:t>
      </w:r>
    </w:p>
    <w:p w14:paraId="7A1DD830" w14:textId="0FC9240E"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o)</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198 (Rev. Bucharest, 2022) of the Plenipotentiary Conference, on the empowerment of youth through telecommunication/ICT;</w:t>
      </w:r>
    </w:p>
    <w:p w14:paraId="65FBA478"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p)</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200 (Rev. Bucharest, 2022) of the Plenipotentiary Conference, on the Connect 2030 Agenda for global telecommunication/ICT, including broadband, for sustainable development;</w:t>
      </w:r>
    </w:p>
    <w:p w14:paraId="01E17354"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q)</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Opinion 3 (Geneva, 2021) of the World Telecommunication/ICT Policy Forum, on digital literacy and skills for inclusive access;</w:t>
      </w:r>
    </w:p>
    <w:p w14:paraId="411207ED"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r)</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Resolution 77 (Rev. Baku, 2025) of WTDC, on broadband technology and applications for greater growth and development of telecommunication/information and communication services and broadband connectivity,</w:t>
      </w:r>
    </w:p>
    <w:p w14:paraId="6BC6E198" w14:textId="77777777" w:rsidR="00870C27" w:rsidRPr="00686ACB" w:rsidRDefault="00870C27" w:rsidP="00870C27">
      <w:pPr>
        <w:pStyle w:val="Call"/>
      </w:pPr>
      <w:r w:rsidRPr="00686ACB">
        <w:rPr>
          <w:rFonts w:eastAsiaTheme="minorEastAsia"/>
          <w:lang w:eastAsia="zh-CN"/>
        </w:rPr>
        <w:t>considering</w:t>
      </w:r>
    </w:p>
    <w:p w14:paraId="47C9748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 xml:space="preserve">that achieving universal and meaningful connectivity requires focus on key enablers,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infrastructure, affordability, devices, digital skills/literacy, user confidence in using telecommunications/ICTs, and evidence-based policy and regulatory frameworks;</w:t>
      </w:r>
    </w:p>
    <w:p w14:paraId="16889067"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universal access to essential digital skills empowers individuals and communities, in particular, women, older persons, persons with disabilities, and underserved communities by providing the knowledge needed to thrive in the digital world, accessibility, fostering inclusion, bridging the digital divide, creating economic opportunities, and enabling broader participation and social advancement in the digital age;</w:t>
      </w:r>
    </w:p>
    <w:p w14:paraId="101870B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c)</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ITU plays an important role in connecting the unconnected and promoting women’s empowerment, particularly through Science, Technology, Engineering and Mathematics (STEM) education and careers through initiatives such as Girls in ICTs;</w:t>
      </w:r>
    </w:p>
    <w:p w14:paraId="14A9309E"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equitable and affordable access for all to telecommunication/ICT applications creates job opportunities and entrepreneurial ventures, particularly for women, marginalized and underserved groups/communities;</w:t>
      </w:r>
    </w:p>
    <w:p w14:paraId="39BAD4D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telecommunication/ICT applications and services enhance social connectivity and access for all to vital services, improving quality of life. They enable real-time communication, and bridge gaps for marginalized and underserved groups/communities, ensuring inclusive participation in the digital age;</w:t>
      </w:r>
    </w:p>
    <w:p w14:paraId="4F844C31"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equitable and affordable access for all to telecommunications/ICTs are essential for political, economic, social, and cultural development, as they play an important role in poverty alleviation, job creation, environmental protection, including the prevention and mitigation of natural and other disasters;</w:t>
      </w:r>
    </w:p>
    <w:p w14:paraId="216BD8F5"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digital divide is a multi-dimensional and dynamic phenomenon, varying not only between countries, but also within countries creating distinct needs, depending upon geographical, social, economic, demographic and linguistic contexts which differ according to the specific conditions of the country or the region;</w:t>
      </w:r>
    </w:p>
    <w:p w14:paraId="416EEAB9" w14:textId="77777777" w:rsidR="00870C27" w:rsidRPr="00EB117C"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val="en-US" w:eastAsia="zh-CN"/>
        </w:rPr>
      </w:pPr>
      <w:r w:rsidRPr="00EB117C">
        <w:rPr>
          <w:rFonts w:asciiTheme="minorHAnsi" w:eastAsiaTheme="minorEastAsia" w:hAnsiTheme="minorHAnsi" w:cstheme="minorHAnsi"/>
          <w:i/>
          <w:noProof/>
          <w:spacing w:val="-2"/>
          <w:szCs w:val="24"/>
          <w:lang w:val="en-US" w:eastAsia="zh-CN"/>
        </w:rPr>
        <w:t>h)</w:t>
      </w:r>
      <w:r w:rsidRPr="00EB117C">
        <w:rPr>
          <w:rFonts w:asciiTheme="minorHAnsi" w:eastAsiaTheme="minorEastAsia" w:hAnsiTheme="minorHAnsi" w:cstheme="minorHAnsi"/>
          <w:i/>
          <w:noProof/>
          <w:spacing w:val="-2"/>
          <w:szCs w:val="24"/>
          <w:lang w:val="en-US" w:eastAsia="zh-CN"/>
        </w:rPr>
        <w:tab/>
      </w:r>
      <w:r w:rsidRPr="00EB117C">
        <w:rPr>
          <w:rFonts w:asciiTheme="minorHAnsi" w:eastAsiaTheme="minorEastAsia" w:hAnsiTheme="minorHAnsi" w:cstheme="minorHAnsi"/>
          <w:noProof/>
          <w:spacing w:val="-2"/>
          <w:szCs w:val="24"/>
          <w:lang w:val="en-US" w:eastAsia="zh-CN"/>
        </w:rPr>
        <w:t>that ineffective or unmonitored policy measures may unintentionally widen the digital divide,</w:t>
      </w:r>
    </w:p>
    <w:p w14:paraId="572F8C21" w14:textId="77777777" w:rsidR="00870C27" w:rsidRPr="00686ACB" w:rsidRDefault="00870C27" w:rsidP="00870C27">
      <w:pPr>
        <w:pStyle w:val="Call"/>
        <w:jc w:val="both"/>
        <w:rPr>
          <w:rFonts w:asciiTheme="minorHAnsi" w:eastAsiaTheme="minorEastAsia" w:hAnsiTheme="minorHAnsi" w:cstheme="minorHAnsi"/>
          <w:i w:val="0"/>
          <w:iCs/>
          <w:szCs w:val="24"/>
          <w:lang w:eastAsia="zh-CN"/>
        </w:rPr>
      </w:pPr>
      <w:r w:rsidRPr="00686ACB">
        <w:rPr>
          <w:rFonts w:asciiTheme="minorHAnsi" w:eastAsiaTheme="minorEastAsia" w:hAnsiTheme="minorHAnsi" w:cstheme="minorHAnsi"/>
          <w:szCs w:val="24"/>
          <w:lang w:eastAsia="zh-CN"/>
        </w:rPr>
        <w:lastRenderedPageBreak/>
        <w:t>recognising</w:t>
      </w:r>
    </w:p>
    <w:p w14:paraId="561FAE6C"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a)</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without access to reliable identification tools in the digital age, individuals might face significant barriers in utilising telecommunications/ICTs to access essential services such as health and education, and financial services, which could deepen the digital divide;</w:t>
      </w:r>
    </w:p>
    <w:p w14:paraId="1873364F"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b)</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many people, particularly in rural and low income areas, still lack affordable access to the Internet and telecommunication/ICT services;</w:t>
      </w:r>
    </w:p>
    <w:p w14:paraId="16F73CB5" w14:textId="77777777" w:rsidR="00870C27" w:rsidRPr="00686ACB" w:rsidRDefault="00870C27" w:rsidP="00870C27">
      <w:pPr>
        <w:jc w:val="both"/>
        <w:rPr>
          <w:rFonts w:eastAsiaTheme="minorEastAsia"/>
          <w:noProof/>
          <w:lang w:val="en-US" w:eastAsia="zh-CN"/>
        </w:rPr>
      </w:pPr>
      <w:r w:rsidRPr="00686ACB">
        <w:rPr>
          <w:rFonts w:eastAsiaTheme="minorEastAsia"/>
          <w:i/>
          <w:noProof/>
          <w:lang w:val="en-US" w:eastAsia="zh-CN"/>
        </w:rPr>
        <w:t>c)</w:t>
      </w:r>
      <w:r w:rsidRPr="00686ACB">
        <w:rPr>
          <w:rFonts w:eastAsiaTheme="minorEastAsia"/>
          <w:i/>
          <w:noProof/>
          <w:lang w:val="en-US" w:eastAsia="zh-CN"/>
        </w:rPr>
        <w:tab/>
      </w:r>
      <w:r w:rsidRPr="00686ACB">
        <w:rPr>
          <w:rFonts w:eastAsiaTheme="minorEastAsia"/>
          <w:noProof/>
          <w:lang w:val="en-US" w:eastAsia="zh-CN"/>
        </w:rPr>
        <w:t>that digital skill gaps persist, in particular with women, persons with disabilities and older persons especially in rural and remote area facing limited access to training due to structural inequities. Women are less likely to be online or possess workplace-ready digital skills, while older adults show varied proficiency influenced by education and income. Equipping children and young people with digital skills is vital for bridging digital divides;</w:t>
      </w:r>
    </w:p>
    <w:p w14:paraId="25E0B49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d)</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societal norms and stereotypes limit the ability of women, girls, persons with disabilities and older persons to benefit fully from digital transformation;</w:t>
      </w:r>
    </w:p>
    <w:p w14:paraId="387CA74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e)</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civil society plays an invaluable role in reaching unserved and underserved communities fostering public trust and driving community engagement in digital inclusion efforts;</w:t>
      </w:r>
    </w:p>
    <w:p w14:paraId="2129040A"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f)</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 xml:space="preserve">that the unconnected persons include those living in areas with no access to adequate telecommunication/ICT infrastructure, as well as a significantly larger number of persons who live in areas already covered by such infrastructure but do not use it due to barriers,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affordability and lack of digital skills;</w:t>
      </w:r>
    </w:p>
    <w:p w14:paraId="3D8CB98B"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g)</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accelerating broadband deployment is a considerable challenge, especially in hard-to-reach, rural, and remote areas where topography and demography make the return on investment challenging;</w:t>
      </w:r>
    </w:p>
    <w:p w14:paraId="5AB6CF07"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h)</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developing countries continue to face distinct and unique barriers to achieving universal and meaningful connectivity, including geographic isolation, small market size, limited international bandwidth, and vulnerability to natural disasters, the latter of which increases infrastructure costs and diverts already scarce resources from long-term ICT investment;</w:t>
      </w:r>
    </w:p>
    <w:p w14:paraId="32312EF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i)</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for SIDs and other coastal countries, connectivity in maritime environments is vital for safeguarding lives, supporting economic activities, and promoting sustainable development, especially for vulnerable maritime communities;</w:t>
      </w:r>
    </w:p>
    <w:p w14:paraId="23E37108"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j)</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it is necessary to build partnerships with a range of stakeholders, including governments, the private sector, civil society, the technical community, and academia, to address digital divides;</w:t>
      </w:r>
    </w:p>
    <w:p w14:paraId="6773F554"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k)</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narrowing the digital divide for all countries and all people is essential to achieving the Sustainable Development Goals (SDGs) and implementing the Global Digital Compact (GDC), especially for women and girls, youth, indigenous peoples, older persons, persons with disabilities, and persons with specific needs;</w:t>
      </w:r>
    </w:p>
    <w:p w14:paraId="669784E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l)</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leveraging new and emerging telecommunications/ICTs can play pivotal roles in enhancing universal and meaningful connectivity, driving innovation, and supporting inclusive growth, enabling smarter solutions and greater accessibility across sectors while taking into account the specific needs of underserved areas and marginalised groups;</w:t>
      </w:r>
    </w:p>
    <w:p w14:paraId="5DD2BFFA"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lastRenderedPageBreak/>
        <w:t>m)</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new and emerging technologies including AI can also play a pivotal role in enhancing telecommunications/ICTs and universal and meaningful connectivity, which drives innovation, and supports inclusive growth, enabling smarter solutions and greater accessibility across sectors;</w:t>
      </w:r>
    </w:p>
    <w:p w14:paraId="791BB1C8"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i/>
          <w:noProof/>
          <w:szCs w:val="24"/>
          <w:lang w:val="en-US" w:eastAsia="zh-CN"/>
        </w:rPr>
        <w:t>n)</w:t>
      </w:r>
      <w:r w:rsidRPr="00686ACB">
        <w:rPr>
          <w:rFonts w:asciiTheme="minorHAnsi" w:eastAsiaTheme="minorEastAsia" w:hAnsiTheme="minorHAnsi" w:cstheme="minorHAnsi"/>
          <w:i/>
          <w:noProof/>
          <w:szCs w:val="24"/>
          <w:lang w:val="en-US" w:eastAsia="zh-CN"/>
        </w:rPr>
        <w:tab/>
      </w:r>
      <w:r w:rsidRPr="00686ACB">
        <w:rPr>
          <w:rFonts w:asciiTheme="minorHAnsi" w:eastAsiaTheme="minorEastAsia" w:hAnsiTheme="minorHAnsi" w:cstheme="minorHAnsi"/>
          <w:noProof/>
          <w:szCs w:val="24"/>
          <w:lang w:val="en-US" w:eastAsia="zh-CN"/>
        </w:rPr>
        <w:t>that the rapid development of new and emerging telecommunications/ICTs and new and emerging technologies is impacting the evolution of the digital divide and that developing countries face special challenges in harnessing the associated opportunities,</w:t>
      </w:r>
    </w:p>
    <w:p w14:paraId="36804F4D" w14:textId="77777777" w:rsidR="00870C27" w:rsidRPr="00686ACB" w:rsidRDefault="00870C27" w:rsidP="00870C27">
      <w:pPr>
        <w:pStyle w:val="Call"/>
        <w:jc w:val="both"/>
        <w:rPr>
          <w:rFonts w:asciiTheme="minorHAnsi" w:eastAsiaTheme="minorEastAsia" w:hAnsiTheme="minorHAnsi" w:cstheme="minorHAnsi"/>
          <w:szCs w:val="24"/>
          <w:lang w:eastAsia="zh-CN"/>
        </w:rPr>
      </w:pPr>
      <w:r w:rsidRPr="00686ACB">
        <w:rPr>
          <w:rFonts w:asciiTheme="minorHAnsi" w:eastAsiaTheme="minorEastAsia" w:hAnsiTheme="minorHAnsi" w:cstheme="minorHAnsi"/>
          <w:szCs w:val="24"/>
          <w:lang w:eastAsia="zh-CN"/>
        </w:rPr>
        <w:t>is of view</w:t>
      </w:r>
    </w:p>
    <w:p w14:paraId="736F0A5F"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w:t>
      </w:r>
      <w:r w:rsidRPr="00686ACB">
        <w:rPr>
          <w:rFonts w:asciiTheme="minorHAnsi" w:eastAsiaTheme="minorEastAsia" w:hAnsiTheme="minorHAnsi" w:cstheme="minorHAnsi"/>
          <w:noProof/>
          <w:szCs w:val="24"/>
          <w:lang w:val="en-US" w:eastAsia="zh-CN"/>
        </w:rPr>
        <w:tab/>
        <w:t>that resilient, secure, inclusive, and interoperable digital public infrastructure facilitates universal and meaningful connectivity, and promotes social and financial inclusion;</w:t>
      </w:r>
    </w:p>
    <w:p w14:paraId="05EDD0B5" w14:textId="77777777" w:rsidR="00870C27" w:rsidRPr="00686ACB" w:rsidRDefault="00870C27" w:rsidP="00870C27">
      <w:pPr>
        <w:jc w:val="both"/>
        <w:rPr>
          <w:rFonts w:eastAsiaTheme="minorEastAsia"/>
          <w:noProof/>
          <w:lang w:val="en-US" w:eastAsia="zh-CN"/>
        </w:rPr>
      </w:pPr>
      <w:r w:rsidRPr="00686ACB">
        <w:rPr>
          <w:rFonts w:eastAsiaTheme="minorEastAsia"/>
          <w:noProof/>
          <w:lang w:val="en-US" w:eastAsia="zh-CN"/>
        </w:rPr>
        <w:t>2</w:t>
      </w:r>
      <w:r w:rsidRPr="00686ACB">
        <w:rPr>
          <w:rFonts w:eastAsiaTheme="minorEastAsia"/>
          <w:noProof/>
          <w:lang w:val="en-US" w:eastAsia="zh-CN"/>
        </w:rPr>
        <w:tab/>
        <w:t>that governments are encouraged to prioritize investments in expanding the latest broadband infrastructure to unserved and underserved areas to ensure universal access to high-speed Internet at affordable price. By improving infrastructure and updating regulations, these investments help bridge the digital divide, enabling more people to participate in the digital economy, access essential services, and improve their quality of life;</w:t>
      </w:r>
    </w:p>
    <w:p w14:paraId="0F6C5C57"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3</w:t>
      </w:r>
      <w:r w:rsidRPr="00686ACB">
        <w:rPr>
          <w:rFonts w:asciiTheme="minorHAnsi" w:eastAsiaTheme="minorEastAsia" w:hAnsiTheme="minorHAnsi" w:cstheme="minorHAnsi"/>
          <w:noProof/>
          <w:szCs w:val="24"/>
          <w:lang w:val="en-US" w:eastAsia="zh-CN"/>
        </w:rPr>
        <w:tab/>
        <w:t xml:space="preserve">that implementing targeted digital literacy and skills training programs can help bridge the skills gap and address the barrier to Internet adoption and use, particularly for women, persons with disabilities, youth, and older persons. These Digital literacy and skills programs may aim to equip individuals with essential skills to navigate and utilize telecommunication/ICT applications and services effectively. These programs may cover computer and other digital skills, and cybersecurity awareness. The benefits of these programmes include enhanced employability, social inclusion, awareness of cybersecurity and continuous learning; </w:t>
      </w:r>
    </w:p>
    <w:p w14:paraId="4B1F2C01"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4</w:t>
      </w:r>
      <w:r w:rsidRPr="00686ACB">
        <w:rPr>
          <w:rFonts w:asciiTheme="minorHAnsi" w:eastAsiaTheme="minorEastAsia" w:hAnsiTheme="minorHAnsi" w:cstheme="minorHAnsi"/>
          <w:noProof/>
          <w:szCs w:val="24"/>
          <w:lang w:val="en-US" w:eastAsia="zh-CN"/>
        </w:rPr>
        <w:tab/>
        <w:t>that creating policies which promote equality for communities facing systemic barriers and support the inclusion of marginalised groups of society in the digital economy can help address cultural barriers. These policies should include, equitable and affordable access for all to technology targeted digital literacy programs, careers in STEM for women, and accessible technology for older persons;</w:t>
      </w:r>
    </w:p>
    <w:p w14:paraId="05E7F743"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5</w:t>
      </w:r>
      <w:r w:rsidRPr="00686ACB">
        <w:rPr>
          <w:rFonts w:asciiTheme="minorHAnsi" w:eastAsiaTheme="minorEastAsia" w:hAnsiTheme="minorHAnsi" w:cstheme="minorHAnsi"/>
          <w:noProof/>
          <w:szCs w:val="24"/>
          <w:lang w:val="en-US" w:eastAsia="zh-CN"/>
        </w:rPr>
        <w:tab/>
        <w:t>that digital skills can help leverage telecommunication/ICT applications and services for sustainable development;</w:t>
      </w:r>
    </w:p>
    <w:p w14:paraId="2F05711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6</w:t>
      </w:r>
      <w:r w:rsidRPr="00686ACB">
        <w:rPr>
          <w:rFonts w:asciiTheme="minorHAnsi" w:eastAsiaTheme="minorEastAsia" w:hAnsiTheme="minorHAnsi" w:cstheme="minorHAnsi"/>
          <w:noProof/>
          <w:szCs w:val="24"/>
          <w:lang w:val="en-US" w:eastAsia="zh-CN"/>
        </w:rPr>
        <w:tab/>
        <w:t xml:space="preserve">that civil society and community groups can make an important contribution to supporting marginalized groups of the society, </w:t>
      </w:r>
      <w:r w:rsidRPr="00686ACB">
        <w:rPr>
          <w:rFonts w:asciiTheme="minorHAnsi" w:eastAsiaTheme="minorEastAsia" w:hAnsiTheme="minorHAnsi" w:cstheme="minorHAnsi"/>
          <w:i/>
          <w:iCs/>
          <w:noProof/>
          <w:szCs w:val="24"/>
          <w:lang w:val="en-US" w:eastAsia="zh-CN"/>
        </w:rPr>
        <w:t>inter alia</w:t>
      </w:r>
      <w:r w:rsidRPr="00686ACB">
        <w:rPr>
          <w:rFonts w:asciiTheme="minorHAnsi" w:eastAsiaTheme="minorEastAsia" w:hAnsiTheme="minorHAnsi" w:cstheme="minorHAnsi"/>
          <w:noProof/>
          <w:szCs w:val="24"/>
          <w:lang w:val="en-US" w:eastAsia="zh-CN"/>
        </w:rPr>
        <w:t>, women and older persons in accessing and using telecommunications/ICTs;</w:t>
      </w:r>
    </w:p>
    <w:p w14:paraId="7ED0A8EA"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7</w:t>
      </w:r>
      <w:r w:rsidRPr="00686ACB">
        <w:rPr>
          <w:rFonts w:asciiTheme="minorHAnsi" w:eastAsiaTheme="minorEastAsia" w:hAnsiTheme="minorHAnsi" w:cstheme="minorHAnsi"/>
          <w:noProof/>
          <w:szCs w:val="24"/>
          <w:lang w:val="en-US" w:eastAsia="zh-CN"/>
        </w:rPr>
        <w:tab/>
        <w:t>that stakeholders should work together to build progress towards universal access to high-speed Internet;</w:t>
      </w:r>
    </w:p>
    <w:p w14:paraId="25ED1B3C"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8</w:t>
      </w:r>
      <w:r w:rsidRPr="00686ACB">
        <w:rPr>
          <w:rFonts w:asciiTheme="minorHAnsi" w:eastAsiaTheme="minorEastAsia" w:hAnsiTheme="minorHAnsi" w:cstheme="minorHAnsi"/>
          <w:noProof/>
          <w:szCs w:val="24"/>
          <w:lang w:val="en-US" w:eastAsia="zh-CN"/>
        </w:rPr>
        <w:tab/>
        <w:t>that the ITU within its mandate should continue to collaborate closely with other UN agencies, international organizations, and other stakeholders concerning connectivity and bridging digital divides, particularly on gender and age-related issues;</w:t>
      </w:r>
    </w:p>
    <w:p w14:paraId="143A9AF3"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9</w:t>
      </w:r>
      <w:r w:rsidRPr="00686ACB">
        <w:rPr>
          <w:rFonts w:asciiTheme="minorHAnsi" w:eastAsiaTheme="minorEastAsia" w:hAnsiTheme="minorHAnsi" w:cstheme="minorHAnsi"/>
          <w:noProof/>
          <w:szCs w:val="24"/>
          <w:lang w:val="en-US" w:eastAsia="zh-CN"/>
        </w:rPr>
        <w:tab/>
        <w:t>that inclusive regulatory and governance approaches, such as multi-stakeholder universal connectivity roadmaps and community-based regulatory strategies, are essential to ensure responsiveness to underserved populations;</w:t>
      </w:r>
    </w:p>
    <w:p w14:paraId="2757211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10</w:t>
      </w:r>
      <w:r w:rsidRPr="00686ACB">
        <w:rPr>
          <w:rFonts w:asciiTheme="minorHAnsi" w:eastAsiaTheme="minorEastAsia" w:hAnsiTheme="minorHAnsi" w:cstheme="minorHAnsi"/>
          <w:noProof/>
          <w:szCs w:val="24"/>
          <w:lang w:val="en-US" w:eastAsia="zh-CN"/>
        </w:rPr>
        <w:tab/>
        <w:t>that governments pursuing digital transformations by adopting new and emerging telecommunication/ICT services and technologies should also take into account accessibility needs as well as age and gender-related considerations;</w:t>
      </w:r>
    </w:p>
    <w:p w14:paraId="549C32E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lastRenderedPageBreak/>
        <w:t>11</w:t>
      </w:r>
      <w:r w:rsidRPr="00686ACB">
        <w:rPr>
          <w:rFonts w:asciiTheme="minorHAnsi" w:eastAsiaTheme="minorEastAsia" w:hAnsiTheme="minorHAnsi" w:cstheme="minorHAnsi"/>
          <w:noProof/>
          <w:szCs w:val="24"/>
          <w:lang w:val="en-US" w:eastAsia="zh-CN"/>
        </w:rPr>
        <w:tab/>
        <w:t>that collaborations between governments, the private sector, and civil society can drive initiatives to provide affordable digital access. Public-private partnerships (PPPs) can leverage the strengths of government agencies, private companies, and civil society to provide affordable digital access and training. These collaborations may include pooled resources, combining technological innovation with regulatory support, and scaling initiatives effectively. Incentives for the private sector and supportive policy and regulations and updated regulation can further enhance the effectiveness of PPPs in bridging the digital divide;</w:t>
      </w:r>
    </w:p>
    <w:p w14:paraId="0759F528"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12</w:t>
      </w:r>
      <w:r w:rsidRPr="00686ACB">
        <w:rPr>
          <w:rFonts w:asciiTheme="minorHAnsi" w:eastAsiaTheme="minorEastAsia" w:hAnsiTheme="minorHAnsi" w:cstheme="minorHAnsi"/>
          <w:noProof/>
          <w:szCs w:val="24"/>
          <w:lang w:val="en-US" w:eastAsia="zh-CN"/>
        </w:rPr>
        <w:tab/>
        <w:t>that the ITU plays a critical role in bridging the digital divide by facilitating interoperability, interconnection, and maximising global connectivity of telecommunication networks and services;</w:t>
      </w:r>
    </w:p>
    <w:p w14:paraId="211EB13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13</w:t>
      </w:r>
      <w:r w:rsidRPr="00686ACB">
        <w:rPr>
          <w:rFonts w:asciiTheme="minorHAnsi" w:eastAsiaTheme="minorEastAsia" w:hAnsiTheme="minorHAnsi" w:cstheme="minorHAnsi"/>
          <w:noProof/>
          <w:szCs w:val="24"/>
          <w:lang w:val="en-US" w:eastAsia="zh-CN"/>
        </w:rPr>
        <w:tab/>
        <w:t>that it is urgent to bridge digital divides between and within countries and that international collaboration such as capacity building is important to these efforts;</w:t>
      </w:r>
    </w:p>
    <w:p w14:paraId="31812881"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14</w:t>
      </w:r>
      <w:r w:rsidRPr="00686ACB">
        <w:rPr>
          <w:rFonts w:asciiTheme="minorHAnsi" w:eastAsiaTheme="minorEastAsia" w:hAnsiTheme="minorHAnsi" w:cstheme="minorHAnsi"/>
          <w:noProof/>
          <w:szCs w:val="24"/>
          <w:lang w:val="en-US" w:eastAsia="zh-CN"/>
        </w:rPr>
        <w:tab/>
        <w:t>that promoting affordable, accessible and inclusive telecommunication/ICT</w:t>
      </w:r>
      <w:r w:rsidRPr="00686ACB">
        <w:rPr>
          <w:rFonts w:asciiTheme="minorHAnsi" w:eastAsiaTheme="minorEastAsia" w:hAnsiTheme="minorHAnsi" w:cstheme="minorHAnsi"/>
          <w:szCs w:val="24"/>
        </w:rPr>
        <w:t xml:space="preserve"> applications, services and tools </w:t>
      </w:r>
      <w:r w:rsidRPr="00686ACB">
        <w:rPr>
          <w:rFonts w:asciiTheme="minorHAnsi" w:eastAsiaTheme="minorEastAsia" w:hAnsiTheme="minorHAnsi" w:cstheme="minorHAnsi"/>
          <w:noProof/>
          <w:szCs w:val="24"/>
          <w:lang w:val="en-US" w:eastAsia="zh-CN"/>
        </w:rPr>
        <w:t xml:space="preserve">for youth, older persons and persons with disabilities is crucial as well as considering their needs during digital transformation; </w:t>
      </w:r>
    </w:p>
    <w:p w14:paraId="42FBA612"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15</w:t>
      </w:r>
      <w:r w:rsidRPr="00686ACB">
        <w:rPr>
          <w:rFonts w:asciiTheme="minorHAnsi" w:eastAsiaTheme="minorEastAsia" w:hAnsiTheme="minorHAnsi" w:cstheme="minorHAnsi"/>
          <w:noProof/>
          <w:szCs w:val="24"/>
          <w:lang w:val="en-US" w:eastAsia="zh-CN"/>
        </w:rPr>
        <w:tab/>
        <w:t xml:space="preserve">that </w:t>
      </w:r>
      <w:r w:rsidRPr="00686ACB">
        <w:rPr>
          <w:rFonts w:asciiTheme="minorHAnsi" w:eastAsiaTheme="minorEastAsia" w:hAnsiTheme="minorHAnsi" w:cstheme="minorHAnsi"/>
          <w:szCs w:val="24"/>
        </w:rPr>
        <w:t xml:space="preserve">it is important to formulate </w:t>
      </w:r>
      <w:r w:rsidRPr="00686ACB">
        <w:rPr>
          <w:rFonts w:asciiTheme="minorHAnsi" w:eastAsiaTheme="minorEastAsia" w:hAnsiTheme="minorHAnsi" w:cstheme="minorHAnsi"/>
          <w:noProof/>
          <w:szCs w:val="24"/>
          <w:lang w:val="en-US" w:eastAsia="zh-CN"/>
        </w:rPr>
        <w:t>digital inclusion strategies based on disaggregated data and localized analysis to identify digitally excluded groups in each country/region;</w:t>
      </w:r>
    </w:p>
    <w:p w14:paraId="4B1EC5C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16</w:t>
      </w:r>
      <w:r w:rsidRPr="00686ACB">
        <w:rPr>
          <w:rFonts w:asciiTheme="minorHAnsi" w:eastAsiaTheme="minorEastAsia" w:hAnsiTheme="minorHAnsi" w:cstheme="minorHAnsi"/>
          <w:noProof/>
          <w:szCs w:val="24"/>
          <w:lang w:val="en-US" w:eastAsia="zh-CN"/>
        </w:rPr>
        <w:tab/>
        <w:t>that policy makers should move beyond regulatory design and ensure mechanisms are in place to observe the actual implementation and impact of regulations over time with mechanisms like independent auditing, periodic reporting, and community feedback loops,</w:t>
      </w:r>
    </w:p>
    <w:p w14:paraId="76961079" w14:textId="77777777" w:rsidR="00870C27" w:rsidRPr="00686ACB" w:rsidRDefault="00870C27" w:rsidP="00870C27">
      <w:pPr>
        <w:pStyle w:val="Call"/>
        <w:jc w:val="both"/>
        <w:rPr>
          <w:rFonts w:asciiTheme="minorHAnsi" w:eastAsiaTheme="minorEastAsia" w:hAnsiTheme="minorHAnsi" w:cstheme="minorHAnsi"/>
          <w:iCs/>
          <w:szCs w:val="24"/>
          <w:lang w:eastAsia="zh-CN"/>
        </w:rPr>
      </w:pPr>
      <w:r w:rsidRPr="00686ACB">
        <w:rPr>
          <w:rFonts w:asciiTheme="minorHAnsi" w:eastAsiaTheme="minorEastAsia" w:hAnsiTheme="minorHAnsi" w:cstheme="minorHAnsi"/>
          <w:szCs w:val="24"/>
          <w:lang w:eastAsia="zh-CN"/>
        </w:rPr>
        <w:t>invites Member States</w:t>
      </w:r>
    </w:p>
    <w:p w14:paraId="7602E019"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establishing resilient, secure, inclusive, and interoperable telecommunication/ ICT networks and applications, including those that enable digital public infrastructure, tailored to national contexts, that facilitate universal and meaningful connectivity, and bridge digital divides;</w:t>
      </w:r>
    </w:p>
    <w:p w14:paraId="675C1FE2"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bCs/>
          <w:szCs w:val="24"/>
          <w:shd w:val="clear" w:color="auto" w:fill="F2DBDB" w:themeFill="accent2" w:themeFillTint="33"/>
          <w:lang w:eastAsia="zh-CN"/>
        </w:rPr>
      </w:pPr>
      <w:r w:rsidRPr="00686ACB">
        <w:rPr>
          <w:rFonts w:asciiTheme="minorHAnsi" w:eastAsiaTheme="minorEastAsia" w:hAnsiTheme="minorHAnsi" w:cstheme="minorHAnsi"/>
          <w:bCs/>
          <w:szCs w:val="24"/>
          <w:lang w:eastAsia="zh-CN"/>
        </w:rPr>
        <w:t>2</w:t>
      </w:r>
      <w:r w:rsidRPr="00686ACB">
        <w:rPr>
          <w:rFonts w:asciiTheme="minorHAnsi" w:eastAsiaTheme="minorEastAsia" w:hAnsiTheme="minorHAnsi" w:cstheme="minorHAnsi"/>
          <w:bCs/>
          <w:szCs w:val="24"/>
          <w:lang w:eastAsia="zh-CN"/>
        </w:rPr>
        <w:tab/>
      </w:r>
      <w:r w:rsidRPr="00686ACB">
        <w:rPr>
          <w:rFonts w:asciiTheme="minorHAnsi" w:eastAsiaTheme="minorEastAsia" w:hAnsiTheme="minorHAnsi" w:cstheme="minorHAnsi"/>
          <w:noProof/>
          <w:szCs w:val="24"/>
          <w:lang w:val="en-US" w:eastAsia="zh-CN"/>
        </w:rPr>
        <w:t>to continue to review and, where appropriate, revise the scope of the relevant policy and regulatory frameworks and consider creating enabling environments for investments in expanding the latest mobile technologies such as IMT-2020, space based, and other broadband infrastructure to unserved and underserved areas including rural, remote and maritime area for benefit of respective communities. Provide incentives to telecom operators for offering mobile and broadband services in underserved and unserved areas;</w:t>
      </w:r>
    </w:p>
    <w:p w14:paraId="5440043B"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3</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 xml:space="preserve">to develop inclusive policies that promote </w:t>
      </w:r>
      <w:r w:rsidRPr="00686ACB">
        <w:rPr>
          <w:rFonts w:asciiTheme="minorHAnsi" w:eastAsiaTheme="minorEastAsia" w:hAnsiTheme="minorHAnsi" w:cstheme="minorHAnsi"/>
          <w:szCs w:val="24"/>
        </w:rPr>
        <w:t>equitable and affordable</w:t>
      </w:r>
      <w:r w:rsidRPr="00686ACB">
        <w:rPr>
          <w:rFonts w:asciiTheme="minorHAnsi" w:eastAsiaTheme="minorEastAsia" w:hAnsiTheme="minorHAnsi" w:cstheme="minorHAnsi"/>
          <w:noProof/>
          <w:szCs w:val="24"/>
          <w:lang w:val="en-US" w:eastAsia="zh-CN"/>
        </w:rPr>
        <w:t xml:space="preserve"> access </w:t>
      </w:r>
      <w:r w:rsidRPr="00686ACB">
        <w:rPr>
          <w:rFonts w:asciiTheme="minorHAnsi" w:eastAsiaTheme="minorEastAsia" w:hAnsiTheme="minorHAnsi" w:cstheme="minorHAnsi"/>
          <w:szCs w:val="24"/>
        </w:rPr>
        <w:t>for all</w:t>
      </w:r>
      <w:r w:rsidRPr="00686ACB">
        <w:rPr>
          <w:rFonts w:asciiTheme="minorHAnsi" w:eastAsiaTheme="minorEastAsia" w:hAnsiTheme="minorHAnsi" w:cstheme="minorHAnsi"/>
          <w:noProof/>
          <w:szCs w:val="24"/>
          <w:lang w:val="en-US" w:eastAsia="zh-CN"/>
        </w:rPr>
        <w:t>, gender equality and support the digital inclusion of older persons and persons with disabilities by addressing cultural, structural, and accessibility barriers. These efforts should recognise and reflect national and regional diversity, ensure access for all to technology, provide targeted digital literacy programs, encourage women’s participation in STEM, and prioritize the design of accessible technologies for older persons, and persons with disabilities. Furthermore, states are encouraged to mainstream gender and age considerations across ICTs, STEM, and telecommunications strategies to build a more inclusive and equitable digital world;</w:t>
      </w:r>
    </w:p>
    <w:p w14:paraId="36EF313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4</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support research into barriers to accessing telecommunications/ICTs and meaningful use of the Internet with a focus on gender and age considerations;</w:t>
      </w:r>
    </w:p>
    <w:p w14:paraId="113ECB8B"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5</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collect high-quality, disaggregated data by gender, age, geography, socio-economic status, Internet access and use, and participation in the telecommunication/ICT sector to enable measurement of the digital divide and to inform inclusive policy responses and development programs;</w:t>
      </w:r>
    </w:p>
    <w:p w14:paraId="31134374"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lastRenderedPageBreak/>
        <w:t>6</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engage with stakeholders from the private sector, civil society, the technical community, and academia to consider how best to expand meaningful and affordable connectivity and job opportunities in telecommunications/ICTs, provide digital skills and close the gender digital divide;</w:t>
      </w:r>
    </w:p>
    <w:p w14:paraId="4B0F7635"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7</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adopt regional, local, and national strategies, in consultation with stakeholders, for tackling digital divides by ensuring connectivity for all, and by promoting context appropriate and locally relevant digital solutions that address the specific needs of communities and vulnerable groups and that stimulate demand and investment in digital infrastructure;</w:t>
      </w:r>
    </w:p>
    <w:p w14:paraId="2B36AA85"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8</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promote and enhance digital literacy and skills policies, programmes, and mechanisms, and to integrate gender-responsive approaches in national ICT policies, strategies, and regulatory frameworks, in order to help bridge the digital divides, ensure equitable and affordable access for all, skills development, and meaningful participation of women and girls in the digital economy, including through active participation in regional and global collaborative forums;</w:t>
      </w:r>
    </w:p>
    <w:p w14:paraId="6B386CEE"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9</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identifying gaps in digital skills curricula in education, apprenticeships, and other youth and adult job skills development programs and consider appropriate methods for addressing these gaps such as funding mechanisms while promoting career pathways and mentorship aligned with future workforce needs and emerging telecommunications/ICTs;</w:t>
      </w:r>
    </w:p>
    <w:p w14:paraId="6EB7E4A3"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10</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adopting policy and regulatory measures that facilitate telecommunication/ICT infrastructure deployment and its sharing specially in rural and isolated areas;</w:t>
      </w:r>
    </w:p>
    <w:p w14:paraId="1FCB3CEC"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create an enabling environment for the deployment and adoption of new and emerging telecommunications/ICTs leveraging their potential in bridging digital divides;</w:t>
      </w:r>
    </w:p>
    <w:p w14:paraId="52ECFF6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12</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enhance international cooperation including through capacity building, and exchange of best practices, in order to assist developing countries in leveraging new and emerging technologies to enhance telecommunications/ICTs and address the multifaceted challenges related to digital divides;</w:t>
      </w:r>
    </w:p>
    <w:p w14:paraId="690DF750"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13</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establish policies, strategies, and standards, and provide training courses and guidance to enhance children’s digital skills and literacy while ensuring the protection of children online;</w:t>
      </w:r>
    </w:p>
    <w:p w14:paraId="57D5B86A"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14</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develop plans and policies, implementing telecommunication/ICT technologies and products that meet the needs of older persons and persons with disabilities, creating an accessible and age-friendly environment;</w:t>
      </w:r>
    </w:p>
    <w:p w14:paraId="3D109A1E"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15</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continue implementing policies that facilitate the non-discriminatory deployment of new and emerging telecommunications/ICTs which is affordable and accessible to all, providing incentives to promote telecommunication/ICT infrastructure and services in unserved and underserved areas;</w:t>
      </w:r>
    </w:p>
    <w:p w14:paraId="40F5420C"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16</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strengthen partnerships between governments and stakeholders from the private sector, civil society, the technical community, academia, and development partners, to ensure effective coordination of interventions in skills development, expand meaningful and affordable connectivity and job opportunities in the telecommunication/ICT sector, provide digital skills, close the gender digital divide, and ensure that all groups in society have equitable access for all to training, education, and employment in telecommunications/ICTs, as a means of bridging the digital divides;</w:t>
      </w:r>
    </w:p>
    <w:p w14:paraId="1BF3955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17</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consider adopting policies to address requirements for specialized skills in new and emerging telecommunications/ICTs, and new and emerging technologies;</w:t>
      </w:r>
    </w:p>
    <w:p w14:paraId="6AB4C8F3"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val="en-US"/>
        </w:rPr>
      </w:pPr>
      <w:r w:rsidRPr="00686ACB">
        <w:rPr>
          <w:rFonts w:asciiTheme="minorHAnsi" w:eastAsiaTheme="minorEastAsia" w:hAnsiTheme="minorHAnsi" w:cstheme="minorHAnsi"/>
          <w:szCs w:val="24"/>
        </w:rPr>
        <w:lastRenderedPageBreak/>
        <w:t>18</w:t>
      </w:r>
      <w:r w:rsidRPr="00686ACB">
        <w:rPr>
          <w:rFonts w:asciiTheme="minorHAnsi" w:eastAsiaTheme="minorEastAsia" w:hAnsiTheme="minorHAnsi" w:cstheme="minorHAnsi"/>
          <w:szCs w:val="24"/>
        </w:rPr>
        <w:tab/>
      </w:r>
      <w:r w:rsidRPr="00686ACB">
        <w:rPr>
          <w:rFonts w:asciiTheme="minorHAnsi" w:eastAsiaTheme="minorEastAsia" w:hAnsiTheme="minorHAnsi" w:cstheme="minorHAnsi"/>
          <w:noProof/>
          <w:szCs w:val="24"/>
          <w:lang w:val="en-US" w:eastAsia="zh-CN"/>
        </w:rPr>
        <w:t>to promote device recycling and redistribution to digitally excluded communities;</w:t>
      </w:r>
    </w:p>
    <w:p w14:paraId="348E01C6"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19</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promote telecommunication/ICT infrastructure and broadband networks/systems, particularly in remote and underserved areas including through complementary access networks and solutions, according to national regulations;</w:t>
      </w:r>
    </w:p>
    <w:p w14:paraId="46E6C732"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20</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upskill private and public-sector workers to deliver inclusive digital services, including skills training, to enhance digital inclusion efforts at the community level including digital skill training;</w:t>
      </w:r>
    </w:p>
    <w:p w14:paraId="1E74A0D5"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eastAsia="zh-CN"/>
        </w:rPr>
        <w:t>21</w:t>
      </w:r>
      <w:r w:rsidRPr="00686ACB">
        <w:rPr>
          <w:rFonts w:asciiTheme="minorHAnsi" w:eastAsiaTheme="minorEastAsia" w:hAnsiTheme="minorHAnsi" w:cstheme="minorHAnsi"/>
          <w:noProof/>
          <w:szCs w:val="24"/>
          <w:lang w:eastAsia="zh-CN"/>
        </w:rPr>
        <w:tab/>
      </w:r>
      <w:r w:rsidRPr="00686ACB">
        <w:rPr>
          <w:rFonts w:asciiTheme="minorHAnsi" w:eastAsiaTheme="minorEastAsia" w:hAnsiTheme="minorHAnsi" w:cstheme="minorHAnsi"/>
          <w:noProof/>
          <w:szCs w:val="24"/>
          <w:lang w:val="en-US" w:eastAsia="zh-CN"/>
        </w:rPr>
        <w:t>to encourage policymakers and regulators to adopt adaptive governance models, implement result-based monitoring, and promote community-informed policymakinsg to bridge the digital divide,</w:t>
      </w:r>
    </w:p>
    <w:p w14:paraId="7B4AD2C8" w14:textId="77777777" w:rsidR="00870C27" w:rsidRPr="00686ACB" w:rsidRDefault="00870C27" w:rsidP="00870C27">
      <w:pPr>
        <w:pStyle w:val="Call"/>
        <w:jc w:val="both"/>
        <w:rPr>
          <w:rFonts w:asciiTheme="minorHAnsi" w:eastAsiaTheme="minorEastAsia" w:hAnsiTheme="minorHAnsi" w:cstheme="minorHAnsi"/>
          <w:iCs/>
          <w:szCs w:val="24"/>
          <w:lang w:eastAsia="zh-CN"/>
        </w:rPr>
      </w:pPr>
      <w:r w:rsidRPr="00686ACB">
        <w:rPr>
          <w:rFonts w:asciiTheme="minorHAnsi" w:eastAsiaTheme="minorEastAsia" w:hAnsiTheme="minorHAnsi" w:cstheme="minorHAnsi"/>
          <w:szCs w:val="24"/>
          <w:lang w:eastAsia="zh-CN"/>
        </w:rPr>
        <w:t>invites the Secretary-General</w:t>
      </w:r>
    </w:p>
    <w:p w14:paraId="008546D5"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1</w:t>
      </w:r>
      <w:r w:rsidRPr="00686ACB">
        <w:rPr>
          <w:rFonts w:asciiTheme="minorHAnsi" w:eastAsiaTheme="minorEastAsia" w:hAnsiTheme="minorHAnsi" w:cstheme="minorHAnsi"/>
          <w:noProof/>
          <w:szCs w:val="24"/>
          <w:lang w:val="en-US" w:eastAsia="zh-CN"/>
        </w:rPr>
        <w:tab/>
        <w:t>to continue to reinforce the ITU’s efforts, within its mandate and in collaboration with Member States, stakeholders, and partner organizations, to bridge digital divides, particularly on gender, age, skills, and connectivity while ensuring that initiatives are responsive to the specific circumstances of developing countries, in line with ITU data and findings on universal and meaningful connectivity;</w:t>
      </w:r>
    </w:p>
    <w:p w14:paraId="13FB1CBE" w14:textId="77777777" w:rsidR="00870C27" w:rsidRPr="00686ACB"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686ACB">
        <w:rPr>
          <w:rFonts w:asciiTheme="minorHAnsi" w:eastAsiaTheme="minorEastAsia" w:hAnsiTheme="minorHAnsi" w:cstheme="minorHAnsi"/>
          <w:noProof/>
          <w:szCs w:val="24"/>
          <w:lang w:val="en-US" w:eastAsia="zh-CN"/>
        </w:rPr>
        <w:t>2</w:t>
      </w:r>
      <w:r w:rsidRPr="00686ACB">
        <w:rPr>
          <w:rFonts w:asciiTheme="minorHAnsi" w:eastAsiaTheme="minorEastAsia" w:hAnsiTheme="minorHAnsi" w:cstheme="minorHAnsi"/>
          <w:noProof/>
          <w:szCs w:val="24"/>
          <w:lang w:val="en-US" w:eastAsia="zh-CN"/>
        </w:rPr>
        <w:tab/>
        <w:t>to assist in facilitating and sharing of best practices, guidelines, and toolkits among developing Member States for integrating gender equality considerations into ICT policies and strategies.</w:t>
      </w:r>
    </w:p>
    <w:p w14:paraId="40FE2CF1" w14:textId="77777777"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b/>
          <w:sz w:val="22"/>
          <w:szCs w:val="22"/>
          <w:lang w:val="en-US"/>
        </w:rPr>
      </w:pPr>
      <w:r w:rsidRPr="006975BE">
        <w:rPr>
          <w:rFonts w:asciiTheme="minorHAnsi" w:hAnsiTheme="minorHAnsi" w:cstheme="minorHAnsi"/>
          <w:b/>
          <w:sz w:val="22"/>
          <w:szCs w:val="22"/>
          <w:lang w:val="en-US"/>
        </w:rPr>
        <w:br w:type="page"/>
      </w:r>
    </w:p>
    <w:p w14:paraId="720EE12E" w14:textId="77777777" w:rsidR="00C64ED7" w:rsidRPr="006975BE" w:rsidRDefault="00C64ED7" w:rsidP="001B2810">
      <w:pPr>
        <w:pStyle w:val="OpNo"/>
      </w:pPr>
      <w:r w:rsidRPr="006975BE">
        <w:lastRenderedPageBreak/>
        <w:t>DRAFT OPINION 2</w:t>
      </w:r>
    </w:p>
    <w:p w14:paraId="3FE1946D" w14:textId="77777777" w:rsidR="00C64ED7" w:rsidRPr="006975BE" w:rsidRDefault="00C64ED7" w:rsidP="001B2810">
      <w:pPr>
        <w:pStyle w:val="Optitle0"/>
      </w:pPr>
      <w:r w:rsidRPr="006975BE">
        <w:t>Green digital transformation: climate change and environmental sustainability</w:t>
      </w:r>
    </w:p>
    <w:p w14:paraId="51552C7F" w14:textId="77777777" w:rsidR="00870C27" w:rsidRPr="004E42F5" w:rsidRDefault="00870C27" w:rsidP="00870C27">
      <w:pPr>
        <w:pStyle w:val="Normalaftertitle"/>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The seventh World Telecommunication/ICT Policy Forum (Nassau, 2026),</w:t>
      </w:r>
    </w:p>
    <w:p w14:paraId="4B98E338"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recalling</w:t>
      </w:r>
    </w:p>
    <w:p w14:paraId="4351C871" w14:textId="65F7BBB1"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a)</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70/1 of the United Nations General Assembly (UNGA), on transforming our world: the 2030 Agenda for Sustainable Development, in particular, Sustainable Development Goals 12 on ensure sustainable consumption and production patterns and 13 on take urgent action to combat climate change and its impacts;</w:t>
      </w:r>
    </w:p>
    <w:p w14:paraId="33835C83" w14:textId="6BE8702E"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b)</w:t>
      </w:r>
      <w:r w:rsidRPr="004E42F5">
        <w:rPr>
          <w:rFonts w:asciiTheme="minorHAnsi" w:eastAsiaTheme="minorEastAsia" w:hAnsiTheme="minorHAnsi" w:cstheme="minorHAnsi"/>
          <w:i/>
          <w:noProof/>
          <w:szCs w:val="24"/>
          <w:lang w:val="en-US" w:eastAsia="zh-CN"/>
        </w:rPr>
        <w:tab/>
      </w:r>
      <w:r w:rsidRPr="004E42F5">
        <w:rPr>
          <w:rFonts w:asciiTheme="minorHAnsi" w:hAnsiTheme="minorHAnsi" w:cstheme="minorHAnsi"/>
          <w:szCs w:val="24"/>
        </w:rPr>
        <w:t>Resolution 80/173 of UNGA, on the outcome document of the high-level meeting on the overall review of the implementation of the outcomes of the World Summit on the Information Society (</w:t>
      </w:r>
      <w:proofErr w:type="spellStart"/>
      <w:r w:rsidRPr="004E42F5">
        <w:rPr>
          <w:rFonts w:asciiTheme="minorHAnsi" w:hAnsiTheme="minorHAnsi" w:cstheme="minorHAnsi"/>
          <w:szCs w:val="24"/>
        </w:rPr>
        <w:t>WSIS+20</w:t>
      </w:r>
      <w:proofErr w:type="spellEnd"/>
      <w:r w:rsidRPr="004E42F5">
        <w:rPr>
          <w:rFonts w:asciiTheme="minorHAnsi" w:hAnsiTheme="minorHAnsi" w:cstheme="minorHAnsi"/>
          <w:szCs w:val="24"/>
        </w:rPr>
        <w:t>);</w:t>
      </w:r>
    </w:p>
    <w:p w14:paraId="5180CFAD" w14:textId="77777777"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c)</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182 (Rev. Bucharest, 2022) of the Plenipotentiary Conference, on the role of telecommunications/information and communication technologies (ICTs) in regard to climate change and protection of the environment;</w:t>
      </w:r>
    </w:p>
    <w:p w14:paraId="55AC01A1" w14:textId="77777777"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d)</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1429 of the ITU Council, adopted at its 2024 session, on ITU’s role in facilitating ICTs’ contribution to sustainability and climate action;</w:t>
      </w:r>
    </w:p>
    <w:p w14:paraId="42C758E7" w14:textId="77777777"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e)</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73 (Rev. New Delhi, 2024) of the World Telecommunication Standardization Assembly (WTSA), on ICTs, environment, climate change and circular economy;</w:t>
      </w:r>
    </w:p>
    <w:p w14:paraId="74AA6078" w14:textId="77777777"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f)</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79 (Rev. New Delhi, 2024) of WTSA, on the role of telecommunications/ICTs in handling and controlling e-waste from telecommunications and information technology equipment and methods of treating it;</w:t>
      </w:r>
    </w:p>
    <w:p w14:paraId="4743D188" w14:textId="08AFF099" w:rsidR="00870C27" w:rsidRPr="004E42F5" w:rsidRDefault="00870C27" w:rsidP="00870C27">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4E42F5">
        <w:rPr>
          <w:rFonts w:asciiTheme="minorHAnsi" w:eastAsiaTheme="minorEastAsia" w:hAnsiTheme="minorHAnsi" w:cstheme="minorHAnsi"/>
          <w:i/>
          <w:noProof/>
          <w:szCs w:val="24"/>
          <w:lang w:val="en-US" w:eastAsia="zh-CN"/>
        </w:rPr>
        <w:t>g)</w:t>
      </w:r>
      <w:r w:rsidRPr="004E42F5">
        <w:rPr>
          <w:rFonts w:asciiTheme="minorHAnsi" w:eastAsiaTheme="minorEastAsia" w:hAnsiTheme="minorHAnsi" w:cstheme="minorHAnsi"/>
          <w:i/>
          <w:noProof/>
          <w:szCs w:val="24"/>
          <w:lang w:val="en-US" w:eastAsia="zh-CN"/>
        </w:rPr>
        <w:tab/>
      </w:r>
      <w:r w:rsidRPr="004E42F5">
        <w:rPr>
          <w:rFonts w:asciiTheme="minorHAnsi" w:eastAsiaTheme="minorEastAsia" w:hAnsiTheme="minorHAnsi" w:cstheme="minorHAnsi"/>
          <w:noProof/>
          <w:szCs w:val="24"/>
          <w:lang w:val="en-US" w:eastAsia="zh-CN"/>
        </w:rPr>
        <w:t>Resolution 66 (Rev. Baku, 2025) of the World Telecommunication Development Conference, on ICT, environment, climate change and circular economy,</w:t>
      </w:r>
    </w:p>
    <w:p w14:paraId="0FCA24A7"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emphasising</w:t>
      </w:r>
    </w:p>
    <w:p w14:paraId="58ECD0C4"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climate change and biodiversity loss and pollution represent significant challenges of our time and that addressing them requires progress towards sustainable development;</w:t>
      </w:r>
    </w:p>
    <w:p w14:paraId="1011CE97" w14:textId="77777777" w:rsidR="00870C27" w:rsidRPr="004E42F5" w:rsidRDefault="00870C27" w:rsidP="00870C27">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limiting global warming requires rapid, deep and sustained reductions in global greenhouse gas (GHG) emissions in line with the principles and commitments set out in the United Nations Framework Convention on Climate Change (UNFCCC) and the Paris Agreement, in the light of different national circumstances,</w:t>
      </w:r>
    </w:p>
    <w:p w14:paraId="162F331A" w14:textId="77777777" w:rsidR="00870C27" w:rsidRPr="004E42F5" w:rsidRDefault="00870C27" w:rsidP="00870C27">
      <w:pPr>
        <w:pStyle w:val="Call"/>
        <w:jc w:val="both"/>
        <w:rPr>
          <w:rFonts w:asciiTheme="minorHAnsi" w:eastAsiaTheme="minorEastAsia" w:hAnsiTheme="minorHAnsi" w:cstheme="minorHAnsi"/>
          <w:szCs w:val="24"/>
        </w:rPr>
      </w:pPr>
      <w:proofErr w:type="gramStart"/>
      <w:r w:rsidRPr="004E42F5">
        <w:rPr>
          <w:rFonts w:asciiTheme="minorHAnsi" w:eastAsiaTheme="minorEastAsia" w:hAnsiTheme="minorHAnsi" w:cstheme="minorHAnsi"/>
          <w:szCs w:val="24"/>
        </w:rPr>
        <w:t>taking into account</w:t>
      </w:r>
      <w:proofErr w:type="gramEnd"/>
    </w:p>
    <w:p w14:paraId="2BC8216C"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telecommunications/ICTs contribute to climate change throughout their life cycle;</w:t>
      </w:r>
    </w:p>
    <w:p w14:paraId="37B6EFD2"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a green digital transformation combats climate change by developing, deploying, and disposing of telecommunications/ICTs in environmentally sustainable ways;</w:t>
      </w:r>
    </w:p>
    <w:p w14:paraId="001B1EFD"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c)</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a green digital transformation reduces the environmental footprint of telecommunications/ICTs by promoting circularity throughout their life cycle: extending the life of equipment, combatting software obsolescence, promoting the repair and refurbishment of devices, and improving the recovery and reuse of material resources from related waste;</w:t>
      </w:r>
    </w:p>
    <w:p w14:paraId="2B807F44"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lastRenderedPageBreak/>
        <w:t>d)</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new policy initiatives, such as a green digital transformation, are essential to meet agreed climate change targets laid out in the Paris Agreement signed at the 21</w:t>
      </w:r>
      <w:r w:rsidRPr="004E42F5">
        <w:rPr>
          <w:rFonts w:asciiTheme="minorHAnsi" w:eastAsiaTheme="minorEastAsia" w:hAnsiTheme="minorHAnsi" w:cstheme="minorHAnsi"/>
          <w:szCs w:val="24"/>
          <w:vertAlign w:val="superscript"/>
          <w:lang w:eastAsia="zh-CN"/>
        </w:rPr>
        <w:t>st</w:t>
      </w:r>
      <w:r w:rsidRPr="004E42F5">
        <w:rPr>
          <w:rFonts w:asciiTheme="minorHAnsi" w:eastAsiaTheme="minorEastAsia" w:hAnsiTheme="minorHAnsi" w:cstheme="minorHAnsi"/>
          <w:szCs w:val="24"/>
          <w:lang w:eastAsia="zh-CN"/>
        </w:rPr>
        <w:t xml:space="preserve"> UN Climate Change Conference (COP21), with the United Nations Environmental Program reporting that limiting</w:t>
      </w:r>
      <w:r w:rsidRPr="004E42F5">
        <w:rPr>
          <w:rFonts w:asciiTheme="minorHAnsi" w:eastAsiaTheme="minorEastAsia" w:hAnsiTheme="minorHAnsi" w:cstheme="minorHAnsi"/>
          <w:bCs/>
          <w:szCs w:val="24"/>
          <w:lang w:eastAsia="zh-CN"/>
        </w:rPr>
        <w:t xml:space="preserve"> </w:t>
      </w:r>
      <w:r w:rsidRPr="004E42F5">
        <w:rPr>
          <w:rFonts w:asciiTheme="minorHAnsi" w:eastAsiaTheme="minorEastAsia" w:hAnsiTheme="minorHAnsi" w:cstheme="minorHAnsi"/>
          <w:szCs w:val="24"/>
          <w:lang w:eastAsia="zh-CN"/>
        </w:rPr>
        <w:t>global warming to 1.5° C is impossible under the current Nationally Determined Contributions,</w:t>
      </w:r>
    </w:p>
    <w:p w14:paraId="7B9F25BF"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considering</w:t>
      </w:r>
    </w:p>
    <w:p w14:paraId="23781B02" w14:textId="77777777" w:rsidR="00870C27" w:rsidRPr="004E42F5" w:rsidRDefault="00870C27" w:rsidP="00870C27">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rPr>
        <w:t>ITU’s</w:t>
      </w:r>
      <w:r w:rsidRPr="004E42F5">
        <w:rPr>
          <w:rFonts w:asciiTheme="minorHAnsi" w:eastAsiaTheme="minorEastAsia" w:hAnsiTheme="minorHAnsi" w:cstheme="minorHAnsi"/>
          <w:szCs w:val="24"/>
          <w:lang w:eastAsia="zh-CN"/>
        </w:rPr>
        <w:t xml:space="preserve"> Green Digital Companies Report with the World Benchmarking Alliance, that revealed that the race to develop artificial intelligence and expand data centres is driving unprecedented growth in the digital sector and fuelling a sharp rise in GHG emissions and energy consumption;</w:t>
      </w:r>
    </w:p>
    <w:p w14:paraId="51B0D0B3" w14:textId="77777777" w:rsidR="00870C27" w:rsidRPr="004E42F5" w:rsidRDefault="00870C27" w:rsidP="00870C27">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i/>
          <w:spacing w:val="-2"/>
          <w:szCs w:val="24"/>
          <w:lang w:eastAsia="zh-CN"/>
        </w:rPr>
        <w:t>b)</w:t>
      </w:r>
      <w:r w:rsidRPr="004E42F5">
        <w:rPr>
          <w:rFonts w:asciiTheme="minorHAnsi" w:eastAsiaTheme="minorEastAsia" w:hAnsiTheme="minorHAnsi" w:cstheme="minorHAnsi"/>
          <w:i/>
          <w:spacing w:val="-2"/>
          <w:szCs w:val="24"/>
          <w:lang w:eastAsia="zh-CN"/>
        </w:rPr>
        <w:tab/>
      </w:r>
      <w:r w:rsidRPr="004E42F5">
        <w:rPr>
          <w:rFonts w:asciiTheme="minorHAnsi" w:eastAsiaTheme="minorEastAsia" w:hAnsiTheme="minorHAnsi" w:cstheme="minorHAnsi"/>
          <w:spacing w:val="-2"/>
          <w:szCs w:val="24"/>
          <w:lang w:eastAsia="zh-CN"/>
        </w:rPr>
        <w:t>the importance of leveraging digital technologies for achieving the ultimate objectives of the UNFCCC, in the context of sustainable development, and the Paris Agreement signed at the COP21;</w:t>
      </w:r>
    </w:p>
    <w:p w14:paraId="07434CFB"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c)</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public procurement frameworks and market mechanisms can encourage the deployment of environmentally sustainable telecommunications/ICTs,</w:t>
      </w:r>
    </w:p>
    <w:p w14:paraId="3BECE684"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recognising</w:t>
      </w:r>
    </w:p>
    <w:p w14:paraId="0A542BAD"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a)</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the environmental benefits and damage of telecommunications/ICTs are not evenly distributed and that many developing countries suffer from environmental hazards due to e-waste;</w:t>
      </w:r>
    </w:p>
    <w:p w14:paraId="5A1C3788"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b)</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 xml:space="preserve">according to the United Nations’ 2024 </w:t>
      </w:r>
      <w:r w:rsidRPr="004E42F5">
        <w:rPr>
          <w:rFonts w:asciiTheme="minorHAnsi" w:eastAsiaTheme="minorEastAsia" w:hAnsiTheme="minorHAnsi" w:cstheme="minorHAnsi"/>
          <w:i/>
          <w:iCs/>
          <w:szCs w:val="24"/>
          <w:lang w:eastAsia="zh-CN"/>
        </w:rPr>
        <w:t>Digital Economy Report</w:t>
      </w:r>
      <w:r w:rsidRPr="004E42F5">
        <w:rPr>
          <w:rFonts w:asciiTheme="minorHAnsi" w:eastAsiaTheme="minorEastAsia" w:hAnsiTheme="minorHAnsi" w:cstheme="minorHAnsi"/>
          <w:szCs w:val="24"/>
          <w:lang w:eastAsia="zh-CN"/>
        </w:rPr>
        <w:t>, in per capita terms, developed countries generated on average 3.25 kg of digital-related waste compared with less than 1 kg in developing countries, and 0.21 kg in the least developed countries;</w:t>
      </w:r>
    </w:p>
    <w:p w14:paraId="078B3247" w14:textId="77777777" w:rsidR="00870C27" w:rsidRPr="004E42F5" w:rsidRDefault="00870C27" w:rsidP="00870C27">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i/>
          <w:spacing w:val="-2"/>
          <w:szCs w:val="24"/>
          <w:lang w:eastAsia="zh-CN"/>
        </w:rPr>
        <w:t>c)</w:t>
      </w:r>
      <w:r w:rsidRPr="004E42F5">
        <w:rPr>
          <w:rFonts w:asciiTheme="minorHAnsi" w:eastAsiaTheme="minorEastAsia" w:hAnsiTheme="minorHAnsi" w:cstheme="minorHAnsi"/>
          <w:i/>
          <w:spacing w:val="-2"/>
          <w:szCs w:val="24"/>
          <w:lang w:eastAsia="zh-CN"/>
        </w:rPr>
        <w:tab/>
      </w:r>
      <w:r w:rsidRPr="004E42F5">
        <w:rPr>
          <w:rFonts w:asciiTheme="minorHAnsi" w:eastAsiaTheme="minorEastAsia" w:hAnsiTheme="minorHAnsi" w:cstheme="minorHAnsi"/>
          <w:spacing w:val="-2"/>
          <w:szCs w:val="24"/>
          <w:lang w:eastAsia="zh-CN"/>
        </w:rPr>
        <w:t>that industry practices should promote opportunities and incentives for consumers to reuse, repair, and recycle ICT products, which aim at reducing e-waste, particularly in developing countries;</w:t>
      </w:r>
    </w:p>
    <w:p w14:paraId="0214876B" w14:textId="77777777" w:rsidR="00870C27" w:rsidRPr="004E42F5" w:rsidRDefault="00870C27" w:rsidP="00870C27">
      <w:pPr>
        <w:jc w:val="both"/>
        <w:rPr>
          <w:rFonts w:asciiTheme="minorHAnsi" w:eastAsiaTheme="minorEastAsia" w:hAnsiTheme="minorHAnsi" w:cstheme="minorHAnsi"/>
          <w:szCs w:val="24"/>
        </w:rPr>
      </w:pPr>
      <w:r w:rsidRPr="004E42F5">
        <w:rPr>
          <w:rFonts w:asciiTheme="minorHAnsi" w:eastAsiaTheme="minorEastAsia" w:hAnsiTheme="minorHAnsi" w:cstheme="minorHAnsi"/>
          <w:i/>
          <w:szCs w:val="24"/>
        </w:rPr>
        <w:t>d)</w:t>
      </w:r>
      <w:r w:rsidRPr="004E42F5">
        <w:rPr>
          <w:rFonts w:asciiTheme="minorHAnsi" w:eastAsiaTheme="minorEastAsia" w:hAnsiTheme="minorHAnsi" w:cstheme="minorHAnsi"/>
          <w:i/>
          <w:szCs w:val="24"/>
        </w:rPr>
        <w:tab/>
      </w:r>
      <w:r w:rsidRPr="004E42F5">
        <w:rPr>
          <w:rFonts w:asciiTheme="minorHAnsi" w:eastAsiaTheme="minorEastAsia" w:hAnsiTheme="minorHAnsi" w:cstheme="minorHAnsi"/>
          <w:szCs w:val="24"/>
        </w:rPr>
        <w:t xml:space="preserve">that telecommunication/ICT infrastructure, including data centres, can lead to high energy consumption and carbon emissions if they are not managed sustainably; </w:t>
      </w:r>
    </w:p>
    <w:p w14:paraId="689BBB22" w14:textId="77777777" w:rsidR="00870C27" w:rsidRPr="004E42F5" w:rsidRDefault="00870C27" w:rsidP="00870C27">
      <w:pPr>
        <w:jc w:val="both"/>
        <w:rPr>
          <w:rFonts w:asciiTheme="minorHAnsi" w:eastAsiaTheme="minorEastAsia" w:hAnsiTheme="minorHAnsi" w:cstheme="minorHAnsi"/>
          <w:szCs w:val="24"/>
        </w:rPr>
      </w:pPr>
      <w:r w:rsidRPr="004E42F5">
        <w:rPr>
          <w:rFonts w:asciiTheme="minorHAnsi" w:eastAsiaTheme="minorEastAsia" w:hAnsiTheme="minorHAnsi" w:cstheme="minorHAnsi"/>
          <w:i/>
          <w:szCs w:val="24"/>
        </w:rPr>
        <w:t>e)</w:t>
      </w:r>
      <w:r w:rsidRPr="004E42F5">
        <w:rPr>
          <w:rFonts w:asciiTheme="minorHAnsi" w:eastAsiaTheme="minorEastAsia" w:hAnsiTheme="minorHAnsi" w:cstheme="minorHAnsi"/>
          <w:i/>
          <w:szCs w:val="24"/>
        </w:rPr>
        <w:tab/>
      </w:r>
      <w:r w:rsidRPr="004E42F5">
        <w:rPr>
          <w:rFonts w:asciiTheme="minorHAnsi" w:hAnsiTheme="minorHAnsi" w:cstheme="minorHAnsi"/>
          <w:szCs w:val="24"/>
        </w:rPr>
        <w:t xml:space="preserve">that the rapid development of </w:t>
      </w:r>
      <w:r w:rsidRPr="004E42F5">
        <w:rPr>
          <w:rFonts w:asciiTheme="minorHAnsi" w:eastAsiaTheme="minorEastAsia" w:hAnsiTheme="minorHAnsi" w:cstheme="minorHAnsi"/>
          <w:szCs w:val="24"/>
        </w:rPr>
        <w:t>telecommunications/ICTs</w:t>
      </w:r>
      <w:r w:rsidRPr="004E42F5">
        <w:rPr>
          <w:rFonts w:asciiTheme="minorHAnsi" w:hAnsiTheme="minorHAnsi" w:cstheme="minorHAnsi"/>
          <w:szCs w:val="24"/>
        </w:rPr>
        <w:t xml:space="preserve"> can lead to increased electronic waste, which poses environmental hazards;</w:t>
      </w:r>
    </w:p>
    <w:p w14:paraId="3966E816"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f)</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small island developing States and other countries with small populations may face challenges in implementing green digital transformation programs without partnerships to scale up operations;</w:t>
      </w:r>
    </w:p>
    <w:p w14:paraId="3BE27194"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g)</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that developing countries may have challenges meeting Paris Agreement targets and facilitating the green digital transformation without financial and technical support;</w:t>
      </w:r>
    </w:p>
    <w:p w14:paraId="792C0F95"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i/>
          <w:szCs w:val="24"/>
          <w:lang w:eastAsia="zh-CN"/>
        </w:rPr>
        <w:t>h)</w:t>
      </w:r>
      <w:r w:rsidRPr="004E42F5">
        <w:rPr>
          <w:rFonts w:asciiTheme="minorHAnsi" w:eastAsiaTheme="minorEastAsia" w:hAnsiTheme="minorHAnsi" w:cstheme="minorHAnsi"/>
          <w:i/>
          <w:szCs w:val="24"/>
          <w:lang w:eastAsia="zh-CN"/>
        </w:rPr>
        <w:tab/>
      </w:r>
      <w:r w:rsidRPr="004E42F5">
        <w:rPr>
          <w:rFonts w:asciiTheme="minorHAnsi" w:eastAsiaTheme="minorEastAsia" w:hAnsiTheme="minorHAnsi" w:cstheme="minorHAnsi"/>
          <w:szCs w:val="24"/>
          <w:lang w:eastAsia="zh-CN"/>
        </w:rPr>
        <w:t xml:space="preserve">that a green digital transformation must factor in that many developing countries still need to digitalize further </w:t>
      </w:r>
      <w:proofErr w:type="gramStart"/>
      <w:r w:rsidRPr="004E42F5">
        <w:rPr>
          <w:rFonts w:asciiTheme="minorHAnsi" w:eastAsiaTheme="minorEastAsia" w:hAnsiTheme="minorHAnsi" w:cstheme="minorHAnsi"/>
          <w:szCs w:val="24"/>
          <w:lang w:eastAsia="zh-CN"/>
        </w:rPr>
        <w:t>in order to</w:t>
      </w:r>
      <w:proofErr w:type="gramEnd"/>
      <w:r w:rsidRPr="004E42F5">
        <w:rPr>
          <w:rFonts w:asciiTheme="minorHAnsi" w:eastAsiaTheme="minorEastAsia" w:hAnsiTheme="minorHAnsi" w:cstheme="minorHAnsi"/>
          <w:szCs w:val="24"/>
          <w:lang w:eastAsia="zh-CN"/>
        </w:rPr>
        <w:t xml:space="preserve"> participate effectively in the global economy and society;</w:t>
      </w:r>
    </w:p>
    <w:p w14:paraId="2A5EB8A6" w14:textId="77777777" w:rsidR="00870C27" w:rsidRPr="004E42F5" w:rsidRDefault="00870C27" w:rsidP="00870C27">
      <w:pPr>
        <w:jc w:val="both"/>
        <w:rPr>
          <w:rFonts w:asciiTheme="minorHAnsi" w:eastAsiaTheme="minorEastAsia" w:hAnsiTheme="minorHAnsi" w:cstheme="minorHAnsi"/>
          <w:szCs w:val="24"/>
          <w:lang w:eastAsia="zh-CN"/>
        </w:rPr>
      </w:pPr>
      <w:proofErr w:type="spellStart"/>
      <w:r w:rsidRPr="004E42F5">
        <w:rPr>
          <w:rFonts w:asciiTheme="minorHAnsi" w:eastAsiaTheme="minorEastAsia" w:hAnsiTheme="minorHAnsi" w:cstheme="minorHAnsi"/>
          <w:i/>
          <w:szCs w:val="24"/>
          <w:lang w:eastAsia="zh-CN"/>
        </w:rPr>
        <w:t>i</w:t>
      </w:r>
      <w:proofErr w:type="spellEnd"/>
      <w:r w:rsidRPr="004E42F5">
        <w:rPr>
          <w:rFonts w:asciiTheme="minorHAnsi" w:eastAsiaTheme="minorEastAsia" w:hAnsiTheme="minorHAnsi" w:cstheme="minorHAnsi"/>
          <w:i/>
          <w:szCs w:val="24"/>
          <w:lang w:eastAsia="zh-CN"/>
        </w:rPr>
        <w:t>)</w:t>
      </w:r>
      <w:r w:rsidRPr="004E42F5">
        <w:rPr>
          <w:rFonts w:asciiTheme="minorHAnsi" w:eastAsiaTheme="minorEastAsia" w:hAnsiTheme="minorHAnsi" w:cstheme="minorHAnsi"/>
          <w:i/>
          <w:szCs w:val="24"/>
          <w:lang w:eastAsia="zh-CN"/>
        </w:rPr>
        <w:tab/>
      </w:r>
      <w:r w:rsidRPr="004E42F5">
        <w:rPr>
          <w:rFonts w:asciiTheme="minorHAnsi" w:hAnsiTheme="minorHAnsi" w:cstheme="minorHAnsi"/>
          <w:szCs w:val="24"/>
        </w:rPr>
        <w:t>the contributions made by relevant ITU Study Groups across all three Sectors, such as ITU</w:t>
      </w:r>
      <w:r w:rsidRPr="004E42F5">
        <w:rPr>
          <w:rFonts w:asciiTheme="minorHAnsi" w:hAnsiTheme="minorHAnsi" w:cstheme="minorHAnsi"/>
          <w:szCs w:val="24"/>
        </w:rPr>
        <w:noBreakHyphen/>
        <w:t xml:space="preserve">T </w:t>
      </w:r>
      <w:r w:rsidRPr="004E42F5">
        <w:rPr>
          <w:rFonts w:asciiTheme="minorHAnsi" w:eastAsiaTheme="minorEastAsia" w:hAnsiTheme="minorHAnsi" w:cstheme="minorHAnsi"/>
          <w:szCs w:val="24"/>
          <w:lang w:eastAsia="zh-CN"/>
        </w:rPr>
        <w:t>Study Group 5, ITU-R Study Group 7, ITU-D Study Group 2,</w:t>
      </w:r>
    </w:p>
    <w:p w14:paraId="0EDE72FA"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 xml:space="preserve">is of the view </w:t>
      </w:r>
    </w:p>
    <w:p w14:paraId="06ED9CEB"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that rapid, deep and sustained reductions in global GHG emissions are necessary to achieve a sustainable green digital transformation;</w:t>
      </w:r>
    </w:p>
    <w:p w14:paraId="64A98A68"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that national, regional and local governments, the private sector, civil society, the technical community and academia should partner together and work towards green digital transformation;</w:t>
      </w:r>
    </w:p>
    <w:p w14:paraId="572FA9F9" w14:textId="77777777" w:rsidR="00870C27" w:rsidRPr="004E42F5" w:rsidRDefault="00870C27" w:rsidP="00870C27">
      <w:pPr>
        <w:widowControl w:val="0"/>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 xml:space="preserve">that, while telecommunications/ICTs make a significant contribution to global GHG </w:t>
      </w:r>
      <w:r w:rsidRPr="004E42F5">
        <w:rPr>
          <w:rFonts w:asciiTheme="minorHAnsi" w:eastAsiaTheme="minorEastAsia" w:hAnsiTheme="minorHAnsi" w:cstheme="minorHAnsi"/>
          <w:szCs w:val="24"/>
          <w:lang w:eastAsia="zh-CN"/>
        </w:rPr>
        <w:lastRenderedPageBreak/>
        <w:t xml:space="preserve">emissions, their transformative power can be harnessed </w:t>
      </w:r>
      <w:proofErr w:type="gramStart"/>
      <w:r w:rsidRPr="004E42F5">
        <w:rPr>
          <w:rFonts w:asciiTheme="minorHAnsi" w:eastAsiaTheme="minorEastAsia" w:hAnsiTheme="minorHAnsi" w:cstheme="minorHAnsi"/>
          <w:szCs w:val="24"/>
          <w:lang w:eastAsia="zh-CN"/>
        </w:rPr>
        <w:t>in order to</w:t>
      </w:r>
      <w:proofErr w:type="gramEnd"/>
      <w:r w:rsidRPr="004E42F5">
        <w:rPr>
          <w:rFonts w:asciiTheme="minorHAnsi" w:eastAsiaTheme="minorEastAsia" w:hAnsiTheme="minorHAnsi" w:cstheme="minorHAnsi"/>
          <w:szCs w:val="24"/>
          <w:lang w:eastAsia="zh-CN"/>
        </w:rPr>
        <w:t xml:space="preserve"> address climate change;</w:t>
      </w:r>
    </w:p>
    <w:p w14:paraId="5A988867"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4</w:t>
      </w:r>
      <w:r w:rsidRPr="004E42F5">
        <w:rPr>
          <w:rFonts w:asciiTheme="minorHAnsi" w:eastAsiaTheme="minorEastAsia" w:hAnsiTheme="minorHAnsi" w:cstheme="minorHAnsi"/>
          <w:szCs w:val="24"/>
          <w:lang w:eastAsia="zh-CN"/>
        </w:rPr>
        <w:tab/>
        <w:t>that the increasing, dynamic pace of the telecommunication/ICT sector should be compatible with a green digital transformation and represents an opportunity for economic growth, improved competitiveness, and sustainable development across all economic sectors, while simultaneously decreasing GHG emissions from other sectors;</w:t>
      </w:r>
    </w:p>
    <w:p w14:paraId="28B5B42E" w14:textId="77777777" w:rsidR="00870C27" w:rsidRPr="004E42F5" w:rsidRDefault="00870C27" w:rsidP="00870C27">
      <w:pPr>
        <w:rPr>
          <w:rFonts w:eastAsiaTheme="minorEastAsia"/>
          <w:lang w:eastAsia="zh-CN"/>
        </w:rPr>
      </w:pPr>
      <w:r w:rsidRPr="004E42F5">
        <w:rPr>
          <w:rFonts w:asciiTheme="minorHAnsi" w:eastAsiaTheme="minorEastAsia" w:hAnsiTheme="minorHAnsi" w:cstheme="minorHAnsi"/>
          <w:szCs w:val="24"/>
          <w:lang w:eastAsia="zh-CN"/>
        </w:rPr>
        <w:t>5</w:t>
      </w:r>
      <w:r w:rsidRPr="004E42F5">
        <w:rPr>
          <w:rFonts w:asciiTheme="minorHAnsi" w:eastAsiaTheme="minorEastAsia" w:hAnsiTheme="minorHAnsi" w:cstheme="minorHAnsi"/>
          <w:szCs w:val="24"/>
          <w:lang w:eastAsia="zh-CN"/>
        </w:rPr>
        <w:tab/>
        <w:t>that telecommunications/ICTs could help to mitigate the environmental impact of other sectors by</w:t>
      </w:r>
      <w:r w:rsidRPr="004E42F5">
        <w:rPr>
          <w:rFonts w:cstheme="minorHAnsi"/>
          <w:szCs w:val="24"/>
        </w:rPr>
        <w:t xml:space="preserve"> </w:t>
      </w:r>
      <w:r w:rsidRPr="004E42F5">
        <w:rPr>
          <w:rFonts w:asciiTheme="minorHAnsi" w:eastAsiaTheme="minorEastAsia" w:hAnsiTheme="minorHAnsi" w:cstheme="minorHAnsi"/>
          <w:szCs w:val="24"/>
        </w:rPr>
        <w:t>multiple ways, such as</w:t>
      </w:r>
      <w:r w:rsidRPr="004E42F5">
        <w:rPr>
          <w:rFonts w:asciiTheme="minorHAnsi" w:eastAsiaTheme="minorEastAsia" w:hAnsiTheme="minorHAnsi" w:cstheme="minorHAnsi"/>
          <w:szCs w:val="24"/>
          <w:lang w:eastAsia="zh-CN"/>
        </w:rPr>
        <w:t xml:space="preserve"> identifying data-driven actionable insights;</w:t>
      </w:r>
    </w:p>
    <w:p w14:paraId="5DCE1D9A"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6</w:t>
      </w:r>
      <w:r w:rsidRPr="004E42F5">
        <w:rPr>
          <w:rFonts w:asciiTheme="minorHAnsi" w:eastAsiaTheme="minorEastAsia" w:hAnsiTheme="minorHAnsi" w:cstheme="minorHAnsi"/>
          <w:szCs w:val="24"/>
          <w:lang w:eastAsia="zh-CN"/>
        </w:rPr>
        <w:tab/>
        <w:t>that transitioning to a more circular economy would optimize the economic and environmental impacts of telecommunications/ICTs, including supporting business opportunities and job creation;</w:t>
      </w:r>
    </w:p>
    <w:p w14:paraId="4752956E"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t xml:space="preserve">that </w:t>
      </w:r>
      <w:r w:rsidRPr="004E42F5">
        <w:rPr>
          <w:rFonts w:asciiTheme="minorHAnsi" w:eastAsiaTheme="minorEastAsia" w:hAnsiTheme="minorHAnsi" w:cstheme="minorHAnsi"/>
          <w:spacing w:val="-2"/>
          <w:szCs w:val="24"/>
          <w:lang w:eastAsia="zh-CN"/>
        </w:rPr>
        <w:t xml:space="preserve">sustainability, energy efficiency, </w:t>
      </w:r>
      <w:r w:rsidRPr="004E42F5">
        <w:rPr>
          <w:rFonts w:asciiTheme="minorHAnsi" w:eastAsiaTheme="minorEastAsia" w:hAnsiTheme="minorHAnsi" w:cstheme="minorHAnsi"/>
          <w:i/>
          <w:iCs/>
          <w:spacing w:val="-2"/>
          <w:szCs w:val="24"/>
          <w:lang w:eastAsia="zh-CN"/>
        </w:rPr>
        <w:t>inter alia</w:t>
      </w:r>
      <w:r w:rsidRPr="004E42F5">
        <w:rPr>
          <w:rFonts w:asciiTheme="minorHAnsi" w:eastAsiaTheme="minorEastAsia" w:hAnsiTheme="minorHAnsi" w:cstheme="minorHAnsi"/>
          <w:spacing w:val="-2"/>
          <w:szCs w:val="24"/>
          <w:lang w:eastAsia="zh-CN"/>
        </w:rPr>
        <w:t xml:space="preserve">, </w:t>
      </w:r>
      <w:r w:rsidRPr="004E42F5">
        <w:rPr>
          <w:rFonts w:asciiTheme="minorHAnsi" w:eastAsiaTheme="minorEastAsia" w:hAnsiTheme="minorHAnsi" w:cstheme="minorHAnsi"/>
          <w:spacing w:val="-2"/>
          <w:szCs w:val="24"/>
        </w:rPr>
        <w:t xml:space="preserve">voluntary infrastructure sharing and </w:t>
      </w:r>
      <w:r w:rsidRPr="004E42F5">
        <w:rPr>
          <w:rFonts w:asciiTheme="minorHAnsi" w:eastAsiaTheme="minorEastAsia" w:hAnsiTheme="minorHAnsi" w:cstheme="minorHAnsi"/>
          <w:spacing w:val="-2"/>
          <w:szCs w:val="24"/>
          <w:lang w:eastAsia="zh-CN"/>
        </w:rPr>
        <w:t>reducing e-waste</w:t>
      </w:r>
      <w:r w:rsidRPr="004E42F5">
        <w:rPr>
          <w:rFonts w:asciiTheme="minorHAnsi" w:eastAsiaTheme="minorEastAsia" w:hAnsiTheme="minorHAnsi" w:cstheme="minorHAnsi"/>
          <w:szCs w:val="24"/>
          <w:lang w:eastAsia="zh-CN"/>
        </w:rPr>
        <w:t xml:space="preserve"> </w:t>
      </w:r>
      <w:r w:rsidRPr="004E42F5">
        <w:rPr>
          <w:rFonts w:asciiTheme="minorHAnsi" w:eastAsiaTheme="minorEastAsia" w:hAnsiTheme="minorHAnsi" w:cstheme="minorHAnsi"/>
          <w:szCs w:val="24"/>
        </w:rPr>
        <w:t xml:space="preserve">should </w:t>
      </w:r>
      <w:r w:rsidRPr="004E42F5">
        <w:rPr>
          <w:rFonts w:asciiTheme="minorHAnsi" w:eastAsiaTheme="minorEastAsia" w:hAnsiTheme="minorHAnsi" w:cstheme="minorHAnsi"/>
          <w:szCs w:val="24"/>
          <w:lang w:eastAsia="zh-CN"/>
        </w:rPr>
        <w:t>be integral considerations in the development, deployment and use of telecommunications/ICTs,</w:t>
      </w:r>
    </w:p>
    <w:p w14:paraId="463B79CC"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invites Member States</w:t>
      </w:r>
    </w:p>
    <w:p w14:paraId="72BC62F8"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to utilise telecommunications/ICTs as an effective method for reducing GHG emissions across multiple economic sectors;</w:t>
      </w:r>
    </w:p>
    <w:p w14:paraId="402DB875"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to formulate appropriate strategies and policies at the regional, national, and local level that promote the circularity of telecommunication/ICT equipment at the public sector, consumer and industry level;</w:t>
      </w:r>
    </w:p>
    <w:p w14:paraId="350A3DCA"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promote the development of low-cost safe and sustainable-by-design solutions with reduced carbon footprint across their lifecycle;</w:t>
      </w:r>
    </w:p>
    <w:p w14:paraId="64F14DB1"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4</w:t>
      </w:r>
      <w:r w:rsidRPr="004E42F5">
        <w:rPr>
          <w:rFonts w:asciiTheme="minorHAnsi" w:eastAsiaTheme="minorEastAsia" w:hAnsiTheme="minorHAnsi" w:cstheme="minorHAnsi"/>
          <w:szCs w:val="24"/>
          <w:lang w:eastAsia="zh-CN"/>
        </w:rPr>
        <w:tab/>
        <w:t>to foster an enabling environment for investment into environmentally sustainable telecommunications/ICTs;</w:t>
      </w:r>
    </w:p>
    <w:p w14:paraId="183E5AF1"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5</w:t>
      </w:r>
      <w:r w:rsidRPr="004E42F5">
        <w:rPr>
          <w:rFonts w:asciiTheme="minorHAnsi" w:eastAsiaTheme="minorEastAsia" w:hAnsiTheme="minorHAnsi" w:cstheme="minorHAnsi"/>
          <w:szCs w:val="24"/>
          <w:lang w:eastAsia="zh-CN"/>
        </w:rPr>
        <w:tab/>
        <w:t>to invest in research and development into environmentally sustainable telecommunications/ICTs;</w:t>
      </w:r>
    </w:p>
    <w:p w14:paraId="2B3388A6"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6</w:t>
      </w:r>
      <w:r w:rsidRPr="004E42F5">
        <w:rPr>
          <w:rFonts w:asciiTheme="minorHAnsi" w:eastAsiaTheme="minorEastAsia" w:hAnsiTheme="minorHAnsi" w:cstheme="minorHAnsi"/>
          <w:szCs w:val="24"/>
          <w:lang w:eastAsia="zh-CN"/>
        </w:rPr>
        <w:tab/>
        <w:t>to consider using government procurement requirements to encourage deployment of sustainable telecommunications/ICTS among relevant organisations, if appropriate;</w:t>
      </w:r>
    </w:p>
    <w:p w14:paraId="730E0B83"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t xml:space="preserve">to encourage </w:t>
      </w:r>
      <w:r w:rsidRPr="004E42F5">
        <w:rPr>
          <w:rFonts w:asciiTheme="minorHAnsi" w:eastAsiaTheme="minorEastAsia" w:hAnsiTheme="minorHAnsi" w:cstheme="minorHAnsi"/>
          <w:szCs w:val="24"/>
        </w:rPr>
        <w:t>the evaluation of the full range of</w:t>
      </w:r>
      <w:r w:rsidRPr="004E42F5">
        <w:rPr>
          <w:rFonts w:asciiTheme="minorHAnsi" w:eastAsiaTheme="minorEastAsia" w:hAnsiTheme="minorHAnsi" w:cstheme="minorHAnsi"/>
          <w:color w:val="00B050"/>
          <w:szCs w:val="24"/>
          <w:lang w:eastAsia="zh-CN"/>
        </w:rPr>
        <w:t xml:space="preserve"> </w:t>
      </w:r>
      <w:r w:rsidRPr="004E42F5">
        <w:rPr>
          <w:rFonts w:asciiTheme="minorHAnsi" w:eastAsiaTheme="minorEastAsia" w:hAnsiTheme="minorHAnsi" w:cstheme="minorHAnsi"/>
          <w:szCs w:val="24"/>
          <w:lang w:eastAsia="zh-CN"/>
        </w:rPr>
        <w:t xml:space="preserve">environmental impacts </w:t>
      </w:r>
      <w:r w:rsidRPr="004E42F5">
        <w:rPr>
          <w:rFonts w:asciiTheme="minorHAnsi" w:eastAsiaTheme="minorEastAsia" w:hAnsiTheme="minorHAnsi" w:cstheme="minorHAnsi"/>
          <w:szCs w:val="24"/>
        </w:rPr>
        <w:t>of telecommunications/ICTs across their life cycle, from planning to disposal, to inform policy, innovation, and sustainable design practices;</w:t>
      </w:r>
    </w:p>
    <w:p w14:paraId="7CDC9E2B"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8</w:t>
      </w:r>
      <w:r w:rsidRPr="004E42F5">
        <w:rPr>
          <w:rFonts w:asciiTheme="minorHAnsi" w:eastAsiaTheme="minorEastAsia" w:hAnsiTheme="minorHAnsi" w:cstheme="minorHAnsi"/>
          <w:szCs w:val="24"/>
          <w:lang w:eastAsia="zh-CN"/>
        </w:rPr>
        <w:tab/>
        <w:t>to implement public awareness campaigns on e-waste disposal and recycling that increase understanding among consumers about the waste implications of their devices;</w:t>
      </w:r>
    </w:p>
    <w:p w14:paraId="36ACC1F2"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9</w:t>
      </w:r>
      <w:r w:rsidRPr="004E42F5">
        <w:rPr>
          <w:rFonts w:asciiTheme="minorHAnsi" w:eastAsiaTheme="minorEastAsia" w:hAnsiTheme="minorHAnsi" w:cstheme="minorHAnsi"/>
          <w:szCs w:val="24"/>
          <w:lang w:eastAsia="zh-CN"/>
        </w:rPr>
        <w:tab/>
        <w:t xml:space="preserve">to incentivize use of renewable energy and energy efficient devices with low GHG emissions, </w:t>
      </w:r>
      <w:proofErr w:type="gramStart"/>
      <w:r w:rsidRPr="004E42F5">
        <w:rPr>
          <w:rFonts w:asciiTheme="minorHAnsi" w:eastAsiaTheme="minorEastAsia" w:hAnsiTheme="minorHAnsi" w:cstheme="minorHAnsi"/>
          <w:szCs w:val="24"/>
          <w:lang w:eastAsia="zh-CN"/>
        </w:rPr>
        <w:t>taking into account</w:t>
      </w:r>
      <w:proofErr w:type="gramEnd"/>
      <w:r w:rsidRPr="004E42F5">
        <w:rPr>
          <w:rFonts w:asciiTheme="minorHAnsi" w:eastAsiaTheme="minorEastAsia" w:hAnsiTheme="minorHAnsi" w:cstheme="minorHAnsi"/>
          <w:szCs w:val="24"/>
          <w:lang w:eastAsia="zh-CN"/>
        </w:rPr>
        <w:t xml:space="preserve"> circumstances and capabilities of </w:t>
      </w:r>
      <w:bookmarkStart w:id="10" w:name="_Hlk211347167"/>
      <w:r w:rsidRPr="004E42F5">
        <w:rPr>
          <w:rFonts w:asciiTheme="minorHAnsi" w:eastAsiaTheme="minorEastAsia" w:hAnsiTheme="minorHAnsi" w:cstheme="minorHAnsi"/>
          <w:szCs w:val="24"/>
          <w:lang w:eastAsia="zh-CN"/>
        </w:rPr>
        <w:t xml:space="preserve">individual </w:t>
      </w:r>
      <w:bookmarkEnd w:id="10"/>
      <w:r w:rsidRPr="004E42F5">
        <w:rPr>
          <w:rFonts w:asciiTheme="minorHAnsi" w:eastAsiaTheme="minorEastAsia" w:hAnsiTheme="minorHAnsi" w:cstheme="minorHAnsi"/>
          <w:szCs w:val="24"/>
          <w:lang w:eastAsia="zh-CN"/>
        </w:rPr>
        <w:t>Member States;</w:t>
      </w:r>
    </w:p>
    <w:p w14:paraId="1C99312A"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10</w:t>
      </w:r>
      <w:r w:rsidRPr="004E42F5">
        <w:rPr>
          <w:rFonts w:asciiTheme="minorHAnsi" w:eastAsiaTheme="minorEastAsia" w:hAnsiTheme="minorHAnsi" w:cstheme="minorHAnsi"/>
          <w:szCs w:val="24"/>
          <w:lang w:eastAsia="zh-CN"/>
        </w:rPr>
        <w:tab/>
        <w:t>to strengthen frameworks for disposal of e-waste management by way of developing policies, regulations, frameworks and strategies,</w:t>
      </w:r>
    </w:p>
    <w:p w14:paraId="3BFFE057" w14:textId="77777777" w:rsidR="00870C27" w:rsidRPr="004E42F5" w:rsidRDefault="00870C27" w:rsidP="00870C27">
      <w:pPr>
        <w:pStyle w:val="Call"/>
        <w:jc w:val="both"/>
        <w:rPr>
          <w:rFonts w:asciiTheme="minorHAnsi" w:eastAsiaTheme="minorEastAsia" w:hAnsiTheme="minorHAnsi" w:cstheme="minorHAnsi"/>
          <w:szCs w:val="24"/>
        </w:rPr>
      </w:pPr>
      <w:r w:rsidRPr="004E42F5">
        <w:rPr>
          <w:rFonts w:asciiTheme="minorHAnsi" w:eastAsiaTheme="minorEastAsia" w:hAnsiTheme="minorHAnsi" w:cstheme="minorHAnsi"/>
          <w:szCs w:val="24"/>
        </w:rPr>
        <w:t>invites Member States, Sector Members and other stakeholders</w:t>
      </w:r>
    </w:p>
    <w:p w14:paraId="624E3967"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to take urgent and immediate steps to reduce the negative environmental impact and risks of telecommunications/ICTs and all relevant infrastructure;</w:t>
      </w:r>
    </w:p>
    <w:p w14:paraId="6DFD0F6A" w14:textId="77777777" w:rsidR="00870C27" w:rsidRPr="004E42F5" w:rsidRDefault="00870C27" w:rsidP="00870C27">
      <w:pPr>
        <w:widowControl w:val="0"/>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 xml:space="preserve">to strengthen their commitment to tackling e-waste, by planning for future recycling at the </w:t>
      </w:r>
      <w:r w:rsidRPr="004E42F5">
        <w:rPr>
          <w:rFonts w:asciiTheme="minorHAnsi" w:eastAsiaTheme="minorEastAsia" w:hAnsiTheme="minorHAnsi" w:cstheme="minorHAnsi"/>
          <w:szCs w:val="24"/>
          <w:lang w:eastAsia="zh-CN"/>
        </w:rPr>
        <w:lastRenderedPageBreak/>
        <w:t>design stage of future ICTs, to encourage the use and development of sustainable and robust telecommunication/ICT equipment as well as recyclable materials as part of the circular economy;</w:t>
      </w:r>
    </w:p>
    <w:p w14:paraId="20453E09"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promote sustainable consumption and production patterns, by participating in the circular economy of telecommunications/ICTs, by encouraging the repair, reuse, and resale of relevant devices, and by raising public awareness on e-waste disposal and recycling;</w:t>
      </w:r>
    </w:p>
    <w:p w14:paraId="1B69A1BC" w14:textId="77777777" w:rsidR="00870C27" w:rsidRPr="004E42F5" w:rsidRDefault="00870C27" w:rsidP="00870C27">
      <w:pPr>
        <w:jc w:val="both"/>
        <w:rPr>
          <w:rFonts w:asciiTheme="minorHAnsi" w:hAnsiTheme="minorHAnsi" w:cstheme="minorHAnsi"/>
          <w:szCs w:val="24"/>
        </w:rPr>
      </w:pPr>
      <w:r w:rsidRPr="004E42F5">
        <w:rPr>
          <w:rFonts w:asciiTheme="minorHAnsi" w:hAnsiTheme="minorHAnsi" w:cstheme="minorHAnsi"/>
          <w:szCs w:val="24"/>
        </w:rPr>
        <w:t>4</w:t>
      </w:r>
      <w:r w:rsidRPr="004E42F5">
        <w:rPr>
          <w:rFonts w:asciiTheme="minorHAnsi" w:hAnsiTheme="minorHAnsi" w:cstheme="minorHAnsi"/>
          <w:szCs w:val="24"/>
        </w:rPr>
        <w:tab/>
        <w:t>to develop policies that promote energy-efficient technologies, which can contribute to reducing the sector's carbon footprint;</w:t>
      </w:r>
    </w:p>
    <w:p w14:paraId="3E6E6132" w14:textId="77777777" w:rsidR="00870C27" w:rsidRPr="004E42F5" w:rsidRDefault="00870C27" w:rsidP="00870C27">
      <w:pPr>
        <w:jc w:val="both"/>
        <w:rPr>
          <w:rFonts w:asciiTheme="minorHAnsi" w:hAnsiTheme="minorHAnsi" w:cstheme="minorHAnsi"/>
          <w:szCs w:val="24"/>
        </w:rPr>
      </w:pPr>
      <w:r w:rsidRPr="004E42F5">
        <w:rPr>
          <w:rFonts w:asciiTheme="minorHAnsi" w:hAnsiTheme="minorHAnsi" w:cstheme="minorHAnsi"/>
          <w:szCs w:val="24"/>
        </w:rPr>
        <w:t>5</w:t>
      </w:r>
      <w:r w:rsidRPr="004E42F5">
        <w:rPr>
          <w:rFonts w:asciiTheme="minorHAnsi" w:hAnsiTheme="minorHAnsi" w:cstheme="minorHAnsi"/>
          <w:szCs w:val="24"/>
        </w:rPr>
        <w:tab/>
        <w:t>to adopt e-waste management policies, including recycling programs and responsible disposal of old electronics;</w:t>
      </w:r>
    </w:p>
    <w:p w14:paraId="2B9381F9" w14:textId="77777777" w:rsidR="00870C27" w:rsidRPr="004E42F5" w:rsidRDefault="00870C27" w:rsidP="00870C27">
      <w:pPr>
        <w:jc w:val="both"/>
        <w:rPr>
          <w:rFonts w:asciiTheme="minorHAnsi" w:hAnsiTheme="minorHAnsi" w:cstheme="minorHAnsi"/>
          <w:szCs w:val="24"/>
        </w:rPr>
      </w:pPr>
      <w:r w:rsidRPr="004E42F5">
        <w:rPr>
          <w:rFonts w:asciiTheme="minorHAnsi" w:hAnsiTheme="minorHAnsi" w:cstheme="minorHAnsi"/>
          <w:szCs w:val="24"/>
        </w:rPr>
        <w:t>6</w:t>
      </w:r>
      <w:r w:rsidRPr="004E42F5">
        <w:rPr>
          <w:rFonts w:asciiTheme="minorHAnsi" w:hAnsiTheme="minorHAnsi" w:cstheme="minorHAnsi"/>
          <w:szCs w:val="24"/>
        </w:rPr>
        <w:tab/>
        <w:t>to harness the power of digital transformation to advance inclusive and sustainable development, while mitigating its negative environmental impacts by shifting towards a circular digital economy, characterized by responsible consumption and production, renewable energy use, and comprehensive e-waste management;</w:t>
      </w:r>
    </w:p>
    <w:p w14:paraId="54EDF9E2"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7</w:t>
      </w:r>
      <w:r w:rsidRPr="004E42F5">
        <w:rPr>
          <w:rFonts w:asciiTheme="minorHAnsi" w:eastAsiaTheme="minorEastAsia" w:hAnsiTheme="minorHAnsi" w:cstheme="minorHAnsi"/>
          <w:szCs w:val="24"/>
          <w:lang w:eastAsia="zh-CN"/>
        </w:rPr>
        <w:tab/>
      </w:r>
      <w:r w:rsidRPr="004E42F5">
        <w:rPr>
          <w:rFonts w:asciiTheme="minorHAnsi" w:hAnsiTheme="minorHAnsi" w:cstheme="minorHAnsi"/>
          <w:szCs w:val="24"/>
        </w:rPr>
        <w:t>to incentivize the reduction of carbon emissions to encourage sustainable practices in digital industries;</w:t>
      </w:r>
    </w:p>
    <w:p w14:paraId="4898376E"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8</w:t>
      </w:r>
      <w:r w:rsidRPr="004E42F5">
        <w:rPr>
          <w:rFonts w:asciiTheme="minorHAnsi" w:eastAsiaTheme="minorEastAsia" w:hAnsiTheme="minorHAnsi" w:cstheme="minorHAnsi"/>
          <w:szCs w:val="24"/>
          <w:lang w:eastAsia="zh-CN"/>
        </w:rPr>
        <w:tab/>
        <w:t>to utilize telecommunications/ICTs to combat climate change and promote circularity in other sectors, such as energy, manufacturing industries, transportation, buildings and agriculture to achieve the sustainable development goals;</w:t>
      </w:r>
    </w:p>
    <w:p w14:paraId="1293591F"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9</w:t>
      </w:r>
      <w:r w:rsidRPr="004E42F5">
        <w:rPr>
          <w:rFonts w:asciiTheme="minorHAnsi" w:eastAsiaTheme="minorEastAsia" w:hAnsiTheme="minorHAnsi" w:cstheme="minorHAnsi"/>
          <w:szCs w:val="24"/>
          <w:lang w:eastAsia="zh-CN"/>
        </w:rPr>
        <w:tab/>
        <w:t>to recognise the importance of international collaboration for a green digital transformation, including voluntary and mutually agreed technology transfer and development, across all actors of society, sectors and regions, in contributing to progress towards the goals of the UNFCCC conferences and the Paris Agreement;</w:t>
      </w:r>
    </w:p>
    <w:p w14:paraId="39CEABCA"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10</w:t>
      </w:r>
      <w:r w:rsidRPr="004E42F5">
        <w:rPr>
          <w:rFonts w:asciiTheme="minorHAnsi" w:eastAsiaTheme="minorEastAsia" w:hAnsiTheme="minorHAnsi" w:cstheme="minorHAnsi"/>
          <w:szCs w:val="24"/>
          <w:lang w:eastAsia="zh-CN"/>
        </w:rPr>
        <w:tab/>
        <w:t>to consider adopting relevant ITU-T recommendations on e-waste and the environment;</w:t>
      </w:r>
    </w:p>
    <w:p w14:paraId="48A140B2"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11</w:t>
      </w:r>
      <w:r w:rsidRPr="004E42F5">
        <w:rPr>
          <w:rFonts w:asciiTheme="minorHAnsi" w:eastAsiaTheme="minorEastAsia" w:hAnsiTheme="minorHAnsi" w:cstheme="minorHAnsi"/>
          <w:szCs w:val="24"/>
          <w:lang w:eastAsia="zh-CN"/>
        </w:rPr>
        <w:tab/>
        <w:t>to participate actively in ITU’s activities on sustainable development and the intersectoral related efforts;</w:t>
      </w:r>
    </w:p>
    <w:p w14:paraId="6D3BBE1C" w14:textId="60ADD2B4" w:rsidR="00870C27" w:rsidRPr="004E42F5" w:rsidRDefault="00870C27" w:rsidP="00870C27">
      <w:pPr>
        <w:jc w:val="both"/>
        <w:rPr>
          <w:rFonts w:asciiTheme="minorHAnsi" w:eastAsiaTheme="minorEastAsia" w:hAnsiTheme="minorHAnsi" w:cstheme="minorHAnsi"/>
          <w:spacing w:val="-2"/>
          <w:szCs w:val="24"/>
          <w:lang w:eastAsia="zh-CN"/>
        </w:rPr>
      </w:pPr>
      <w:r w:rsidRPr="004E42F5">
        <w:rPr>
          <w:rFonts w:asciiTheme="minorHAnsi" w:eastAsiaTheme="minorEastAsia" w:hAnsiTheme="minorHAnsi" w:cstheme="minorHAnsi"/>
          <w:spacing w:val="-2"/>
          <w:szCs w:val="24"/>
          <w:lang w:eastAsia="zh-CN"/>
        </w:rPr>
        <w:t>12</w:t>
      </w:r>
      <w:r w:rsidRPr="004E42F5">
        <w:rPr>
          <w:rFonts w:asciiTheme="minorHAnsi" w:eastAsiaTheme="minorEastAsia" w:hAnsiTheme="minorHAnsi" w:cstheme="minorHAnsi"/>
          <w:spacing w:val="-2"/>
          <w:szCs w:val="24"/>
          <w:lang w:eastAsia="zh-CN"/>
        </w:rPr>
        <w:tab/>
        <w:t xml:space="preserve">to promote infrastructure and resource sharing (and cross-sector infrastructure sharing where feasible), </w:t>
      </w:r>
      <w:proofErr w:type="gramStart"/>
      <w:r w:rsidRPr="004E42F5">
        <w:rPr>
          <w:rFonts w:asciiTheme="minorHAnsi" w:eastAsiaTheme="minorEastAsia" w:hAnsiTheme="minorHAnsi" w:cstheme="minorHAnsi"/>
          <w:spacing w:val="-2"/>
          <w:szCs w:val="24"/>
          <w:lang w:eastAsia="zh-CN"/>
        </w:rPr>
        <w:t>in order to</w:t>
      </w:r>
      <w:proofErr w:type="gramEnd"/>
      <w:r w:rsidRPr="004E42F5">
        <w:rPr>
          <w:rFonts w:asciiTheme="minorHAnsi" w:eastAsiaTheme="minorEastAsia" w:hAnsiTheme="minorHAnsi" w:cstheme="minorHAnsi"/>
          <w:spacing w:val="-2"/>
          <w:szCs w:val="24"/>
          <w:lang w:eastAsia="zh-CN"/>
        </w:rPr>
        <w:t xml:space="preserve"> reduce redundant infrastructure, minimize resource consumption, lower energy use, and leverage assets across sectors such as energy, transport and telecommunications/ICTs;</w:t>
      </w:r>
    </w:p>
    <w:p w14:paraId="27F92305"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13</w:t>
      </w:r>
      <w:r w:rsidRPr="004E42F5">
        <w:rPr>
          <w:rFonts w:asciiTheme="minorHAnsi" w:eastAsiaTheme="minorEastAsia" w:hAnsiTheme="minorHAnsi" w:cstheme="minorHAnsi"/>
          <w:szCs w:val="24"/>
          <w:lang w:eastAsia="zh-CN"/>
        </w:rPr>
        <w:tab/>
        <w:t>to integrate telecommunications/ICTs into environmental protection strategies to create an overall ecosystem for moving towards sustainable future,</w:t>
      </w:r>
    </w:p>
    <w:p w14:paraId="1BC1518F" w14:textId="77777777" w:rsidR="00870C27" w:rsidRPr="004E42F5" w:rsidRDefault="00870C27" w:rsidP="00870C27">
      <w:pPr>
        <w:pStyle w:val="Call"/>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invites the Secretary-General</w:t>
      </w:r>
    </w:p>
    <w:p w14:paraId="62628D26"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1</w:t>
      </w:r>
      <w:r w:rsidRPr="004E42F5">
        <w:rPr>
          <w:rFonts w:asciiTheme="minorHAnsi" w:eastAsiaTheme="minorEastAsia" w:hAnsiTheme="minorHAnsi" w:cstheme="minorHAnsi"/>
          <w:szCs w:val="24"/>
          <w:lang w:eastAsia="zh-CN"/>
        </w:rPr>
        <w:tab/>
        <w:t xml:space="preserve">to work on raising the </w:t>
      </w:r>
      <w:r w:rsidRPr="004E42F5">
        <w:rPr>
          <w:rFonts w:asciiTheme="minorHAnsi" w:eastAsiaTheme="minorEastAsia" w:hAnsiTheme="minorHAnsi" w:cstheme="minorHAnsi"/>
          <w:szCs w:val="24"/>
        </w:rPr>
        <w:t>capability</w:t>
      </w:r>
      <w:r w:rsidRPr="004E42F5">
        <w:rPr>
          <w:rFonts w:asciiTheme="minorHAnsi" w:eastAsiaTheme="minorEastAsia" w:hAnsiTheme="minorHAnsi" w:cstheme="minorHAnsi"/>
          <w:szCs w:val="24"/>
          <w:lang w:eastAsia="zh-CN"/>
        </w:rPr>
        <w:t xml:space="preserve"> of all related stakeholders, especially those most affected by climate change, and having regard to their development plans, on ICT environmental protection issues and for the well-being of the population;</w:t>
      </w:r>
    </w:p>
    <w:p w14:paraId="79CDDF77"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2</w:t>
      </w:r>
      <w:r w:rsidRPr="004E42F5">
        <w:rPr>
          <w:rFonts w:asciiTheme="minorHAnsi" w:eastAsiaTheme="minorEastAsia" w:hAnsiTheme="minorHAnsi" w:cstheme="minorHAnsi"/>
          <w:szCs w:val="24"/>
          <w:lang w:eastAsia="zh-CN"/>
        </w:rPr>
        <w:tab/>
        <w:t>to promote international partnerships for green digital transformation that empower countries, particularly developing countries, to participate in the digital economy;</w:t>
      </w:r>
    </w:p>
    <w:p w14:paraId="6A02D150" w14:textId="77777777" w:rsidR="00870C27" w:rsidRPr="004E42F5" w:rsidRDefault="00870C27" w:rsidP="00870C27">
      <w:pPr>
        <w:jc w:val="both"/>
        <w:rPr>
          <w:rFonts w:asciiTheme="minorHAnsi" w:eastAsiaTheme="minorEastAsia" w:hAnsiTheme="minorHAnsi" w:cstheme="minorHAnsi"/>
          <w:szCs w:val="24"/>
          <w:lang w:eastAsia="zh-CN"/>
        </w:rPr>
      </w:pPr>
      <w:r w:rsidRPr="004E42F5">
        <w:rPr>
          <w:rFonts w:asciiTheme="minorHAnsi" w:eastAsiaTheme="minorEastAsia" w:hAnsiTheme="minorHAnsi" w:cstheme="minorHAnsi"/>
          <w:szCs w:val="24"/>
          <w:lang w:eastAsia="zh-CN"/>
        </w:rPr>
        <w:t>3</w:t>
      </w:r>
      <w:r w:rsidRPr="004E42F5">
        <w:rPr>
          <w:rFonts w:asciiTheme="minorHAnsi" w:eastAsiaTheme="minorEastAsia" w:hAnsiTheme="minorHAnsi" w:cstheme="minorHAnsi"/>
          <w:szCs w:val="24"/>
          <w:lang w:eastAsia="zh-CN"/>
        </w:rPr>
        <w:tab/>
        <w:t>to further strengthen coordination between the three sectors on their work addressing green digital transformation;</w:t>
      </w:r>
    </w:p>
    <w:p w14:paraId="792F84EA" w14:textId="7C1CCAF9" w:rsidR="002A59D2" w:rsidRPr="006975BE" w:rsidRDefault="00870C27" w:rsidP="00EB117C">
      <w:pPr>
        <w:jc w:val="both"/>
        <w:rPr>
          <w:rFonts w:asciiTheme="minorHAnsi" w:hAnsiTheme="minorHAnsi" w:cstheme="minorHAnsi"/>
          <w:sz w:val="22"/>
          <w:szCs w:val="22"/>
        </w:rPr>
      </w:pPr>
      <w:r w:rsidRPr="004E42F5">
        <w:rPr>
          <w:rFonts w:asciiTheme="minorHAnsi" w:hAnsiTheme="minorHAnsi" w:cstheme="minorHAnsi"/>
          <w:szCs w:val="24"/>
        </w:rPr>
        <w:lastRenderedPageBreak/>
        <w:t>4</w:t>
      </w:r>
      <w:r w:rsidRPr="004E42F5">
        <w:rPr>
          <w:rFonts w:asciiTheme="minorHAnsi" w:hAnsiTheme="minorHAnsi" w:cstheme="minorHAnsi"/>
          <w:szCs w:val="24"/>
        </w:rPr>
        <w:tab/>
      </w:r>
      <w:r w:rsidRPr="004E42F5">
        <w:rPr>
          <w:rFonts w:asciiTheme="minorHAnsi" w:eastAsiaTheme="minorEastAsia" w:hAnsiTheme="minorHAnsi" w:cstheme="minorHAnsi"/>
          <w:szCs w:val="24"/>
          <w:lang w:eastAsia="zh-CN"/>
        </w:rPr>
        <w:t>to facilitate collaboration among Member States, regional entities and other key stakeholders, to share knowledge, and best practices to support institutional capacity building of member states to advance green digital transformation initiatives.</w:t>
      </w:r>
      <w:r w:rsidR="00C64ED7" w:rsidRPr="006975BE">
        <w:rPr>
          <w:rFonts w:asciiTheme="minorHAnsi" w:hAnsiTheme="minorHAnsi" w:cstheme="minorHAnsi"/>
          <w:sz w:val="22"/>
          <w:szCs w:val="22"/>
        </w:rPr>
        <w:br w:type="page"/>
      </w:r>
    </w:p>
    <w:p w14:paraId="5977C424" w14:textId="7B04033B" w:rsidR="00C64ED7" w:rsidRPr="006975BE" w:rsidRDefault="00C64ED7" w:rsidP="00EC604D">
      <w:pPr>
        <w:pStyle w:val="OpNo"/>
      </w:pPr>
      <w:r w:rsidRPr="006975BE">
        <w:lastRenderedPageBreak/>
        <w:t>DRAFT OPINION 3</w:t>
      </w:r>
    </w:p>
    <w:p w14:paraId="62AC6F18" w14:textId="3D4D22E5" w:rsidR="00C64ED7" w:rsidRPr="006975BE" w:rsidRDefault="00C64ED7" w:rsidP="00EC604D">
      <w:pPr>
        <w:pStyle w:val="Optitle0"/>
      </w:pPr>
      <w:r w:rsidRPr="006975BE">
        <w:t>Resilience of telecommunication</w:t>
      </w:r>
      <w:r w:rsidR="00034AAB" w:rsidRPr="006975BE">
        <w:t>s</w:t>
      </w:r>
      <w:r w:rsidRPr="006975BE">
        <w:t>/ICTs</w:t>
      </w:r>
    </w:p>
    <w:p w14:paraId="6F2EE00E" w14:textId="77777777" w:rsidR="00D5316E" w:rsidRPr="00A93789" w:rsidRDefault="00D5316E" w:rsidP="00D5316E">
      <w:pPr>
        <w:pStyle w:val="Normalaftertitle"/>
        <w:jc w:val="both"/>
        <w:rPr>
          <w:rFonts w:asciiTheme="minorHAnsi" w:hAnsiTheme="minorHAnsi" w:cstheme="minorHAnsi"/>
          <w:szCs w:val="24"/>
        </w:rPr>
      </w:pPr>
      <w:r w:rsidRPr="00A93789">
        <w:rPr>
          <w:rFonts w:asciiTheme="minorHAnsi" w:eastAsia="SimSun" w:hAnsiTheme="minorHAnsi" w:cstheme="minorHAnsi"/>
          <w:szCs w:val="24"/>
        </w:rPr>
        <w:t>The seventh World Telecommunication/ICT Policy Forum (Nassau, 2026),</w:t>
      </w:r>
    </w:p>
    <w:p w14:paraId="74565C23" w14:textId="77777777" w:rsidR="00D5316E" w:rsidRPr="00A93789" w:rsidRDefault="00D5316E" w:rsidP="00D5316E">
      <w:pPr>
        <w:pStyle w:val="Call"/>
        <w:jc w:val="both"/>
        <w:rPr>
          <w:rFonts w:asciiTheme="minorHAnsi" w:hAnsiTheme="minorHAnsi" w:cstheme="minorHAnsi"/>
          <w:i w:val="0"/>
          <w:iCs/>
          <w:szCs w:val="24"/>
        </w:rPr>
      </w:pPr>
      <w:r w:rsidRPr="00A93789">
        <w:rPr>
          <w:rFonts w:asciiTheme="minorHAnsi" w:eastAsia="SimSun" w:hAnsiTheme="minorHAnsi" w:cstheme="minorHAnsi"/>
          <w:szCs w:val="24"/>
        </w:rPr>
        <w:t>recalling</w:t>
      </w:r>
    </w:p>
    <w:p w14:paraId="3019B003" w14:textId="50E3DE3F"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a)</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79/1 of the United Nations General Assembly (UNGA), on the Pact of the Future; </w:t>
      </w:r>
    </w:p>
    <w:p w14:paraId="64824252" w14:textId="4D8ED0F2"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b)</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70/1 of UNGA, on transforming our World: the 2030 Agenda for Sustainable Development, in particular, Sustainable Development Goals 12 (ensure sustainable consumption and production patterns) and 13 (take urgent action to combat climate change and its impacts); </w:t>
      </w:r>
    </w:p>
    <w:p w14:paraId="74373ED2" w14:textId="7AF2A68F"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c)</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Resolution 80/173 of UNGA, on the outcome document of the high-level meeting on the overall review of the implementation of the outcomes of the World Summit on the Information Society (WSIS+20);</w:t>
      </w:r>
    </w:p>
    <w:p w14:paraId="0671E1DF" w14:textId="49ECA333"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d)</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130 (Rev. Bucharest, 2022) of the Plenipotentiary Conference, on strengthening the role of ITU in building confidence and security in the use of information and communications technologies (ICTs); </w:t>
      </w:r>
    </w:p>
    <w:p w14:paraId="59F2EAEC" w14:textId="163DC10F"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e)</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136 (Rev. Bucharest, 2022) of the Plenipotentiary Conference, on the use of telecommunications/ICTs for humanitarian assistance and for monitoring and management in emergency and disaster situations, including health-related emergencies, for early warning, prevention, mitigation and relief; </w:t>
      </w:r>
    </w:p>
    <w:p w14:paraId="572B4171" w14:textId="3538E09F"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f)</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139 (Rev. Bucharest, 2022) of the Plenipotentiary Conference, on the use of telecommunications/ICTs to bridge the digital divide and build an inclusive information society; </w:t>
      </w:r>
    </w:p>
    <w:p w14:paraId="317A607F"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g)</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182 (Rev. Bucharest, 2022) of the Plenipotentiary Conference, on the role of telecommunications/ICTs in regard to climate change and the protection of the environment; </w:t>
      </w:r>
    </w:p>
    <w:p w14:paraId="3ED4B6D0" w14:textId="620E1611"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h)</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Resolution 200 (Rev. Bucharest, 2022) of the Plenipotentiary Conference, on the Connect 2030 Agenda for global telecommunication/ICT, including broadband, for sustainable development;</w:t>
      </w:r>
    </w:p>
    <w:p w14:paraId="017618C4" w14:textId="07E2AA70"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i)</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 xml:space="preserve">Resolution 11 (Rev. Baku, 2025) of the World Telecommunication Development Conference (WTDC), on telecommunication/ICT services in rural, isolated, unserved and underserved areas; </w:t>
      </w:r>
    </w:p>
    <w:p w14:paraId="2AA0CA75"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j)</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Resolution 34 (Rev. Baku, 2025) of WTDC, on the role of telecommunication/ICTs in disaster preparedness, early warning, rescue, mitigation, relief and response;</w:t>
      </w:r>
    </w:p>
    <w:p w14:paraId="7583A745"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k)</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Resolution 37 (Rev. Baku, 2025) of WTDC, on bridging the digital divide;</w:t>
      </w:r>
    </w:p>
    <w:p w14:paraId="56B4F352"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val="en-US" w:eastAsia="zh-CN"/>
        </w:rPr>
      </w:pPr>
      <w:r w:rsidRPr="00A93789">
        <w:rPr>
          <w:rFonts w:asciiTheme="minorHAnsi" w:eastAsiaTheme="minorEastAsia" w:hAnsiTheme="minorHAnsi" w:cstheme="minorHAnsi"/>
          <w:i/>
          <w:noProof/>
          <w:szCs w:val="24"/>
          <w:lang w:val="en-US" w:eastAsia="zh-CN"/>
        </w:rPr>
        <w:t>l)</w:t>
      </w:r>
      <w:r w:rsidRPr="00A93789">
        <w:rPr>
          <w:rFonts w:asciiTheme="minorHAnsi" w:eastAsiaTheme="minorEastAsia" w:hAnsiTheme="minorHAnsi" w:cstheme="minorHAnsi"/>
          <w:i/>
          <w:noProof/>
          <w:szCs w:val="24"/>
          <w:lang w:val="en-US" w:eastAsia="zh-CN"/>
        </w:rPr>
        <w:tab/>
      </w:r>
      <w:r w:rsidRPr="00A93789">
        <w:rPr>
          <w:rFonts w:asciiTheme="minorHAnsi" w:eastAsiaTheme="minorEastAsia" w:hAnsiTheme="minorHAnsi" w:cstheme="minorHAnsi"/>
          <w:noProof/>
          <w:szCs w:val="24"/>
          <w:lang w:val="en-US" w:eastAsia="zh-CN"/>
        </w:rPr>
        <w:t>Resolution 45 (Rev. Baku, 2025) of WTDC, on mechanisms for enhancing cooperation on cybersecurity, including countering and combating spam,</w:t>
      </w:r>
    </w:p>
    <w:p w14:paraId="76E76C93" w14:textId="77777777" w:rsidR="00D5316E" w:rsidRPr="00A93789" w:rsidRDefault="00D5316E" w:rsidP="00D5316E">
      <w:pPr>
        <w:pStyle w:val="Call"/>
        <w:jc w:val="both"/>
        <w:rPr>
          <w:rFonts w:asciiTheme="minorHAnsi" w:hAnsiTheme="minorHAnsi" w:cstheme="minorHAnsi"/>
          <w:i w:val="0"/>
          <w:iCs/>
          <w:szCs w:val="24"/>
        </w:rPr>
      </w:pPr>
      <w:r w:rsidRPr="00A93789">
        <w:rPr>
          <w:rFonts w:asciiTheme="minorHAnsi" w:eastAsia="SimSun" w:hAnsiTheme="minorHAnsi" w:cstheme="minorHAnsi"/>
          <w:szCs w:val="24"/>
        </w:rPr>
        <w:t>noting</w:t>
      </w:r>
    </w:p>
    <w:p w14:paraId="273D30CD"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bCs/>
          <w:szCs w:val="24"/>
        </w:rPr>
      </w:pPr>
      <w:r w:rsidRPr="00A93789">
        <w:rPr>
          <w:rFonts w:asciiTheme="minorHAnsi" w:hAnsiTheme="minorHAnsi" w:cstheme="minorHAnsi"/>
          <w:szCs w:val="24"/>
        </w:rPr>
        <w:t xml:space="preserve">resilient telecommunications/ICTs </w:t>
      </w:r>
      <w:proofErr w:type="gramStart"/>
      <w:r w:rsidRPr="00A93789">
        <w:rPr>
          <w:rFonts w:asciiTheme="minorHAnsi" w:hAnsiTheme="minorHAnsi" w:cstheme="minorHAnsi"/>
          <w:szCs w:val="24"/>
        </w:rPr>
        <w:t>are capable of predicting</w:t>
      </w:r>
      <w:proofErr w:type="gramEnd"/>
      <w:r w:rsidRPr="00A93789">
        <w:rPr>
          <w:rFonts w:asciiTheme="minorHAnsi" w:hAnsiTheme="minorHAnsi" w:cstheme="minorHAnsi"/>
          <w:szCs w:val="24"/>
        </w:rPr>
        <w:t xml:space="preserve">, responding to, and withstanding a variety of emergencies, including, but not limited to, </w:t>
      </w:r>
      <w:r w:rsidRPr="00A93789">
        <w:rPr>
          <w:rFonts w:asciiTheme="minorHAnsi" w:hAnsiTheme="minorHAnsi" w:cstheme="minorHAnsi"/>
          <w:bCs/>
          <w:szCs w:val="24"/>
        </w:rPr>
        <w:t>climate-related ones, cyber incidents, natural hazards or disasters,</w:t>
      </w:r>
    </w:p>
    <w:p w14:paraId="7185E370" w14:textId="77777777" w:rsidR="00D5316E" w:rsidRPr="00A93789" w:rsidRDefault="00D5316E" w:rsidP="00D5316E">
      <w:pPr>
        <w:pStyle w:val="Call"/>
        <w:jc w:val="both"/>
        <w:rPr>
          <w:rFonts w:asciiTheme="minorHAnsi" w:hAnsiTheme="minorHAnsi" w:cstheme="minorHAnsi"/>
          <w:i w:val="0"/>
          <w:iCs/>
          <w:szCs w:val="24"/>
        </w:rPr>
      </w:pPr>
      <w:proofErr w:type="gramStart"/>
      <w:r w:rsidRPr="00A93789">
        <w:rPr>
          <w:rFonts w:asciiTheme="minorHAnsi" w:eastAsia="SimSun" w:hAnsiTheme="minorHAnsi" w:cstheme="minorHAnsi"/>
          <w:szCs w:val="24"/>
        </w:rPr>
        <w:lastRenderedPageBreak/>
        <w:t>taking into account</w:t>
      </w:r>
      <w:proofErr w:type="gramEnd"/>
    </w:p>
    <w:p w14:paraId="38733E04"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a)</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 xml:space="preserve">that building resilient telecommunications/ICTs capable of withstanding natural disasters or </w:t>
      </w:r>
      <w:r w:rsidRPr="00A93789">
        <w:rPr>
          <w:rFonts w:asciiTheme="minorHAnsi" w:eastAsiaTheme="minorEastAsia" w:hAnsiTheme="minorHAnsi" w:cstheme="minorHAnsi"/>
          <w:noProof/>
          <w:szCs w:val="24"/>
          <w:lang w:val="en-US" w:eastAsia="zh-CN"/>
        </w:rPr>
        <w:t>hazards</w:t>
      </w:r>
      <w:r w:rsidRPr="00A93789">
        <w:rPr>
          <w:rFonts w:asciiTheme="minorHAnsi" w:eastAsiaTheme="minorEastAsia" w:hAnsiTheme="minorHAnsi" w:cstheme="minorHAnsi"/>
          <w:szCs w:val="24"/>
          <w:lang w:eastAsia="zh-CN"/>
        </w:rPr>
        <w:t xml:space="preserve">, different cyberthreats and non-malicious technical outages is vital at a time when accessing and delivering essential services and information depends on the Internet; </w:t>
      </w:r>
    </w:p>
    <w:p w14:paraId="381F02E2"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b)</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 xml:space="preserve">that resilience initiatives are increasingly important because climate change is contributing to a greater number of disasters which affect telecommunications/ICTs; </w:t>
      </w:r>
    </w:p>
    <w:p w14:paraId="18BE735E"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c)</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 xml:space="preserve">the importance of ensuring resilient telecommunications/ICTs </w:t>
      </w:r>
      <w:proofErr w:type="gramStart"/>
      <w:r w:rsidRPr="00A93789">
        <w:rPr>
          <w:rFonts w:asciiTheme="minorHAnsi" w:eastAsiaTheme="minorEastAsia" w:hAnsiTheme="minorHAnsi" w:cstheme="minorHAnsi"/>
          <w:szCs w:val="24"/>
          <w:lang w:eastAsia="zh-CN"/>
        </w:rPr>
        <w:t>are</w:t>
      </w:r>
      <w:proofErr w:type="gramEnd"/>
      <w:r w:rsidRPr="00A93789">
        <w:rPr>
          <w:rFonts w:asciiTheme="minorHAnsi" w:eastAsiaTheme="minorEastAsia" w:hAnsiTheme="minorHAnsi" w:cstheme="minorHAnsi"/>
          <w:szCs w:val="24"/>
          <w:lang w:eastAsia="zh-CN"/>
        </w:rPr>
        <w:t xml:space="preserve"> accessible to all</w:t>
      </w:r>
      <w:proofErr w:type="gramStart"/>
      <w:r w:rsidRPr="00A93789">
        <w:rPr>
          <w:rFonts w:asciiTheme="minorHAnsi" w:eastAsiaTheme="minorEastAsia" w:hAnsiTheme="minorHAnsi" w:cstheme="minorHAnsi"/>
          <w:szCs w:val="24"/>
          <w:lang w:eastAsia="zh-CN"/>
        </w:rPr>
        <w:t>, in particular, unserved</w:t>
      </w:r>
      <w:proofErr w:type="gramEnd"/>
      <w:r w:rsidRPr="00A93789">
        <w:rPr>
          <w:rFonts w:asciiTheme="minorHAnsi" w:eastAsiaTheme="minorEastAsia" w:hAnsiTheme="minorHAnsi" w:cstheme="minorHAnsi"/>
          <w:szCs w:val="24"/>
          <w:lang w:eastAsia="zh-CN"/>
        </w:rPr>
        <w:t xml:space="preserve"> and underserved groups, as crises can exacerbate pre-existing inequalities and digital divides; </w:t>
      </w:r>
    </w:p>
    <w:p w14:paraId="5D5C99C4"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d)</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the multiple and interacting challenges of geographical digital divides when designing and deploying resilient telecommunications/ICTs in least developed countries (</w:t>
      </w:r>
      <w:proofErr w:type="spellStart"/>
      <w:r w:rsidRPr="00A93789">
        <w:rPr>
          <w:rFonts w:asciiTheme="minorHAnsi" w:eastAsiaTheme="minorEastAsia" w:hAnsiTheme="minorHAnsi" w:cstheme="minorHAnsi"/>
          <w:szCs w:val="24"/>
          <w:lang w:eastAsia="zh-CN"/>
        </w:rPr>
        <w:t>LDCs</w:t>
      </w:r>
      <w:proofErr w:type="spellEnd"/>
      <w:r w:rsidRPr="00A93789">
        <w:rPr>
          <w:rFonts w:asciiTheme="minorHAnsi" w:eastAsiaTheme="minorEastAsia" w:hAnsiTheme="minorHAnsi" w:cstheme="minorHAnsi"/>
          <w:szCs w:val="24"/>
          <w:lang w:eastAsia="zh-CN"/>
        </w:rPr>
        <w:t>), landlocked developing countries (</w:t>
      </w:r>
      <w:proofErr w:type="spellStart"/>
      <w:r w:rsidRPr="00A93789">
        <w:rPr>
          <w:rFonts w:asciiTheme="minorHAnsi" w:eastAsiaTheme="minorEastAsia" w:hAnsiTheme="minorHAnsi" w:cstheme="minorHAnsi"/>
          <w:szCs w:val="24"/>
          <w:lang w:eastAsia="zh-CN"/>
        </w:rPr>
        <w:t>LLDCs</w:t>
      </w:r>
      <w:proofErr w:type="spellEnd"/>
      <w:r w:rsidRPr="00A93789">
        <w:rPr>
          <w:rFonts w:asciiTheme="minorHAnsi" w:eastAsiaTheme="minorEastAsia" w:hAnsiTheme="minorHAnsi" w:cstheme="minorHAnsi"/>
          <w:szCs w:val="24"/>
          <w:lang w:eastAsia="zh-CN"/>
        </w:rPr>
        <w:t xml:space="preserve">), and small island developing States (SIDS), where limited capacity to build resilience and vulnerable locations make the impact of emergencies more severe on their economies and infrastructures; </w:t>
      </w:r>
    </w:p>
    <w:p w14:paraId="4483CC05"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e)</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the importance of developing resilient telecommunications/ICTs that can withstand different threats, while also meeting the diverse user access requirements, particularly the requirements of persons with disabilities and persons with specific needs, to ensure resilient telecommunications/ICTs are deployed equitably;</w:t>
      </w:r>
    </w:p>
    <w:p w14:paraId="0F36B12A" w14:textId="77777777" w:rsidR="00D5316E" w:rsidRPr="00A93789" w:rsidRDefault="00D5316E" w:rsidP="00D5316E">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A93789">
        <w:rPr>
          <w:rFonts w:asciiTheme="minorHAnsi" w:eastAsiaTheme="minorEastAsia" w:hAnsiTheme="minorHAnsi" w:cstheme="minorHAnsi"/>
          <w:i/>
          <w:szCs w:val="24"/>
          <w:lang w:eastAsia="zh-CN"/>
        </w:rPr>
        <w:t>f)</w:t>
      </w:r>
      <w:r w:rsidRPr="00A93789">
        <w:rPr>
          <w:rFonts w:asciiTheme="minorHAnsi" w:eastAsiaTheme="minorEastAsia" w:hAnsiTheme="minorHAnsi" w:cstheme="minorHAnsi"/>
          <w:i/>
          <w:szCs w:val="24"/>
          <w:lang w:eastAsia="zh-CN"/>
        </w:rPr>
        <w:tab/>
      </w:r>
      <w:r w:rsidRPr="00A93789">
        <w:rPr>
          <w:rFonts w:asciiTheme="minorHAnsi" w:eastAsiaTheme="minorEastAsia" w:hAnsiTheme="minorHAnsi" w:cstheme="minorHAnsi"/>
          <w:szCs w:val="24"/>
          <w:lang w:eastAsia="zh-CN"/>
        </w:rPr>
        <w:t xml:space="preserve">that the United Nations Committee on the Elimination of Discrimination against Women, noted in its General Recommendation No. 37 that a lack of active participation by women in programmes related to disaster risk reduction and climate resilience can impede their development and effectiveness, </w:t>
      </w:r>
    </w:p>
    <w:p w14:paraId="40374777" w14:textId="77777777" w:rsidR="00D5316E" w:rsidRPr="00A93789" w:rsidRDefault="00D5316E" w:rsidP="00D5316E">
      <w:pPr>
        <w:pStyle w:val="Call"/>
        <w:jc w:val="both"/>
        <w:rPr>
          <w:rFonts w:asciiTheme="minorHAnsi" w:hAnsiTheme="minorHAnsi" w:cstheme="minorHAnsi"/>
          <w:i w:val="0"/>
          <w:iCs/>
          <w:szCs w:val="24"/>
        </w:rPr>
      </w:pPr>
      <w:r w:rsidRPr="00A93789">
        <w:rPr>
          <w:rFonts w:asciiTheme="minorHAnsi" w:eastAsia="SimSun" w:hAnsiTheme="minorHAnsi" w:cstheme="minorHAnsi"/>
          <w:szCs w:val="24"/>
        </w:rPr>
        <w:t>considering</w:t>
      </w:r>
    </w:p>
    <w:p w14:paraId="23BD6458"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a)</w:t>
      </w:r>
      <w:r w:rsidRPr="00A93789">
        <w:rPr>
          <w:rFonts w:asciiTheme="minorHAnsi" w:hAnsiTheme="minorHAnsi" w:cstheme="minorHAnsi"/>
          <w:i/>
          <w:szCs w:val="24"/>
        </w:rPr>
        <w:tab/>
      </w:r>
      <w:r w:rsidRPr="00A93789">
        <w:rPr>
          <w:rFonts w:asciiTheme="minorHAnsi" w:hAnsiTheme="minorHAnsi" w:cstheme="minorHAnsi"/>
          <w:szCs w:val="24"/>
        </w:rPr>
        <w:t xml:space="preserve">that resilient telecommunication/ICT infrastructure is essential for supporting the global digital economy, fostering innovation, and driving growth, especially as economies become increasingly dependent on robust ICT systems; </w:t>
      </w:r>
    </w:p>
    <w:p w14:paraId="33BF3BB7" w14:textId="1DB13686"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b)</w:t>
      </w:r>
      <w:r w:rsidRPr="00A93789">
        <w:rPr>
          <w:rFonts w:asciiTheme="minorHAnsi" w:hAnsiTheme="minorHAnsi" w:cstheme="minorHAnsi"/>
          <w:i/>
          <w:szCs w:val="24"/>
        </w:rPr>
        <w:tab/>
      </w:r>
      <w:r w:rsidRPr="00A93789">
        <w:rPr>
          <w:rFonts w:asciiTheme="minorHAnsi" w:hAnsiTheme="minorHAnsi" w:cstheme="minorHAnsi"/>
          <w:szCs w:val="24"/>
        </w:rPr>
        <w:t>that promoting reliable and secure connectivity and accessibility of telecommunications/ICT systems to all segments of society can enhance economic opportunities, education, healthcare, and other critical sectors, contributing to sustainable</w:t>
      </w:r>
      <w:r w:rsidRPr="00A93789">
        <w:rPr>
          <w:b/>
          <w:szCs w:val="24"/>
        </w:rPr>
        <w:t xml:space="preserve"> </w:t>
      </w:r>
      <w:r w:rsidRPr="00A93789">
        <w:rPr>
          <w:rFonts w:asciiTheme="minorHAnsi" w:hAnsiTheme="minorHAnsi" w:cstheme="minorHAnsi"/>
          <w:szCs w:val="24"/>
        </w:rPr>
        <w:t xml:space="preserve">economic development; </w:t>
      </w:r>
    </w:p>
    <w:p w14:paraId="4A62BAB7"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c)</w:t>
      </w:r>
      <w:r w:rsidRPr="00A93789">
        <w:rPr>
          <w:rFonts w:asciiTheme="minorHAnsi" w:hAnsiTheme="minorHAnsi" w:cstheme="minorHAnsi"/>
          <w:i/>
          <w:szCs w:val="24"/>
        </w:rPr>
        <w:tab/>
      </w:r>
      <w:r w:rsidRPr="00A93789">
        <w:rPr>
          <w:rFonts w:asciiTheme="minorHAnsi" w:hAnsiTheme="minorHAnsi" w:cstheme="minorHAnsi"/>
          <w:szCs w:val="24"/>
        </w:rPr>
        <w:t>that strengthening telecommunication/ICT infrastructure in underserved and remote areas, through innovative solutions, would contribute to resilient digital economies;</w:t>
      </w:r>
    </w:p>
    <w:p w14:paraId="48A1D32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d)</w:t>
      </w:r>
      <w:r w:rsidRPr="00A93789">
        <w:rPr>
          <w:rFonts w:asciiTheme="minorHAnsi" w:hAnsiTheme="minorHAnsi" w:cstheme="minorHAnsi"/>
          <w:i/>
          <w:szCs w:val="24"/>
        </w:rPr>
        <w:tab/>
      </w:r>
      <w:r w:rsidRPr="00A93789">
        <w:rPr>
          <w:rFonts w:asciiTheme="minorHAnsi" w:hAnsiTheme="minorHAnsi" w:cstheme="minorHAnsi"/>
          <w:szCs w:val="24"/>
        </w:rPr>
        <w:t>that resilient and secure telecommunication/ICT systems are critical in supporting business continuity, public service delivery, and access to essential services in times of crisis, natural disasters, different cyber threats, non-malicious technical outages, and global health emergencies;</w:t>
      </w:r>
    </w:p>
    <w:p w14:paraId="032E3C63"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e)</w:t>
      </w:r>
      <w:r w:rsidRPr="00A93789">
        <w:rPr>
          <w:rFonts w:asciiTheme="minorHAnsi" w:hAnsiTheme="minorHAnsi" w:cstheme="minorHAnsi"/>
          <w:i/>
          <w:szCs w:val="24"/>
        </w:rPr>
        <w:tab/>
      </w:r>
      <w:r w:rsidRPr="00A93789">
        <w:rPr>
          <w:rFonts w:asciiTheme="minorHAnsi" w:hAnsiTheme="minorHAnsi" w:cstheme="minorHAnsi"/>
          <w:szCs w:val="24"/>
        </w:rPr>
        <w:t>that the use of telecommunications/ICTs for sharing of information in the event of a crisis is a powerful decision-making tool for rescue and response services and operating entities, and for communication with and between individuals; that ICTs are essential for climate resilience activities, such as climate monitoring and protecting natural ecosystems, data gathering, rapid information transfer and managing the risks of climate change;</w:t>
      </w:r>
    </w:p>
    <w:p w14:paraId="1FCF64CE"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f)</w:t>
      </w:r>
      <w:r w:rsidRPr="00A93789">
        <w:rPr>
          <w:rFonts w:asciiTheme="minorHAnsi" w:hAnsiTheme="minorHAnsi" w:cstheme="minorHAnsi"/>
          <w:i/>
          <w:szCs w:val="24"/>
        </w:rPr>
        <w:tab/>
      </w:r>
      <w:r w:rsidRPr="00A93789">
        <w:rPr>
          <w:rFonts w:asciiTheme="minorHAnsi" w:hAnsiTheme="minorHAnsi" w:cstheme="minorHAnsi"/>
          <w:szCs w:val="24"/>
        </w:rPr>
        <w:t>that telecommunications/ICTs must remain resilient and dependable against a spectrum of external disruptions, such as natural disasters or hazards, power cuts, and cyber incidents;</w:t>
      </w:r>
    </w:p>
    <w:p w14:paraId="725AE73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lastRenderedPageBreak/>
        <w:t>g)</w:t>
      </w:r>
      <w:r w:rsidRPr="00A93789">
        <w:rPr>
          <w:rFonts w:asciiTheme="minorHAnsi" w:hAnsiTheme="minorHAnsi" w:cstheme="minorHAnsi"/>
          <w:i/>
          <w:szCs w:val="24"/>
        </w:rPr>
        <w:tab/>
      </w:r>
      <w:r w:rsidRPr="00A93789">
        <w:rPr>
          <w:rFonts w:asciiTheme="minorHAnsi" w:hAnsiTheme="minorHAnsi" w:cstheme="minorHAnsi"/>
          <w:szCs w:val="24"/>
        </w:rPr>
        <w:t xml:space="preserve">that enhancing the cybersecurity of telecommunication/ICT systems is essential for building trust in digital economies, supporting financial transactions, e-commerce, and safeguarding personally identifiable information; </w:t>
      </w:r>
    </w:p>
    <w:p w14:paraId="2464F230"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h)</w:t>
      </w:r>
      <w:r w:rsidRPr="00A93789">
        <w:rPr>
          <w:rFonts w:asciiTheme="minorHAnsi" w:hAnsiTheme="minorHAnsi" w:cstheme="minorHAnsi"/>
          <w:i/>
          <w:szCs w:val="24"/>
        </w:rPr>
        <w:tab/>
      </w:r>
      <w:r w:rsidRPr="00A93789">
        <w:rPr>
          <w:rFonts w:asciiTheme="minorHAnsi" w:hAnsiTheme="minorHAnsi" w:cstheme="minorHAnsi"/>
          <w:szCs w:val="24"/>
        </w:rPr>
        <w:t xml:space="preserve">resilience should be incorporated into all stages of the design and deployment of telecommunications/ICTs to uphold durability throughout their lifecycle, to withstand changing environments, and to avoid exacerbating or threats and vulnerabilities; </w:t>
      </w:r>
    </w:p>
    <w:p w14:paraId="4FABE0BF" w14:textId="77777777" w:rsidR="00D5316E" w:rsidRPr="00A93789" w:rsidRDefault="00D5316E" w:rsidP="00D5316E">
      <w:pPr>
        <w:jc w:val="both"/>
        <w:rPr>
          <w:rFonts w:asciiTheme="minorHAnsi" w:hAnsiTheme="minorHAnsi" w:cstheme="minorHAnsi"/>
          <w:szCs w:val="24"/>
        </w:rPr>
      </w:pPr>
      <w:proofErr w:type="spellStart"/>
      <w:r w:rsidRPr="00A93789">
        <w:rPr>
          <w:rFonts w:asciiTheme="minorHAnsi" w:hAnsiTheme="minorHAnsi" w:cstheme="minorHAnsi"/>
          <w:i/>
          <w:szCs w:val="24"/>
        </w:rPr>
        <w:t>i</w:t>
      </w:r>
      <w:proofErr w:type="spellEnd"/>
      <w:r w:rsidRPr="00A93789">
        <w:rPr>
          <w:rFonts w:asciiTheme="minorHAnsi" w:hAnsiTheme="minorHAnsi" w:cstheme="minorHAnsi"/>
          <w:i/>
          <w:szCs w:val="24"/>
        </w:rPr>
        <w:t>)</w:t>
      </w:r>
      <w:r w:rsidRPr="00A93789">
        <w:rPr>
          <w:rFonts w:asciiTheme="minorHAnsi" w:hAnsiTheme="minorHAnsi" w:cstheme="minorHAnsi"/>
          <w:i/>
          <w:szCs w:val="24"/>
        </w:rPr>
        <w:tab/>
      </w:r>
      <w:r w:rsidRPr="00A93789">
        <w:rPr>
          <w:rFonts w:asciiTheme="minorHAnsi" w:hAnsiTheme="minorHAnsi" w:cstheme="minorHAnsi"/>
          <w:szCs w:val="24"/>
        </w:rPr>
        <w:t>the need to foster public awareness of basic security measures for resilience, including cyber hygiene, and to ensure that messaging is accessible to all users;</w:t>
      </w:r>
    </w:p>
    <w:p w14:paraId="0FD9D9E7"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j)</w:t>
      </w:r>
      <w:r w:rsidRPr="00A93789">
        <w:rPr>
          <w:rFonts w:asciiTheme="minorHAnsi" w:hAnsiTheme="minorHAnsi" w:cstheme="minorHAnsi"/>
          <w:i/>
          <w:szCs w:val="24"/>
        </w:rPr>
        <w:tab/>
      </w:r>
      <w:r w:rsidRPr="00A93789">
        <w:rPr>
          <w:rFonts w:asciiTheme="minorHAnsi" w:hAnsiTheme="minorHAnsi" w:cstheme="minorHAnsi"/>
          <w:szCs w:val="24"/>
        </w:rPr>
        <w:t xml:space="preserve">that fostering partnerships between governments, the private sector, regulatory authorities, civil society, the technical community, academia and international organizations is key to ensuring the development of resilient telecommunication/ICT ecosystems that can adapt to evolving threats and opportunities in the digital economy; </w:t>
      </w:r>
    </w:p>
    <w:p w14:paraId="33893694"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k)</w:t>
      </w:r>
      <w:r w:rsidRPr="00A93789">
        <w:rPr>
          <w:rFonts w:asciiTheme="minorHAnsi" w:hAnsiTheme="minorHAnsi" w:cstheme="minorHAnsi"/>
          <w:i/>
          <w:szCs w:val="24"/>
        </w:rPr>
        <w:tab/>
      </w:r>
      <w:r w:rsidRPr="00A93789">
        <w:rPr>
          <w:rFonts w:asciiTheme="minorHAnsi" w:hAnsiTheme="minorHAnsi" w:cstheme="minorHAnsi"/>
          <w:szCs w:val="24"/>
        </w:rPr>
        <w:t xml:space="preserve">that international collaboration and sharing of best practices can strengthen national capacities to build robust telecommunication/ICT systems, ensuring all countries benefit from the opportunities created by the digital economy; </w:t>
      </w:r>
    </w:p>
    <w:p w14:paraId="31FFA66E"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l)</w:t>
      </w:r>
      <w:r w:rsidRPr="00A93789">
        <w:rPr>
          <w:rFonts w:asciiTheme="minorHAnsi" w:hAnsiTheme="minorHAnsi" w:cstheme="minorHAnsi"/>
          <w:i/>
          <w:szCs w:val="24"/>
        </w:rPr>
        <w:tab/>
      </w:r>
      <w:r w:rsidRPr="00A93789">
        <w:rPr>
          <w:rFonts w:asciiTheme="minorHAnsi" w:hAnsiTheme="minorHAnsi" w:cstheme="minorHAnsi"/>
          <w:szCs w:val="24"/>
        </w:rPr>
        <w:t>that the importance of iterative long-term strategies and risk management plans that coordinate the resilience of a range of telecommunications/ICTs, which make it easier to anticipate and respond to issues across contexts and address constantly evolving threats and vulnerabilities;</w:t>
      </w:r>
    </w:p>
    <w:p w14:paraId="37A09B8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m)</w:t>
      </w:r>
      <w:r w:rsidRPr="00A93789">
        <w:rPr>
          <w:rFonts w:asciiTheme="minorHAnsi" w:hAnsiTheme="minorHAnsi" w:cstheme="minorHAnsi"/>
          <w:i/>
          <w:szCs w:val="24"/>
        </w:rPr>
        <w:tab/>
      </w:r>
      <w:r w:rsidRPr="00A93789">
        <w:rPr>
          <w:rFonts w:asciiTheme="minorHAnsi" w:hAnsiTheme="minorHAnsi" w:cstheme="minorHAnsi"/>
          <w:szCs w:val="24"/>
        </w:rPr>
        <w:t xml:space="preserve">that the promotion and utilization of innovative technologies can play a pivotal role in building resilient telecommunication/ICT economies capable of adapting to technological advancements and market shifts; </w:t>
      </w:r>
    </w:p>
    <w:p w14:paraId="277C8F5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n)</w:t>
      </w:r>
      <w:r w:rsidRPr="00A93789">
        <w:rPr>
          <w:rFonts w:asciiTheme="minorHAnsi" w:hAnsiTheme="minorHAnsi" w:cstheme="minorHAnsi"/>
          <w:i/>
          <w:szCs w:val="24"/>
        </w:rPr>
        <w:tab/>
      </w:r>
      <w:r w:rsidRPr="00A93789">
        <w:rPr>
          <w:rFonts w:asciiTheme="minorHAnsi" w:hAnsiTheme="minorHAnsi" w:cstheme="minorHAnsi"/>
          <w:szCs w:val="24"/>
        </w:rPr>
        <w:t>the importance of submarine cable infrastructure and its resilience, and the outcomes of the 2025 Abuja and 2026 Porto International Submarine Cable Resilience Summits,</w:t>
      </w:r>
    </w:p>
    <w:p w14:paraId="709501DB" w14:textId="77777777" w:rsidR="00D5316E" w:rsidRPr="00A93789" w:rsidRDefault="00D5316E" w:rsidP="00D5316E">
      <w:pPr>
        <w:pStyle w:val="Call"/>
        <w:jc w:val="both"/>
        <w:rPr>
          <w:rFonts w:asciiTheme="minorHAnsi" w:hAnsiTheme="minorHAnsi" w:cstheme="minorHAnsi"/>
          <w:szCs w:val="24"/>
        </w:rPr>
      </w:pPr>
      <w:r w:rsidRPr="00A93789">
        <w:rPr>
          <w:rFonts w:asciiTheme="minorHAnsi" w:eastAsia="SimSun" w:hAnsiTheme="minorHAnsi" w:cstheme="minorHAnsi"/>
          <w:szCs w:val="24"/>
        </w:rPr>
        <w:t>recognising</w:t>
      </w:r>
    </w:p>
    <w:p w14:paraId="1F75204D"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a)</w:t>
      </w:r>
      <w:r w:rsidRPr="00A93789">
        <w:rPr>
          <w:rFonts w:asciiTheme="minorHAnsi" w:hAnsiTheme="minorHAnsi" w:cstheme="minorHAnsi"/>
          <w:i/>
          <w:szCs w:val="24"/>
        </w:rPr>
        <w:tab/>
      </w:r>
      <w:r w:rsidRPr="00A93789">
        <w:rPr>
          <w:rFonts w:asciiTheme="minorHAnsi" w:hAnsiTheme="minorHAnsi" w:cstheme="minorHAnsi"/>
          <w:szCs w:val="24"/>
        </w:rPr>
        <w:t xml:space="preserve">that resilient telecommunications/ICTs are an essential foundation for sustainable development and bridging digital divides; </w:t>
      </w:r>
    </w:p>
    <w:p w14:paraId="6B64F99E"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b)</w:t>
      </w:r>
      <w:r w:rsidRPr="00A93789">
        <w:rPr>
          <w:rFonts w:asciiTheme="minorHAnsi" w:hAnsiTheme="minorHAnsi" w:cstheme="minorHAnsi"/>
          <w:i/>
          <w:szCs w:val="24"/>
        </w:rPr>
        <w:tab/>
      </w:r>
      <w:r w:rsidRPr="00A93789">
        <w:rPr>
          <w:rFonts w:asciiTheme="minorHAnsi" w:hAnsiTheme="minorHAnsi" w:cstheme="minorHAnsi"/>
          <w:szCs w:val="24"/>
        </w:rPr>
        <w:t>the adoption of advanced technologies, would require significant capital investment that can be inaccessible to developing countries, resulting in continued reliance on outdated ICT infrastructure;</w:t>
      </w:r>
    </w:p>
    <w:p w14:paraId="1BC925D3"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c)</w:t>
      </w:r>
      <w:r w:rsidRPr="00A93789">
        <w:rPr>
          <w:rFonts w:asciiTheme="minorHAnsi" w:hAnsiTheme="minorHAnsi" w:cstheme="minorHAnsi"/>
          <w:i/>
          <w:szCs w:val="24"/>
        </w:rPr>
        <w:tab/>
      </w:r>
      <w:r w:rsidRPr="00A93789">
        <w:rPr>
          <w:rFonts w:asciiTheme="minorHAnsi" w:hAnsiTheme="minorHAnsi" w:cstheme="minorHAnsi"/>
          <w:szCs w:val="24"/>
        </w:rPr>
        <w:t>that the absence or instability of grid electricity in many developing countries significantly hampers the adoption, deployment, operation, and maintenance of modern ICT infrastructure;</w:t>
      </w:r>
    </w:p>
    <w:p w14:paraId="0EBCDA3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d)</w:t>
      </w:r>
      <w:r w:rsidRPr="00A93789">
        <w:rPr>
          <w:rFonts w:asciiTheme="minorHAnsi" w:hAnsiTheme="minorHAnsi" w:cstheme="minorHAnsi"/>
          <w:i/>
          <w:szCs w:val="24"/>
        </w:rPr>
        <w:tab/>
      </w:r>
      <w:r w:rsidRPr="00A93789">
        <w:rPr>
          <w:rFonts w:asciiTheme="minorHAnsi" w:hAnsiTheme="minorHAnsi" w:cstheme="minorHAnsi"/>
          <w:szCs w:val="24"/>
        </w:rPr>
        <w:t xml:space="preserve">that the role of the private sector, civil society, the technical community, academia, and regional and international organisations in providing telecommunication/ICT equipment and services, expertise and capacity-building assistance to support resilience initiatives; </w:t>
      </w:r>
    </w:p>
    <w:p w14:paraId="7E0BF2D3"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i/>
          <w:szCs w:val="24"/>
        </w:rPr>
        <w:t>e)</w:t>
      </w:r>
      <w:r w:rsidRPr="00A93789">
        <w:rPr>
          <w:rFonts w:asciiTheme="minorHAnsi" w:hAnsiTheme="minorHAnsi" w:cstheme="minorHAnsi"/>
          <w:i/>
          <w:szCs w:val="24"/>
        </w:rPr>
        <w:tab/>
      </w:r>
      <w:r w:rsidRPr="00A93789">
        <w:rPr>
          <w:rFonts w:asciiTheme="minorHAnsi" w:hAnsiTheme="minorHAnsi" w:cstheme="minorHAnsi"/>
          <w:szCs w:val="24"/>
        </w:rPr>
        <w:t>that the work of the ITU in key resilience activities, such as the Early Warnings for All Initiative, and the contributions of ITU study groups across all three sectors, in developing technical recommendations and best practices,</w:t>
      </w:r>
    </w:p>
    <w:p w14:paraId="2B6F851C" w14:textId="77777777" w:rsidR="00D5316E" w:rsidRPr="00A93789" w:rsidRDefault="00D5316E" w:rsidP="00D5316E">
      <w:pPr>
        <w:pStyle w:val="Call"/>
        <w:jc w:val="both"/>
        <w:rPr>
          <w:rFonts w:asciiTheme="minorHAnsi" w:hAnsiTheme="minorHAnsi" w:cstheme="minorHAnsi"/>
          <w:i w:val="0"/>
          <w:iCs/>
          <w:szCs w:val="24"/>
        </w:rPr>
      </w:pPr>
      <w:r w:rsidRPr="00A93789">
        <w:rPr>
          <w:rFonts w:asciiTheme="minorHAnsi" w:eastAsia="SimSun" w:hAnsiTheme="minorHAnsi" w:cstheme="minorHAnsi"/>
          <w:szCs w:val="24"/>
        </w:rPr>
        <w:t>is of the view</w:t>
      </w:r>
    </w:p>
    <w:p w14:paraId="705251C5"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w:t>
      </w:r>
      <w:r w:rsidRPr="00A93789">
        <w:rPr>
          <w:rFonts w:asciiTheme="minorHAnsi" w:hAnsiTheme="minorHAnsi" w:cstheme="minorHAnsi"/>
          <w:szCs w:val="24"/>
        </w:rPr>
        <w:tab/>
        <w:t xml:space="preserve">that resilience policies and initiatives should be multi-facetted and comprehensive encompassing </w:t>
      </w:r>
      <w:r w:rsidRPr="00A93789">
        <w:rPr>
          <w:rFonts w:asciiTheme="minorHAnsi" w:eastAsiaTheme="minorEastAsia" w:hAnsiTheme="minorHAnsi" w:cstheme="minorHAnsi"/>
          <w:szCs w:val="24"/>
          <w:lang w:eastAsia="zh-CN"/>
        </w:rPr>
        <w:t>cybersecurity</w:t>
      </w:r>
      <w:r w:rsidRPr="00A93789">
        <w:rPr>
          <w:rFonts w:asciiTheme="minorHAnsi" w:hAnsiTheme="minorHAnsi" w:cstheme="minorHAnsi"/>
          <w:szCs w:val="24"/>
        </w:rPr>
        <w:t xml:space="preserve">, early warnings systems and early action, the regular upgrading and </w:t>
      </w:r>
      <w:r w:rsidRPr="00A93789">
        <w:rPr>
          <w:rFonts w:asciiTheme="minorHAnsi" w:hAnsiTheme="minorHAnsi" w:cstheme="minorHAnsi"/>
          <w:szCs w:val="24"/>
        </w:rPr>
        <w:lastRenderedPageBreak/>
        <w:t xml:space="preserve">maintenance of telecommunication/ICT infrastructure, </w:t>
      </w:r>
      <w:r w:rsidRPr="00A93789">
        <w:rPr>
          <w:rFonts w:asciiTheme="minorHAnsi" w:hAnsiTheme="minorHAnsi" w:cstheme="minorHAnsi"/>
          <w:bCs/>
          <w:szCs w:val="24"/>
        </w:rPr>
        <w:t>environmental monitoring,</w:t>
      </w:r>
      <w:r w:rsidRPr="00A93789">
        <w:rPr>
          <w:rFonts w:asciiTheme="minorHAnsi" w:hAnsiTheme="minorHAnsi" w:cstheme="minorHAnsi"/>
          <w:b/>
          <w:szCs w:val="24"/>
        </w:rPr>
        <w:t xml:space="preserve"> </w:t>
      </w:r>
      <w:r w:rsidRPr="00A93789">
        <w:rPr>
          <w:rFonts w:asciiTheme="minorHAnsi" w:hAnsiTheme="minorHAnsi" w:cstheme="minorHAnsi"/>
          <w:szCs w:val="24"/>
        </w:rPr>
        <w:t>disaster risk reduction initiatives and public-private collaboration;</w:t>
      </w:r>
    </w:p>
    <w:p w14:paraId="2117E12A"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2</w:t>
      </w:r>
      <w:r w:rsidRPr="00A93789">
        <w:rPr>
          <w:rFonts w:asciiTheme="minorHAnsi" w:hAnsiTheme="minorHAnsi" w:cstheme="minorHAnsi"/>
          <w:szCs w:val="24"/>
        </w:rPr>
        <w:tab/>
        <w:t xml:space="preserve">that enhancing resilience requires coordinated action among governments, regulatory authorities, the private sector, civil society, the technical community, and academia, with national authorities playing a key role in prioritizing the development of resilient, secure, and adaptable telecommunication/ICT systems to support </w:t>
      </w:r>
      <w:r w:rsidRPr="00A93789">
        <w:rPr>
          <w:rFonts w:asciiTheme="minorHAnsi" w:hAnsiTheme="minorHAnsi" w:cstheme="minorHAnsi"/>
          <w:bCs/>
          <w:szCs w:val="24"/>
        </w:rPr>
        <w:t>long-term</w:t>
      </w:r>
      <w:r w:rsidRPr="00A93789">
        <w:rPr>
          <w:rFonts w:asciiTheme="minorHAnsi" w:hAnsiTheme="minorHAnsi" w:cstheme="minorHAnsi"/>
          <w:b/>
          <w:szCs w:val="24"/>
        </w:rPr>
        <w:t xml:space="preserve"> </w:t>
      </w:r>
      <w:r w:rsidRPr="00A93789">
        <w:rPr>
          <w:rFonts w:asciiTheme="minorHAnsi" w:hAnsiTheme="minorHAnsi" w:cstheme="minorHAnsi"/>
          <w:szCs w:val="24"/>
        </w:rPr>
        <w:t>digital growth and the continuity of essential services;</w:t>
      </w:r>
    </w:p>
    <w:p w14:paraId="2C25BFA2"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3</w:t>
      </w:r>
      <w:r w:rsidRPr="00A93789">
        <w:rPr>
          <w:rFonts w:asciiTheme="minorHAnsi" w:hAnsiTheme="minorHAnsi" w:cstheme="minorHAnsi"/>
          <w:szCs w:val="24"/>
        </w:rPr>
        <w:tab/>
        <w:t xml:space="preserve">that it is essential to build resilience into all stages of telecommunication/ICT design, development and deployment; </w:t>
      </w:r>
    </w:p>
    <w:p w14:paraId="3F35663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4</w:t>
      </w:r>
      <w:r w:rsidRPr="00A93789">
        <w:rPr>
          <w:rFonts w:asciiTheme="minorHAnsi" w:hAnsiTheme="minorHAnsi" w:cstheme="minorHAnsi"/>
          <w:szCs w:val="24"/>
        </w:rPr>
        <w:tab/>
        <w:t xml:space="preserve">that resilient telecommunication/ICT infrastructure is a critical enabler of economic growth, digital inclusion, and innovation, and must be adaptable to emerging challenges; </w:t>
      </w:r>
    </w:p>
    <w:p w14:paraId="7EA041CB"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5</w:t>
      </w:r>
      <w:r w:rsidRPr="00A93789">
        <w:rPr>
          <w:rFonts w:asciiTheme="minorHAnsi" w:hAnsiTheme="minorHAnsi" w:cstheme="minorHAnsi"/>
          <w:szCs w:val="24"/>
        </w:rPr>
        <w:tab/>
        <w:t xml:space="preserve">that bridging the digital divide and ensuring affordable access to telecommunications/ICTs is integral to building resilience; </w:t>
      </w:r>
    </w:p>
    <w:p w14:paraId="650910D0"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6</w:t>
      </w:r>
      <w:r w:rsidRPr="00A93789">
        <w:rPr>
          <w:rFonts w:asciiTheme="minorHAnsi" w:hAnsiTheme="minorHAnsi" w:cstheme="minorHAnsi"/>
          <w:szCs w:val="24"/>
        </w:rPr>
        <w:tab/>
        <w:t xml:space="preserve">that cooperation and collaboration on, best practices, and enabling environments for investment, and innovative financing mechanisms play important roles in building resilient telecommunication/ICT systems that </w:t>
      </w:r>
      <w:proofErr w:type="gramStart"/>
      <w:r w:rsidRPr="00A93789">
        <w:rPr>
          <w:rFonts w:asciiTheme="minorHAnsi" w:hAnsiTheme="minorHAnsi" w:cstheme="minorHAnsi"/>
          <w:szCs w:val="24"/>
        </w:rPr>
        <w:t>are capable of responding</w:t>
      </w:r>
      <w:proofErr w:type="gramEnd"/>
      <w:r w:rsidRPr="00A93789">
        <w:rPr>
          <w:rFonts w:asciiTheme="minorHAnsi" w:hAnsiTheme="minorHAnsi" w:cstheme="minorHAnsi"/>
          <w:szCs w:val="24"/>
        </w:rPr>
        <w:t xml:space="preserve"> to global challenges and supporting economic stability, especially during natural disasters and emergencies;</w:t>
      </w:r>
    </w:p>
    <w:p w14:paraId="27D6F65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7</w:t>
      </w:r>
      <w:r w:rsidRPr="00A93789">
        <w:rPr>
          <w:rFonts w:asciiTheme="minorHAnsi" w:hAnsiTheme="minorHAnsi" w:cstheme="minorHAnsi"/>
          <w:szCs w:val="24"/>
        </w:rPr>
        <w:tab/>
        <w:t xml:space="preserve">that a multi-channel approach to public-awareness raising should be adopted to ensure relevant resilience messaging, such as emergency communications and cyber hygiene-related advice, reaches a wide audience and enables individuals to act earlier and protect themselves; </w:t>
      </w:r>
    </w:p>
    <w:p w14:paraId="7CB6692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8</w:t>
      </w:r>
      <w:r w:rsidRPr="00A93789">
        <w:rPr>
          <w:rFonts w:asciiTheme="minorHAnsi" w:hAnsiTheme="minorHAnsi" w:cstheme="minorHAnsi"/>
          <w:szCs w:val="24"/>
        </w:rPr>
        <w:tab/>
        <w:t>that environmental protection represents one of the greatest challenges of our time, and that resilience to natural disasters can be strengthened through the establishment of early-warning systems and national emergency telecommunication plans;</w:t>
      </w:r>
    </w:p>
    <w:p w14:paraId="7CEE25A2"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9</w:t>
      </w:r>
      <w:r w:rsidRPr="00A93789">
        <w:rPr>
          <w:rFonts w:asciiTheme="minorHAnsi" w:hAnsiTheme="minorHAnsi" w:cstheme="minorHAnsi"/>
          <w:szCs w:val="24"/>
        </w:rPr>
        <w:tab/>
        <w:t xml:space="preserve">that building cyber resilience across society is essential to tackling the growing cyber threat; </w:t>
      </w:r>
    </w:p>
    <w:p w14:paraId="5726B7E7"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10</w:t>
      </w:r>
      <w:r w:rsidRPr="00A93789">
        <w:rPr>
          <w:rFonts w:asciiTheme="minorHAnsi" w:hAnsiTheme="minorHAnsi" w:cstheme="minorHAnsi"/>
          <w:szCs w:val="24"/>
        </w:rPr>
        <w:tab/>
        <w:t xml:space="preserve">that promoting innovation and the deployment of new technologies is necessary to ensure that telecommunication/ICT economies remain competitive, secure, and resilient; </w:t>
      </w:r>
    </w:p>
    <w:p w14:paraId="036A0318"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11</w:t>
      </w:r>
      <w:r w:rsidRPr="00A93789">
        <w:rPr>
          <w:rFonts w:asciiTheme="minorHAnsi" w:hAnsiTheme="minorHAnsi" w:cstheme="minorHAnsi"/>
          <w:szCs w:val="24"/>
        </w:rPr>
        <w:tab/>
        <w:t>that energy resilience innovations can support infrastructure resilience ensuring that telecommunication and ICT infrastructure can access alternative sources of powers;</w:t>
      </w:r>
    </w:p>
    <w:p w14:paraId="150571F5"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12</w:t>
      </w:r>
      <w:r w:rsidRPr="00A93789">
        <w:rPr>
          <w:rFonts w:asciiTheme="minorHAnsi" w:hAnsiTheme="minorHAnsi" w:cstheme="minorHAnsi"/>
          <w:szCs w:val="24"/>
        </w:rPr>
        <w:tab/>
        <w:t>the ITU should continue to conduct training programmes, workshops, and capacity building to promote telecommunication/ICT resilience,</w:t>
      </w:r>
    </w:p>
    <w:p w14:paraId="0CF18D5D" w14:textId="77777777" w:rsidR="00D5316E" w:rsidRPr="00A93789" w:rsidRDefault="00D5316E" w:rsidP="00D5316E">
      <w:pPr>
        <w:pStyle w:val="Call"/>
        <w:jc w:val="both"/>
        <w:rPr>
          <w:rFonts w:asciiTheme="minorHAnsi" w:hAnsiTheme="minorHAnsi" w:cstheme="minorHAnsi"/>
          <w:szCs w:val="24"/>
        </w:rPr>
      </w:pPr>
      <w:r w:rsidRPr="00A93789">
        <w:rPr>
          <w:rFonts w:asciiTheme="minorHAnsi" w:hAnsiTheme="minorHAnsi" w:cstheme="minorHAnsi"/>
          <w:szCs w:val="24"/>
        </w:rPr>
        <w:t xml:space="preserve">invites Member States, Sector Members and other stakeholders to work collaboratively </w:t>
      </w:r>
    </w:p>
    <w:p w14:paraId="29C8D598"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w:t>
      </w:r>
      <w:r w:rsidRPr="00A93789">
        <w:rPr>
          <w:rFonts w:asciiTheme="minorHAnsi" w:hAnsiTheme="minorHAnsi" w:cstheme="minorHAnsi"/>
          <w:szCs w:val="24"/>
        </w:rPr>
        <w:tab/>
        <w:t xml:space="preserve">to prioritize the sharing of information on the development and implementation of policies that promote resilient, secure, and robust telecommunication/ICT infrastructures, ensuring alignment with international standards and best practices; </w:t>
      </w:r>
    </w:p>
    <w:p w14:paraId="18B6F38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2</w:t>
      </w:r>
      <w:r w:rsidRPr="00A93789">
        <w:rPr>
          <w:rFonts w:asciiTheme="minorHAnsi" w:hAnsiTheme="minorHAnsi" w:cstheme="minorHAnsi"/>
          <w:szCs w:val="24"/>
        </w:rPr>
        <w:tab/>
        <w:t xml:space="preserve">to continue to facilitate and enhance efforts to strengthen telecommunications/ICTs, including digital, infrastructure resilience, ensuring that these systems are secure, robust, and adaptable to future challenges and able to ensure continuity of service in times of disruption; </w:t>
      </w:r>
    </w:p>
    <w:p w14:paraId="3DA9243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3</w:t>
      </w:r>
      <w:r w:rsidRPr="00A93789">
        <w:rPr>
          <w:rFonts w:asciiTheme="minorHAnsi" w:hAnsiTheme="minorHAnsi" w:cstheme="minorHAnsi"/>
          <w:szCs w:val="24"/>
        </w:rPr>
        <w:tab/>
        <w:t>to explore opportunities and address the challenges faced in building resilient telecommunication/ICT systems, ensuring continuity of service in times of disruption;</w:t>
      </w:r>
    </w:p>
    <w:p w14:paraId="1CDEFEDD"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lastRenderedPageBreak/>
        <w:t>4</w:t>
      </w:r>
      <w:r w:rsidRPr="00A93789">
        <w:rPr>
          <w:rFonts w:asciiTheme="minorHAnsi" w:hAnsiTheme="minorHAnsi" w:cstheme="minorHAnsi"/>
          <w:szCs w:val="24"/>
        </w:rPr>
        <w:tab/>
        <w:t>to work with the private sector, civil society, the technical community, and academia to promote resilient telecommunications/ICTs by providing programmes of technical support and capacity building;</w:t>
      </w:r>
    </w:p>
    <w:p w14:paraId="31E4368F"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5</w:t>
      </w:r>
      <w:r w:rsidRPr="00A93789">
        <w:rPr>
          <w:rFonts w:asciiTheme="minorHAnsi" w:hAnsiTheme="minorHAnsi" w:cstheme="minorHAnsi"/>
          <w:szCs w:val="24"/>
        </w:rPr>
        <w:tab/>
        <w:t xml:space="preserve">to strengthen public-private partnerships </w:t>
      </w:r>
      <w:proofErr w:type="gramStart"/>
      <w:r w:rsidRPr="00A93789">
        <w:rPr>
          <w:rFonts w:asciiTheme="minorHAnsi" w:hAnsiTheme="minorHAnsi" w:cstheme="minorHAnsi"/>
          <w:szCs w:val="24"/>
        </w:rPr>
        <w:t>in order to</w:t>
      </w:r>
      <w:proofErr w:type="gramEnd"/>
      <w:r w:rsidRPr="00A93789">
        <w:rPr>
          <w:rFonts w:asciiTheme="minorHAnsi" w:hAnsiTheme="minorHAnsi" w:cstheme="minorHAnsi"/>
          <w:szCs w:val="24"/>
        </w:rPr>
        <w:t xml:space="preserve"> foster resilience in the telecommunication/ICT ecosystem and address related emerging challenges and opportunities therein; </w:t>
      </w:r>
    </w:p>
    <w:p w14:paraId="1B0DD05D"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6</w:t>
      </w:r>
      <w:r w:rsidRPr="00A93789">
        <w:rPr>
          <w:rFonts w:asciiTheme="minorHAnsi" w:hAnsiTheme="minorHAnsi" w:cstheme="minorHAnsi"/>
          <w:szCs w:val="24"/>
        </w:rPr>
        <w:tab/>
        <w:t>to mainstream a gender perspective into national strategies dealing with resilience and ensure that decision-making is inclusive;</w:t>
      </w:r>
    </w:p>
    <w:p w14:paraId="7BFF2D0A"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7</w:t>
      </w:r>
      <w:r w:rsidRPr="00A93789">
        <w:rPr>
          <w:rFonts w:asciiTheme="minorHAnsi" w:hAnsiTheme="minorHAnsi" w:cstheme="minorHAnsi"/>
          <w:szCs w:val="24"/>
        </w:rPr>
        <w:tab/>
        <w:t xml:space="preserve">to continue to deploy all necessary efforts to integrate cyber incident response, disaster risk reduction, disaster mitigation, disaster relief and resilience into telecommunication/ICT development plans, considering persons with disabilities and persons with specific needs and the importance of collaborating with all stakeholders in all disaster phases; </w:t>
      </w:r>
    </w:p>
    <w:p w14:paraId="076FCDC0"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8</w:t>
      </w:r>
      <w:r w:rsidRPr="00A93789">
        <w:rPr>
          <w:rFonts w:asciiTheme="minorHAnsi" w:hAnsiTheme="minorHAnsi" w:cstheme="minorHAnsi"/>
          <w:szCs w:val="24"/>
        </w:rPr>
        <w:tab/>
        <w:t xml:space="preserve">to adopt relevant ITU recommendations that could contribute to the building of telecommunication/ICT resilience and effective response to crises; </w:t>
      </w:r>
    </w:p>
    <w:p w14:paraId="6734EEA1"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9</w:t>
      </w:r>
      <w:r w:rsidRPr="00A93789">
        <w:rPr>
          <w:rFonts w:asciiTheme="minorHAnsi" w:hAnsiTheme="minorHAnsi" w:cstheme="minorHAnsi"/>
          <w:szCs w:val="24"/>
        </w:rPr>
        <w:tab/>
        <w:t xml:space="preserve">to actively participate in international forums on the resilience of telecommunications/ICTs, sharing knowledge and experiences; </w:t>
      </w:r>
    </w:p>
    <w:p w14:paraId="74B372F2"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10</w:t>
      </w:r>
      <w:r w:rsidRPr="00A93789">
        <w:rPr>
          <w:rFonts w:asciiTheme="minorHAnsi" w:hAnsiTheme="minorHAnsi" w:cstheme="minorHAnsi"/>
          <w:szCs w:val="24"/>
        </w:rPr>
        <w:tab/>
        <w:t xml:space="preserve">to support international activities to promote capacity building for resilience, especially for </w:t>
      </w:r>
      <w:proofErr w:type="spellStart"/>
      <w:r w:rsidRPr="00A93789">
        <w:rPr>
          <w:rFonts w:asciiTheme="minorHAnsi" w:hAnsiTheme="minorHAnsi" w:cstheme="minorHAnsi"/>
          <w:szCs w:val="24"/>
        </w:rPr>
        <w:t>LDCs</w:t>
      </w:r>
      <w:proofErr w:type="spellEnd"/>
      <w:r w:rsidRPr="00A93789">
        <w:rPr>
          <w:rFonts w:asciiTheme="minorHAnsi" w:hAnsiTheme="minorHAnsi" w:cstheme="minorHAnsi"/>
          <w:szCs w:val="24"/>
        </w:rPr>
        <w:t xml:space="preserve">, </w:t>
      </w:r>
      <w:proofErr w:type="spellStart"/>
      <w:r w:rsidRPr="00A93789">
        <w:rPr>
          <w:rFonts w:asciiTheme="minorHAnsi" w:hAnsiTheme="minorHAnsi" w:cstheme="minorHAnsi"/>
          <w:szCs w:val="24"/>
        </w:rPr>
        <w:t>LLDCs</w:t>
      </w:r>
      <w:proofErr w:type="spellEnd"/>
      <w:r w:rsidRPr="00A93789">
        <w:rPr>
          <w:rFonts w:asciiTheme="minorHAnsi" w:hAnsiTheme="minorHAnsi" w:cstheme="minorHAnsi"/>
          <w:szCs w:val="24"/>
        </w:rPr>
        <w:t>, and SIDS;</w:t>
      </w:r>
    </w:p>
    <w:p w14:paraId="234DB3AA"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11</w:t>
      </w:r>
      <w:r w:rsidRPr="00A93789">
        <w:rPr>
          <w:rFonts w:asciiTheme="minorHAnsi" w:hAnsiTheme="minorHAnsi" w:cstheme="minorHAnsi"/>
          <w:szCs w:val="24"/>
        </w:rPr>
        <w:tab/>
        <w:t>to encourage and enable investment in resilient telecommunication/ICT infrastructure, particularly in unserved, underserved, and geographically challenging areas;</w:t>
      </w:r>
    </w:p>
    <w:p w14:paraId="76F23D12"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12</w:t>
      </w:r>
      <w:r w:rsidRPr="00A93789">
        <w:rPr>
          <w:rFonts w:asciiTheme="minorHAnsi" w:hAnsiTheme="minorHAnsi" w:cstheme="minorHAnsi"/>
          <w:szCs w:val="24"/>
        </w:rPr>
        <w:tab/>
        <w:t>to adopt telecommunication/ICT resilience strategies, including disaster risk management and outage response plans;</w:t>
      </w:r>
    </w:p>
    <w:p w14:paraId="461DE435"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13</w:t>
      </w:r>
      <w:r w:rsidRPr="00A93789">
        <w:rPr>
          <w:rFonts w:asciiTheme="minorHAnsi" w:hAnsiTheme="minorHAnsi" w:cstheme="minorHAnsi"/>
          <w:szCs w:val="24"/>
        </w:rPr>
        <w:tab/>
        <w:t>to promote policies that strengthen the security and resilience of telecommunication/ICT supply chains, ensuring that equipment is secure and resilient;</w:t>
      </w:r>
    </w:p>
    <w:p w14:paraId="03C8AB16"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14</w:t>
      </w:r>
      <w:r w:rsidRPr="00A93789">
        <w:rPr>
          <w:rFonts w:asciiTheme="minorHAnsi" w:hAnsiTheme="minorHAnsi" w:cstheme="minorHAnsi"/>
          <w:szCs w:val="24"/>
        </w:rPr>
        <w:tab/>
        <w:t>to support the role of new and emerging telecommunication/ICT services and technologies, in enhancing early warning systems, threat detection, and adaptive response strategies for telecommunication/ICT resilience;</w:t>
      </w:r>
    </w:p>
    <w:p w14:paraId="445818B3"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15</w:t>
      </w:r>
      <w:r w:rsidRPr="00A93789">
        <w:rPr>
          <w:rFonts w:asciiTheme="minorHAnsi" w:hAnsiTheme="minorHAnsi" w:cstheme="minorHAnsi"/>
          <w:szCs w:val="24"/>
        </w:rPr>
        <w:tab/>
        <w:t xml:space="preserve">to consider </w:t>
      </w:r>
      <w:proofErr w:type="gramStart"/>
      <w:r w:rsidRPr="00A93789">
        <w:rPr>
          <w:rFonts w:asciiTheme="minorHAnsi" w:hAnsiTheme="minorHAnsi" w:cstheme="minorHAnsi"/>
          <w:szCs w:val="24"/>
        </w:rPr>
        <w:t>taking into account</w:t>
      </w:r>
      <w:proofErr w:type="gramEnd"/>
      <w:r w:rsidRPr="00A93789">
        <w:rPr>
          <w:rFonts w:asciiTheme="minorHAnsi" w:hAnsiTheme="minorHAnsi" w:cstheme="minorHAnsi"/>
          <w:szCs w:val="24"/>
        </w:rPr>
        <w:t xml:space="preserve"> the Abuja and Porto Summit outcomes when adopting and implementing policies to enhance submarine cable resilience,</w:t>
      </w:r>
    </w:p>
    <w:p w14:paraId="02B85D3A" w14:textId="77777777" w:rsidR="00D5316E" w:rsidRPr="00A93789" w:rsidRDefault="00D5316E" w:rsidP="00D5316E">
      <w:pPr>
        <w:pStyle w:val="Call"/>
        <w:jc w:val="both"/>
        <w:rPr>
          <w:rFonts w:asciiTheme="minorHAnsi" w:hAnsiTheme="minorHAnsi" w:cstheme="minorHAnsi"/>
          <w:i w:val="0"/>
          <w:iCs/>
          <w:szCs w:val="24"/>
        </w:rPr>
      </w:pPr>
      <w:r w:rsidRPr="00A93789">
        <w:rPr>
          <w:rFonts w:asciiTheme="minorHAnsi" w:eastAsia="SimSun" w:hAnsiTheme="minorHAnsi" w:cstheme="minorHAnsi"/>
          <w:szCs w:val="24"/>
        </w:rPr>
        <w:t>invites the Secretary-General</w:t>
      </w:r>
    </w:p>
    <w:p w14:paraId="75DD3782"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1</w:t>
      </w:r>
      <w:r w:rsidRPr="00A93789">
        <w:rPr>
          <w:rFonts w:asciiTheme="minorHAnsi" w:hAnsiTheme="minorHAnsi" w:cstheme="minorHAnsi"/>
          <w:szCs w:val="24"/>
        </w:rPr>
        <w:tab/>
        <w:t>to continue to facilitate and enhance international efforts to strengthen and promote the resilience of telecommunications/ICTs;</w:t>
      </w:r>
    </w:p>
    <w:p w14:paraId="42A77455" w14:textId="77777777" w:rsidR="00D5316E" w:rsidRPr="00A93789" w:rsidRDefault="00D5316E" w:rsidP="00D5316E">
      <w:pPr>
        <w:jc w:val="both"/>
        <w:rPr>
          <w:rFonts w:asciiTheme="minorHAnsi" w:hAnsiTheme="minorHAnsi" w:cstheme="minorHAnsi"/>
          <w:szCs w:val="24"/>
        </w:rPr>
      </w:pPr>
      <w:r w:rsidRPr="00A93789">
        <w:rPr>
          <w:rFonts w:asciiTheme="minorHAnsi" w:hAnsiTheme="minorHAnsi" w:cstheme="minorHAnsi"/>
          <w:szCs w:val="24"/>
        </w:rPr>
        <w:t>2</w:t>
      </w:r>
      <w:r w:rsidRPr="00A93789">
        <w:rPr>
          <w:rFonts w:asciiTheme="minorHAnsi" w:hAnsiTheme="minorHAnsi" w:cstheme="minorHAnsi"/>
          <w:szCs w:val="24"/>
        </w:rPr>
        <w:tab/>
        <w:t>to ensure that the ITU continues to support Member States in developing and strengthening policy and regulatory frameworks for ICT and telecommunications resilience.</w:t>
      </w:r>
    </w:p>
    <w:p w14:paraId="6ADA53E9" w14:textId="71275723"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sz w:val="22"/>
          <w:szCs w:val="22"/>
        </w:rPr>
      </w:pPr>
      <w:r w:rsidRPr="006975BE">
        <w:rPr>
          <w:rFonts w:asciiTheme="minorHAnsi" w:hAnsiTheme="minorHAnsi" w:cstheme="minorHAnsi"/>
          <w:sz w:val="22"/>
          <w:szCs w:val="22"/>
        </w:rPr>
        <w:br w:type="page"/>
      </w:r>
    </w:p>
    <w:p w14:paraId="54D20C27" w14:textId="26463F44" w:rsidR="00C64ED7" w:rsidRPr="006975BE" w:rsidRDefault="00C64ED7" w:rsidP="008F2087">
      <w:pPr>
        <w:pStyle w:val="OpNo"/>
      </w:pPr>
      <w:bookmarkStart w:id="11" w:name="_Hlk133586559"/>
      <w:bookmarkStart w:id="12" w:name="_Hlk133421428"/>
      <w:r w:rsidRPr="006975BE">
        <w:lastRenderedPageBreak/>
        <w:t xml:space="preserve">DRAFT OPINION </w:t>
      </w:r>
      <w:r w:rsidR="00E874F5" w:rsidRPr="006975BE">
        <w:t>4</w:t>
      </w:r>
    </w:p>
    <w:p w14:paraId="19290D69" w14:textId="2DF4F765" w:rsidR="00C64ED7" w:rsidRPr="006975BE" w:rsidRDefault="00C64ED7" w:rsidP="008F2087">
      <w:pPr>
        <w:pStyle w:val="Optitle0"/>
      </w:pPr>
      <w:r w:rsidRPr="006975BE">
        <w:t xml:space="preserve">Space </w:t>
      </w:r>
      <w:r w:rsidR="001342CA" w:rsidRPr="006975BE">
        <w:t>connectivity</w:t>
      </w:r>
    </w:p>
    <w:bookmarkEnd w:id="11"/>
    <w:bookmarkEnd w:id="12"/>
    <w:p w14:paraId="59F8AABD" w14:textId="77777777" w:rsidR="00D81A39" w:rsidRPr="006975BE" w:rsidRDefault="00D81A39" w:rsidP="00D81A39">
      <w:pPr>
        <w:pStyle w:val="Normalaftertitle"/>
        <w:jc w:val="both"/>
        <w:rPr>
          <w:rFonts w:asciiTheme="minorHAnsi" w:eastAsia="Calibri" w:hAnsiTheme="minorHAnsi" w:cstheme="minorHAnsi"/>
          <w:szCs w:val="24"/>
        </w:rPr>
      </w:pPr>
      <w:r w:rsidRPr="006975BE">
        <w:rPr>
          <w:rFonts w:asciiTheme="minorHAnsi" w:eastAsia="Calibri" w:hAnsiTheme="minorHAnsi" w:cstheme="minorHAnsi"/>
          <w:szCs w:val="24"/>
        </w:rPr>
        <w:t>The seventh World Telecommunication/ICT Policy Forum (Nassau, 2026),</w:t>
      </w:r>
    </w:p>
    <w:p w14:paraId="33BAE9B4"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recalling</w:t>
      </w:r>
    </w:p>
    <w:p w14:paraId="53657BB4" w14:textId="3285701F"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a)</w:t>
      </w:r>
      <w:r w:rsidRPr="006975BE">
        <w:rPr>
          <w:rFonts w:asciiTheme="minorHAnsi" w:hAnsiTheme="minorHAnsi" w:cstheme="minorHAnsi"/>
          <w:i/>
          <w:szCs w:val="24"/>
        </w:rPr>
        <w:tab/>
      </w:r>
      <w:r w:rsidRPr="006975BE">
        <w:rPr>
          <w:rFonts w:asciiTheme="minorHAnsi" w:hAnsiTheme="minorHAnsi" w:cstheme="minorHAnsi"/>
          <w:szCs w:val="24"/>
        </w:rPr>
        <w:t xml:space="preserve">Resolution 70/1 of the United Nations General Assembly (UNGA), on </w:t>
      </w:r>
      <w:r>
        <w:rPr>
          <w:rFonts w:asciiTheme="minorHAnsi" w:hAnsiTheme="minorHAnsi" w:cstheme="minorHAnsi"/>
          <w:szCs w:val="24"/>
        </w:rPr>
        <w:t>t</w:t>
      </w:r>
      <w:r w:rsidRPr="006975BE">
        <w:rPr>
          <w:rFonts w:asciiTheme="minorHAnsi" w:hAnsiTheme="minorHAnsi" w:cstheme="minorHAnsi"/>
          <w:szCs w:val="24"/>
        </w:rPr>
        <w:t xml:space="preserve">ransforming our world: the 2030 Agenda for Sustainable Development; </w:t>
      </w:r>
    </w:p>
    <w:p w14:paraId="7747829A" w14:textId="77777777"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b)</w:t>
      </w:r>
      <w:r w:rsidRPr="006975BE">
        <w:rPr>
          <w:rFonts w:asciiTheme="minorHAnsi" w:hAnsiTheme="minorHAnsi" w:cstheme="minorHAnsi"/>
          <w:i/>
          <w:szCs w:val="24"/>
        </w:rPr>
        <w:tab/>
      </w:r>
      <w:r w:rsidRPr="006975BE">
        <w:rPr>
          <w:rFonts w:asciiTheme="minorHAnsi" w:hAnsiTheme="minorHAnsi" w:cstheme="minorHAnsi"/>
          <w:szCs w:val="24"/>
        </w:rPr>
        <w:t>Resolution 76/3 of UNGA, on the “</w:t>
      </w:r>
      <w:proofErr w:type="spellStart"/>
      <w:r w:rsidRPr="006975BE">
        <w:rPr>
          <w:rFonts w:asciiTheme="minorHAnsi" w:hAnsiTheme="minorHAnsi" w:cstheme="minorHAnsi"/>
          <w:szCs w:val="24"/>
        </w:rPr>
        <w:t>Space2030</w:t>
      </w:r>
      <w:proofErr w:type="spellEnd"/>
      <w:r w:rsidRPr="006975BE">
        <w:rPr>
          <w:rFonts w:asciiTheme="minorHAnsi" w:hAnsiTheme="minorHAnsi" w:cstheme="minorHAnsi"/>
          <w:szCs w:val="24"/>
        </w:rPr>
        <w:t xml:space="preserve">” Agenda: space as a driver of sustainable development; </w:t>
      </w:r>
    </w:p>
    <w:p w14:paraId="0D6A4276" w14:textId="77777777"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c)</w:t>
      </w:r>
      <w:r w:rsidRPr="006975BE">
        <w:rPr>
          <w:rFonts w:asciiTheme="minorHAnsi" w:hAnsiTheme="minorHAnsi" w:cstheme="minorHAnsi"/>
          <w:i/>
          <w:szCs w:val="24"/>
        </w:rPr>
        <w:tab/>
      </w:r>
      <w:r w:rsidRPr="006975BE">
        <w:rPr>
          <w:rFonts w:asciiTheme="minorHAnsi" w:hAnsiTheme="minorHAnsi" w:cstheme="minorHAnsi"/>
          <w:szCs w:val="24"/>
        </w:rPr>
        <w:t>the relevant provision of Article 44 of the ITU Constitution;</w:t>
      </w:r>
    </w:p>
    <w:p w14:paraId="40846DBA" w14:textId="442B2D01"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d)</w:t>
      </w:r>
      <w:r w:rsidRPr="006975BE">
        <w:rPr>
          <w:rFonts w:asciiTheme="minorHAnsi" w:hAnsiTheme="minorHAnsi" w:cstheme="minorHAnsi"/>
          <w:i/>
          <w:szCs w:val="24"/>
        </w:rPr>
        <w:tab/>
      </w:r>
      <w:r w:rsidRPr="006975BE">
        <w:rPr>
          <w:rFonts w:asciiTheme="minorHAnsi" w:hAnsiTheme="minorHAnsi" w:cstheme="minorHAnsi"/>
          <w:szCs w:val="24"/>
        </w:rPr>
        <w:t>relevant resolutions of the Plenipotentiary Conference related to the topic of space-based telecommunication/information and communication technology (ICT) networks and services, including, among others, Resolution 139 (</w:t>
      </w:r>
      <w:r>
        <w:rPr>
          <w:rFonts w:asciiTheme="minorHAnsi" w:hAnsiTheme="minorHAnsi" w:cstheme="minorHAnsi"/>
          <w:szCs w:val="24"/>
        </w:rPr>
        <w:t xml:space="preserve">Rev. </w:t>
      </w:r>
      <w:r w:rsidRPr="006975BE">
        <w:rPr>
          <w:rFonts w:asciiTheme="minorHAnsi" w:hAnsiTheme="minorHAnsi" w:cstheme="minorHAnsi"/>
          <w:szCs w:val="24"/>
        </w:rPr>
        <w:t xml:space="preserve">Bucharest, 2022), Resolution 186 (Rev. Bucharest, 2022), Resolution 218 (Bucharest, 2022) and Resolution 219 (Bucharest, 2022); </w:t>
      </w:r>
    </w:p>
    <w:p w14:paraId="33724FA3" w14:textId="77777777"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e)</w:t>
      </w:r>
      <w:r w:rsidRPr="006975BE">
        <w:rPr>
          <w:rFonts w:asciiTheme="minorHAnsi" w:hAnsiTheme="minorHAnsi" w:cstheme="minorHAnsi"/>
          <w:i/>
          <w:szCs w:val="24"/>
        </w:rPr>
        <w:tab/>
      </w:r>
      <w:r w:rsidRPr="006975BE">
        <w:rPr>
          <w:rFonts w:asciiTheme="minorHAnsi" w:hAnsiTheme="minorHAnsi" w:cstheme="minorHAnsi"/>
          <w:szCs w:val="24"/>
        </w:rPr>
        <w:t>relevant resolutions of the main conferences and assemblies of the three Sectors of ITU related to the topic of space-based telecommunication/ICT networks and services, including, among others, Resolution 22 (Rev. Dubai, 2023) of the World Radiocommunication Conference; Resolutions 11 (Rev. Baku, 2025), 37 (Rev. Baku, 2025), 77 (Rev. Baku, 2025)</w:t>
      </w:r>
      <w:r w:rsidRPr="006975BE">
        <w:rPr>
          <w:szCs w:val="24"/>
        </w:rPr>
        <w:t xml:space="preserve"> of the </w:t>
      </w:r>
      <w:r w:rsidRPr="006975BE">
        <w:rPr>
          <w:rFonts w:asciiTheme="minorHAnsi" w:hAnsiTheme="minorHAnsi" w:cstheme="minorHAnsi"/>
          <w:szCs w:val="24"/>
        </w:rPr>
        <w:t>World Telecommunication Development Conference, and Resolution 74 (Dubai, 2023) of the Radiocommunication Assembly;</w:t>
      </w:r>
    </w:p>
    <w:p w14:paraId="4365FC9A" w14:textId="77777777"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f)</w:t>
      </w:r>
      <w:r w:rsidRPr="006975BE">
        <w:rPr>
          <w:rFonts w:asciiTheme="minorHAnsi" w:hAnsiTheme="minorHAnsi" w:cstheme="minorHAnsi"/>
          <w:i/>
          <w:szCs w:val="24"/>
        </w:rPr>
        <w:tab/>
      </w:r>
      <w:r w:rsidRPr="006975BE">
        <w:rPr>
          <w:rFonts w:asciiTheme="minorHAnsi" w:hAnsiTheme="minorHAnsi" w:cstheme="minorHAnsi"/>
          <w:szCs w:val="24"/>
        </w:rPr>
        <w:t>relevant provisions of Article 18 of the Radio Regulations (Rev. Dubai, 2023);</w:t>
      </w:r>
    </w:p>
    <w:p w14:paraId="3A98785D" w14:textId="77777777" w:rsidR="00D5316E" w:rsidRPr="006975BE" w:rsidRDefault="00D5316E" w:rsidP="00D5316E">
      <w:pPr>
        <w:jc w:val="both"/>
        <w:rPr>
          <w:rFonts w:asciiTheme="minorHAnsi" w:hAnsiTheme="minorHAnsi" w:cstheme="minorHAnsi"/>
          <w:szCs w:val="24"/>
        </w:rPr>
      </w:pPr>
      <w:r w:rsidRPr="006975BE">
        <w:rPr>
          <w:rFonts w:asciiTheme="minorHAnsi" w:hAnsiTheme="minorHAnsi" w:cstheme="minorHAnsi"/>
          <w:i/>
          <w:szCs w:val="24"/>
        </w:rPr>
        <w:t>g)</w:t>
      </w:r>
      <w:r w:rsidRPr="006975BE">
        <w:rPr>
          <w:rFonts w:asciiTheme="minorHAnsi" w:hAnsiTheme="minorHAnsi" w:cstheme="minorHAnsi"/>
          <w:i/>
          <w:szCs w:val="24"/>
        </w:rPr>
        <w:tab/>
      </w:r>
      <w:r w:rsidRPr="006975BE">
        <w:rPr>
          <w:rFonts w:asciiTheme="minorHAnsi" w:hAnsiTheme="minorHAnsi" w:cstheme="minorHAnsi"/>
          <w:szCs w:val="24"/>
        </w:rPr>
        <w:t>relevant best practice guidelines developed under the Global Symposium for Regulators (</w:t>
      </w:r>
      <w:proofErr w:type="spellStart"/>
      <w:r w:rsidRPr="006975BE">
        <w:rPr>
          <w:rFonts w:asciiTheme="minorHAnsi" w:hAnsiTheme="minorHAnsi" w:cstheme="minorHAnsi"/>
          <w:szCs w:val="24"/>
        </w:rPr>
        <w:t>GSR</w:t>
      </w:r>
      <w:proofErr w:type="spellEnd"/>
      <w:r w:rsidRPr="006975BE">
        <w:rPr>
          <w:rFonts w:asciiTheme="minorHAnsi" w:hAnsiTheme="minorHAnsi" w:cstheme="minorHAnsi"/>
          <w:szCs w:val="24"/>
        </w:rPr>
        <w:t>),</w:t>
      </w:r>
    </w:p>
    <w:p w14:paraId="5FAA23A5"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considering</w:t>
      </w:r>
    </w:p>
    <w:p w14:paraId="1D264B28"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a)</w:t>
      </w:r>
      <w:r w:rsidRPr="006975BE">
        <w:rPr>
          <w:rFonts w:asciiTheme="minorHAnsi" w:eastAsia="Calibri" w:hAnsiTheme="minorHAnsi" w:cstheme="minorHAnsi"/>
          <w:i/>
          <w:szCs w:val="24"/>
          <w:lang w:eastAsia="zh-CN"/>
        </w:rPr>
        <w:tab/>
      </w:r>
      <w:r w:rsidRPr="006975BE">
        <w:rPr>
          <w:rFonts w:asciiTheme="minorHAnsi" w:hAnsiTheme="minorHAnsi" w:cstheme="minorHAnsi"/>
          <w:szCs w:val="24"/>
        </w:rPr>
        <w:t>that</w:t>
      </w:r>
      <w:r w:rsidRPr="006975BE">
        <w:rPr>
          <w:rFonts w:asciiTheme="minorHAnsi" w:eastAsia="Calibri" w:hAnsiTheme="minorHAnsi" w:cstheme="minorHAnsi"/>
          <w:szCs w:val="24"/>
          <w:lang w:eastAsia="zh-CN"/>
        </w:rPr>
        <w:t xml:space="preserve"> identifying and advocating tools and measures to accelerate </w:t>
      </w:r>
      <w:r w:rsidRPr="006975BE">
        <w:rPr>
          <w:rFonts w:asciiTheme="minorHAnsi" w:eastAsia="Aptos" w:hAnsiTheme="minorHAnsi" w:cstheme="minorHAnsi"/>
          <w:szCs w:val="24"/>
        </w:rPr>
        <w:t>space-based telecommunication/ICT networks and services can support global econom</w:t>
      </w:r>
      <w:r w:rsidRPr="006975BE">
        <w:rPr>
          <w:rFonts w:asciiTheme="minorHAnsi" w:eastAsia="Calibri" w:hAnsiTheme="minorHAnsi" w:cstheme="minorHAnsi"/>
          <w:szCs w:val="24"/>
          <w:lang w:eastAsia="zh-CN"/>
        </w:rPr>
        <w:t>ic prosperity, improve digital inclusion, and address disparities in access to space-based technologies;</w:t>
      </w:r>
    </w:p>
    <w:p w14:paraId="611E0BAE"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b)</w:t>
      </w:r>
      <w:r w:rsidRPr="006975BE">
        <w:rPr>
          <w:rFonts w:asciiTheme="minorHAnsi" w:eastAsia="Calibri" w:hAnsiTheme="minorHAnsi" w:cstheme="minorHAnsi"/>
          <w:i/>
          <w:szCs w:val="24"/>
          <w:lang w:eastAsia="zh-CN"/>
        </w:rPr>
        <w:tab/>
      </w:r>
      <w:r w:rsidRPr="006975BE">
        <w:rPr>
          <w:rFonts w:asciiTheme="minorHAnsi" w:eastAsia="Aptos" w:hAnsiTheme="minorHAnsi" w:cstheme="minorHAnsi"/>
          <w:szCs w:val="24"/>
        </w:rPr>
        <w:t>that strengthening tools and platforms for effective international cooperation with regards to the Radio Regulations are essential to enabling inclusive participation in space-based</w:t>
      </w:r>
      <w:r w:rsidRPr="006975BE">
        <w:rPr>
          <w:rFonts w:asciiTheme="minorHAnsi" w:eastAsia="Calibri" w:hAnsiTheme="minorHAnsi" w:cstheme="minorHAnsi"/>
          <w:szCs w:val="24"/>
          <w:lang w:eastAsia="zh-CN"/>
        </w:rPr>
        <w:t xml:space="preserve"> telecommunication/ICT;</w:t>
      </w:r>
    </w:p>
    <w:p w14:paraId="58B2FD5B"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c)</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 xml:space="preserve">that </w:t>
      </w:r>
      <w:r w:rsidRPr="006975BE">
        <w:rPr>
          <w:rFonts w:asciiTheme="minorHAnsi" w:eastAsia="Aptos" w:hAnsiTheme="minorHAnsi" w:cstheme="minorHAnsi"/>
          <w:szCs w:val="24"/>
        </w:rPr>
        <w:t>innovative approaches for addressing the impacts of space-based telecommunications/ICTs related debris can help support long-term continuity of space-based teleco</w:t>
      </w:r>
      <w:r w:rsidRPr="006975BE">
        <w:rPr>
          <w:rFonts w:asciiTheme="minorHAnsi" w:eastAsia="Calibri" w:hAnsiTheme="minorHAnsi" w:cstheme="minorHAnsi"/>
          <w:szCs w:val="24"/>
          <w:lang w:eastAsia="zh-CN"/>
        </w:rPr>
        <w:t>mmunication/ICT services;</w:t>
      </w:r>
    </w:p>
    <w:p w14:paraId="65AE8285"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d)</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governments face both opportunities and challenges in harnessing space-based telecommunication/ICT networks and services, and that their role is crucial in shaping policies that foster innovation while ensuring the responsible use of radio frequency spectrum and associated satellite orbits;</w:t>
      </w:r>
    </w:p>
    <w:p w14:paraId="72D208D2"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e)</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the ITU Constitution recognizes the sovereign right of each Member State to regulate its telecommunications, both terrestrial and space-based;</w:t>
      </w:r>
    </w:p>
    <w:p w14:paraId="7EA95EB1"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lastRenderedPageBreak/>
        <w:t>f)</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ITU initiatives such as the Space Sustainability Forum are designed as opportunities to present, discuss good, practices, guidelines, and strategies necessary to ensure that space remains accessible and sustainable for both current and future space activities,</w:t>
      </w:r>
    </w:p>
    <w:p w14:paraId="42A296A0"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recognising</w:t>
      </w:r>
    </w:p>
    <w:p w14:paraId="7279485F"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a)</w:t>
      </w:r>
      <w:r w:rsidRPr="006975BE">
        <w:rPr>
          <w:rFonts w:asciiTheme="minorHAnsi" w:eastAsia="Aptos" w:hAnsiTheme="minorHAnsi" w:cstheme="minorHAnsi"/>
          <w:i/>
          <w:szCs w:val="24"/>
        </w:rPr>
        <w:tab/>
      </w:r>
      <w:r w:rsidRPr="006975BE">
        <w:rPr>
          <w:rFonts w:asciiTheme="minorHAnsi" w:hAnsiTheme="minorHAnsi" w:cstheme="minorHAnsi"/>
          <w:szCs w:val="24"/>
          <w:lang w:eastAsia="zh-CN"/>
        </w:rPr>
        <w:t>that the p</w:t>
      </w:r>
      <w:r w:rsidRPr="006975BE">
        <w:rPr>
          <w:rFonts w:asciiTheme="minorHAnsi" w:eastAsia="Aptos" w:hAnsiTheme="minorHAnsi" w:cstheme="minorHAnsi"/>
          <w:szCs w:val="24"/>
        </w:rPr>
        <w:t xml:space="preserve">rivate sector has a leading role in deploying space-based telecommunication/ICT networks and </w:t>
      </w:r>
      <w:r w:rsidRPr="006975BE">
        <w:rPr>
          <w:rFonts w:asciiTheme="minorHAnsi" w:eastAsia="Calibri" w:hAnsiTheme="minorHAnsi" w:cstheme="minorHAnsi"/>
          <w:szCs w:val="24"/>
          <w:lang w:eastAsia="zh-CN"/>
        </w:rPr>
        <w:t>services</w:t>
      </w:r>
      <w:r w:rsidRPr="006975BE">
        <w:rPr>
          <w:rFonts w:asciiTheme="minorHAnsi" w:eastAsia="Aptos" w:hAnsiTheme="minorHAnsi" w:cstheme="minorHAnsi"/>
          <w:szCs w:val="24"/>
        </w:rPr>
        <w:t>, and that it continues to develop technological innovations and creative business models alongside other stakeholders including government, academia, and civil society;</w:t>
      </w:r>
    </w:p>
    <w:p w14:paraId="31DA52F5" w14:textId="587D9B56"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b)</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space-based telecommunication/ICT networks and services, including satellites in geostationary orbit (GSO) and non-geostationary orbit (non-GSO), have an ability to help in bridging the digital divides by provide connectivity in wide geographical areas with potential deployment cost-savings due to a reduced need for ground infrastructure, providing a resilient solution for connectivity to people in low population density areas including underserved regions, especially in least developed countries (</w:t>
      </w:r>
      <w:proofErr w:type="spellStart"/>
      <w:r w:rsidRPr="006975BE">
        <w:rPr>
          <w:rFonts w:asciiTheme="minorHAnsi" w:eastAsia="Aptos" w:hAnsiTheme="minorHAnsi" w:cstheme="minorHAnsi"/>
          <w:szCs w:val="24"/>
        </w:rPr>
        <w:t>LDCs</w:t>
      </w:r>
      <w:proofErr w:type="spellEnd"/>
      <w:r w:rsidRPr="006975BE">
        <w:rPr>
          <w:rFonts w:asciiTheme="minorHAnsi" w:eastAsia="Aptos" w:hAnsiTheme="minorHAnsi" w:cstheme="minorHAnsi"/>
          <w:szCs w:val="24"/>
        </w:rPr>
        <w:t xml:space="preserve">), </w:t>
      </w:r>
      <w:r w:rsidRPr="006975BE">
        <w:rPr>
          <w:rFonts w:asciiTheme="minorHAnsi" w:eastAsiaTheme="minorEastAsia" w:hAnsiTheme="minorHAnsi" w:cstheme="minorHAnsi"/>
          <w:szCs w:val="24"/>
          <w:lang w:eastAsia="zh-CN"/>
        </w:rPr>
        <w:t>landlocked developing countries</w:t>
      </w:r>
      <w:r w:rsidRPr="006975BE">
        <w:rPr>
          <w:rFonts w:asciiTheme="minorHAnsi" w:eastAsia="Aptos" w:hAnsiTheme="minorHAnsi" w:cstheme="minorHAnsi"/>
          <w:szCs w:val="24"/>
        </w:rPr>
        <w:t xml:space="preserve"> (</w:t>
      </w:r>
      <w:proofErr w:type="spellStart"/>
      <w:r w:rsidRPr="006975BE">
        <w:rPr>
          <w:rFonts w:asciiTheme="minorHAnsi" w:eastAsia="Aptos" w:hAnsiTheme="minorHAnsi" w:cstheme="minorHAnsi"/>
          <w:szCs w:val="24"/>
        </w:rPr>
        <w:t>LLDCs</w:t>
      </w:r>
      <w:proofErr w:type="spellEnd"/>
      <w:r w:rsidRPr="006975BE">
        <w:rPr>
          <w:rFonts w:asciiTheme="minorHAnsi" w:eastAsia="Aptos" w:hAnsiTheme="minorHAnsi" w:cstheme="minorHAnsi"/>
          <w:szCs w:val="24"/>
        </w:rPr>
        <w:t xml:space="preserve">), and </w:t>
      </w:r>
      <w:r w:rsidRPr="006975BE">
        <w:rPr>
          <w:rFonts w:asciiTheme="minorHAnsi" w:eastAsiaTheme="minorEastAsia" w:hAnsiTheme="minorHAnsi" w:cstheme="minorHAnsi"/>
          <w:szCs w:val="24"/>
          <w:lang w:eastAsia="zh-CN"/>
        </w:rPr>
        <w:t>small island developing States</w:t>
      </w:r>
      <w:r w:rsidRPr="006975BE">
        <w:rPr>
          <w:rFonts w:asciiTheme="minorHAnsi" w:eastAsia="Aptos" w:hAnsiTheme="minorHAnsi" w:cstheme="minorHAnsi"/>
          <w:szCs w:val="24"/>
        </w:rPr>
        <w:t xml:space="preserve"> (SIDS);</w:t>
      </w:r>
    </w:p>
    <w:p w14:paraId="1FAD50F4"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c)</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space-based telecommunication/ICT networks and services used by both non-GSO and GSO systems are rapidly evolving, and that the complementarity of the two systems is one of the key opportunities for expanding connectivity;</w:t>
      </w:r>
      <w:bookmarkStart w:id="13" w:name="_Hlk175572783"/>
    </w:p>
    <w:p w14:paraId="57077336"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d)</w:t>
      </w:r>
      <w:r w:rsidRPr="006975BE">
        <w:rPr>
          <w:rFonts w:asciiTheme="minorHAnsi" w:eastAsia="Aptos" w:hAnsiTheme="minorHAnsi" w:cstheme="minorHAnsi"/>
          <w:i/>
          <w:szCs w:val="24"/>
        </w:rPr>
        <w:tab/>
      </w:r>
      <w:r w:rsidRPr="006975BE">
        <w:rPr>
          <w:rFonts w:asciiTheme="minorHAnsi" w:eastAsia="Aptos" w:hAnsiTheme="minorHAnsi" w:cstheme="minorHAnsi"/>
          <w:szCs w:val="24"/>
        </w:rPr>
        <w:t xml:space="preserve">that industry good practices, combined with enabling forward-ward leaning policy frameworks, contribute to maximizing the potential of space-based </w:t>
      </w:r>
      <w:bookmarkEnd w:id="13"/>
      <w:r w:rsidRPr="006975BE">
        <w:rPr>
          <w:rFonts w:asciiTheme="minorHAnsi" w:eastAsia="Aptos" w:hAnsiTheme="minorHAnsi" w:cstheme="minorHAnsi"/>
          <w:szCs w:val="24"/>
        </w:rPr>
        <w:t>telecommunication/ICT networks and services;</w:t>
      </w:r>
    </w:p>
    <w:p w14:paraId="53DBBEE6"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e)</w:t>
      </w:r>
      <w:r w:rsidRPr="006975BE">
        <w:rPr>
          <w:rFonts w:asciiTheme="minorHAnsi" w:eastAsia="Aptos" w:hAnsiTheme="minorHAnsi" w:cstheme="minorHAnsi"/>
          <w:i/>
          <w:szCs w:val="24"/>
        </w:rPr>
        <w:tab/>
      </w:r>
      <w:r w:rsidRPr="006975BE">
        <w:rPr>
          <w:rFonts w:asciiTheme="minorHAnsi" w:eastAsia="Aptos" w:hAnsiTheme="minorHAnsi" w:cstheme="minorHAnsi"/>
          <w:szCs w:val="24"/>
        </w:rPr>
        <w:t xml:space="preserve">that capacity-building efforts, including the sharing of best practices and events such as the Global Symposium for Regulators and with the recent development of the </w:t>
      </w:r>
      <w:proofErr w:type="spellStart"/>
      <w:r w:rsidRPr="006975BE">
        <w:rPr>
          <w:rFonts w:asciiTheme="minorHAnsi" w:eastAsia="Aptos" w:hAnsiTheme="minorHAnsi" w:cstheme="minorHAnsi"/>
          <w:szCs w:val="24"/>
        </w:rPr>
        <w:t>GSR</w:t>
      </w:r>
      <w:proofErr w:type="spellEnd"/>
      <w:r w:rsidRPr="006975BE">
        <w:rPr>
          <w:rFonts w:asciiTheme="minorHAnsi" w:eastAsia="Aptos" w:hAnsiTheme="minorHAnsi" w:cstheme="minorHAnsi"/>
          <w:szCs w:val="24"/>
        </w:rPr>
        <w:t xml:space="preserve">-24 and </w:t>
      </w:r>
      <w:proofErr w:type="spellStart"/>
      <w:r w:rsidRPr="006975BE">
        <w:rPr>
          <w:rFonts w:asciiTheme="minorHAnsi" w:eastAsia="Aptos" w:hAnsiTheme="minorHAnsi" w:cstheme="minorHAnsi"/>
          <w:szCs w:val="24"/>
        </w:rPr>
        <w:t>GSR</w:t>
      </w:r>
      <w:proofErr w:type="spellEnd"/>
      <w:r w:rsidRPr="006975BE">
        <w:rPr>
          <w:rFonts w:asciiTheme="minorHAnsi" w:eastAsia="Aptos" w:hAnsiTheme="minorHAnsi" w:cstheme="minorHAnsi"/>
          <w:szCs w:val="24"/>
        </w:rPr>
        <w:t>-25 Best Practice Guidelines, can help countries keep pace with the rapid deployment of space-based telecommunication/ICT networks and services can help inform administrations evolving national regulatory approaches as countries address issues such as licensing and security;</w:t>
      </w:r>
    </w:p>
    <w:p w14:paraId="3037670E"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f)</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equitable access to space-based telecommunication/ICT networks and services calls for reflection on challenges still to be addressed such as space-based telecommunications/ ICT</w:t>
      </w:r>
      <w:r w:rsidRPr="006975BE">
        <w:rPr>
          <w:rFonts w:asciiTheme="minorHAnsi" w:eastAsia="Aptos" w:hAnsiTheme="minorHAnsi" w:cstheme="minorHAnsi"/>
          <w:szCs w:val="24"/>
        </w:rPr>
        <w:noBreakHyphen/>
        <w:t xml:space="preserve">related resources utilization; </w:t>
      </w:r>
    </w:p>
    <w:p w14:paraId="58795455"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g)</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the ITU has a specific mandate over telecommunications/ICTs, including space-based telecommunication/ICT networks and services, that complements competencies within the wider United Nations system and that efforts need to be coordinated to avoid duplication of efforts across agencies;</w:t>
      </w:r>
    </w:p>
    <w:p w14:paraId="41A52F53" w14:textId="77777777" w:rsidR="00D81A39" w:rsidRPr="006975BE" w:rsidRDefault="00D81A39" w:rsidP="00D81A39">
      <w:pPr>
        <w:jc w:val="both"/>
        <w:rPr>
          <w:rFonts w:asciiTheme="minorHAnsi" w:eastAsia="Aptos" w:hAnsiTheme="minorHAnsi" w:cstheme="minorHAnsi"/>
          <w:szCs w:val="24"/>
        </w:rPr>
      </w:pPr>
      <w:r w:rsidRPr="006975BE">
        <w:rPr>
          <w:rFonts w:asciiTheme="minorHAnsi" w:eastAsia="Aptos" w:hAnsiTheme="minorHAnsi" w:cstheme="minorHAnsi"/>
          <w:i/>
          <w:szCs w:val="24"/>
        </w:rPr>
        <w:t>h)</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space connectivity can strengthen national resilience and disaster response when integrated into national emergency telecommunications plans,</w:t>
      </w:r>
    </w:p>
    <w:p w14:paraId="791552F3"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is of the view</w:t>
      </w:r>
    </w:p>
    <w:p w14:paraId="421C1F46"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r>
      <w:r w:rsidRPr="006975BE">
        <w:rPr>
          <w:rFonts w:asciiTheme="minorHAnsi" w:hAnsiTheme="minorHAnsi" w:cstheme="minorHAnsi"/>
          <w:szCs w:val="24"/>
          <w:lang w:eastAsia="zh-CN"/>
        </w:rPr>
        <w:t xml:space="preserve">that </w:t>
      </w:r>
      <w:r w:rsidRPr="006975BE">
        <w:rPr>
          <w:rFonts w:asciiTheme="minorHAnsi" w:eastAsia="Calibri" w:hAnsiTheme="minorHAnsi" w:cstheme="minorHAnsi"/>
          <w:szCs w:val="24"/>
          <w:lang w:eastAsia="zh-CN"/>
        </w:rPr>
        <w:t>the</w:t>
      </w:r>
      <w:r w:rsidRPr="006975BE">
        <w:rPr>
          <w:rFonts w:asciiTheme="minorHAnsi" w:hAnsiTheme="minorHAnsi" w:cstheme="minorHAnsi"/>
          <w:szCs w:val="24"/>
          <w:lang w:eastAsia="zh-CN"/>
        </w:rPr>
        <w:t xml:space="preserve"> promotion and use of space-based telecommunication/ICT network</w:t>
      </w:r>
      <w:r w:rsidRPr="006975BE">
        <w:rPr>
          <w:rFonts w:asciiTheme="minorHAnsi" w:hAnsiTheme="minorHAnsi" w:cstheme="minorHAnsi"/>
          <w:szCs w:val="24"/>
        </w:rPr>
        <w:t>s and services</w:t>
      </w:r>
      <w:r w:rsidRPr="006975BE">
        <w:rPr>
          <w:rFonts w:asciiTheme="minorHAnsi" w:eastAsia="Calibri" w:hAnsiTheme="minorHAnsi" w:cstheme="minorHAnsi"/>
          <w:szCs w:val="24"/>
        </w:rPr>
        <w:t>,</w:t>
      </w:r>
      <w:r w:rsidRPr="006975BE">
        <w:rPr>
          <w:rFonts w:asciiTheme="minorHAnsi" w:eastAsia="Calibri" w:hAnsiTheme="minorHAnsi" w:cstheme="minorHAnsi"/>
          <w:szCs w:val="24"/>
          <w:lang w:eastAsia="zh-CN"/>
        </w:rPr>
        <w:t xml:space="preserve"> </w:t>
      </w:r>
      <w:r w:rsidRPr="006975BE">
        <w:rPr>
          <w:rFonts w:asciiTheme="minorHAnsi" w:hAnsiTheme="minorHAnsi" w:cstheme="minorHAnsi"/>
          <w:szCs w:val="24"/>
          <w:lang w:eastAsia="zh-CN"/>
        </w:rPr>
        <w:t xml:space="preserve">independently or </w:t>
      </w:r>
      <w:r w:rsidRPr="006975BE">
        <w:rPr>
          <w:rFonts w:asciiTheme="minorHAnsi" w:hAnsiTheme="minorHAnsi" w:cstheme="minorHAnsi"/>
          <w:szCs w:val="24"/>
        </w:rPr>
        <w:t>together, where appropriate,</w:t>
      </w:r>
      <w:r w:rsidRPr="006975BE">
        <w:rPr>
          <w:rFonts w:asciiTheme="minorHAnsi" w:eastAsia="Aptos" w:hAnsiTheme="minorHAnsi" w:cstheme="minorHAnsi"/>
          <w:szCs w:val="24"/>
        </w:rPr>
        <w:t xml:space="preserve"> </w:t>
      </w:r>
      <w:r w:rsidRPr="006975BE">
        <w:rPr>
          <w:rFonts w:asciiTheme="minorHAnsi" w:eastAsia="Calibri" w:hAnsiTheme="minorHAnsi" w:cstheme="minorHAnsi"/>
          <w:szCs w:val="24"/>
          <w:lang w:eastAsia="zh-CN"/>
        </w:rPr>
        <w:t xml:space="preserve">with terrestrial networks and services, can contribute to </w:t>
      </w:r>
      <w:r w:rsidRPr="006975BE">
        <w:rPr>
          <w:rFonts w:asciiTheme="minorHAnsi" w:hAnsiTheme="minorHAnsi" w:cstheme="minorHAnsi"/>
          <w:szCs w:val="24"/>
        </w:rPr>
        <w:t xml:space="preserve">sustainable, social and economic development and particularly for underserved areas, including in </w:t>
      </w:r>
      <w:proofErr w:type="spellStart"/>
      <w:r w:rsidRPr="006975BE">
        <w:rPr>
          <w:rFonts w:asciiTheme="minorHAnsi" w:hAnsiTheme="minorHAnsi" w:cstheme="minorHAnsi"/>
          <w:szCs w:val="24"/>
        </w:rPr>
        <w:t>LDCs</w:t>
      </w:r>
      <w:proofErr w:type="spellEnd"/>
      <w:r w:rsidRPr="006975BE">
        <w:rPr>
          <w:rFonts w:asciiTheme="minorHAnsi" w:hAnsiTheme="minorHAnsi" w:cstheme="minorHAnsi"/>
          <w:szCs w:val="24"/>
        </w:rPr>
        <w:t xml:space="preserve">, </w:t>
      </w:r>
      <w:proofErr w:type="spellStart"/>
      <w:r w:rsidRPr="006975BE">
        <w:rPr>
          <w:rFonts w:asciiTheme="minorHAnsi" w:hAnsiTheme="minorHAnsi" w:cstheme="minorHAnsi"/>
          <w:szCs w:val="24"/>
        </w:rPr>
        <w:t>LLDCs</w:t>
      </w:r>
      <w:proofErr w:type="spellEnd"/>
      <w:r w:rsidRPr="006975BE">
        <w:rPr>
          <w:rFonts w:asciiTheme="minorHAnsi" w:hAnsiTheme="minorHAnsi" w:cstheme="minorHAnsi"/>
          <w:szCs w:val="24"/>
        </w:rPr>
        <w:t xml:space="preserve">, and SIDS for ensuring long term benefits and addressing emerging challenges; </w:t>
      </w:r>
    </w:p>
    <w:p w14:paraId="4BE8A8F4" w14:textId="77777777" w:rsidR="00D81A39" w:rsidRPr="006975BE" w:rsidRDefault="00D81A39" w:rsidP="00D81A39">
      <w:pPr>
        <w:widowControl w:val="0"/>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 xml:space="preserve">that an enabling environment based on transparent, stable, updated, policies and regulatory frameworks support investment in, and access to, space-based telecommunication/ICT </w:t>
      </w:r>
      <w:r w:rsidRPr="006975BE">
        <w:rPr>
          <w:rFonts w:asciiTheme="minorHAnsi" w:hAnsiTheme="minorHAnsi" w:cstheme="minorHAnsi"/>
          <w:szCs w:val="24"/>
        </w:rPr>
        <w:lastRenderedPageBreak/>
        <w:t xml:space="preserve">networks and services; </w:t>
      </w:r>
    </w:p>
    <w:p w14:paraId="37A68164"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 xml:space="preserve">that adopting technologically neutral approaches to connectivity targets benefit consumer’s choice and provides flexibility to choose the most suitable solution; </w:t>
      </w:r>
    </w:p>
    <w:p w14:paraId="09BEB0A0"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that administrations may find it beneficial to consider updating regulatory policies and measures, if they deem appropriate, to adapt to innovation, in the deployment and development of space-based telecommunication/ICT satellite networks and services, encouraging industry participation and conditions that allow space based and terrestrial services to develop;</w:t>
      </w:r>
    </w:p>
    <w:p w14:paraId="738A8EB0"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that global partnerships and international cooperation with other UN agencies, international organizations, and stakeholders are essential to promote Member State engagement in space communication activities, particularly for developing countries, contributing towards achieving the SDGs, without prejudice to national priorities and approaches;</w:t>
      </w:r>
    </w:p>
    <w:p w14:paraId="2590E85B"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that exploring avenues for international cooperation, knowledge exchange initiatives, can facilitate equitable opportunities presented by space-based telecommunication/ICT applications and services;</w:t>
      </w:r>
    </w:p>
    <w:p w14:paraId="432EAC9F"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that support for research and innovation may contribute to the long-term sustainability of space-based telecommunication/ICT activities, fostering collaboration among concerned entities, within their mandates, and multistakeholder cooperation, including industry;</w:t>
      </w:r>
    </w:p>
    <w:p w14:paraId="70A12720"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that public and private sector investment in space-based telecommunications/ICTs plays an important role in in expanding connectivity, and addressing barriers to investment can foster innovation and accelerate access to connectivity,</w:t>
      </w:r>
    </w:p>
    <w:p w14:paraId="7166EEE2"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invites Member States</w:t>
      </w:r>
    </w:p>
    <w:p w14:paraId="14E74279" w14:textId="77777777" w:rsidR="00D81A39" w:rsidRPr="006975BE" w:rsidRDefault="00D81A39" w:rsidP="00D81A39">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r>
      <w:r w:rsidRPr="006975BE">
        <w:rPr>
          <w:rFonts w:asciiTheme="minorHAnsi" w:eastAsia="Calibri" w:hAnsiTheme="minorHAnsi" w:cstheme="minorHAnsi"/>
          <w:szCs w:val="24"/>
          <w:lang w:eastAsia="zh-CN"/>
        </w:rPr>
        <w:t xml:space="preserve">to </w:t>
      </w:r>
      <w:r w:rsidRPr="006975BE">
        <w:rPr>
          <w:rFonts w:asciiTheme="minorHAnsi" w:hAnsiTheme="minorHAnsi" w:cstheme="minorHAnsi"/>
          <w:szCs w:val="24"/>
        </w:rPr>
        <w:t xml:space="preserve">consider adopting policy and regulatory measures that facilitate access to space-based telecommunication/ICT networks and services as referred to in </w:t>
      </w:r>
      <w:r w:rsidRPr="006975BE">
        <w:rPr>
          <w:rFonts w:asciiTheme="minorHAnsi" w:hAnsiTheme="minorHAnsi" w:cstheme="minorHAnsi"/>
          <w:i/>
          <w:iCs/>
          <w:szCs w:val="24"/>
        </w:rPr>
        <w:t>is of the view</w:t>
      </w:r>
      <w:r w:rsidRPr="006975BE">
        <w:rPr>
          <w:rFonts w:asciiTheme="minorHAnsi" w:hAnsiTheme="minorHAnsi" w:cstheme="minorHAnsi"/>
          <w:szCs w:val="24"/>
        </w:rPr>
        <w:t xml:space="preserve"> 4; </w:t>
      </w:r>
    </w:p>
    <w:p w14:paraId="06EDE4DE"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r>
      <w:r w:rsidRPr="006975BE">
        <w:rPr>
          <w:rFonts w:asciiTheme="minorHAnsi" w:hAnsiTheme="minorHAnsi" w:cstheme="minorHAnsi"/>
          <w:szCs w:val="24"/>
        </w:rPr>
        <w:t>to consider technologically inclusive approaches to connectivity targets, based on good practices that provide</w:t>
      </w:r>
      <w:r w:rsidRPr="006975BE">
        <w:rPr>
          <w:rFonts w:asciiTheme="minorHAnsi" w:eastAsia="Calibri" w:hAnsiTheme="minorHAnsi" w:cstheme="minorHAnsi"/>
          <w:szCs w:val="24"/>
          <w:lang w:eastAsia="zh-CN"/>
        </w:rPr>
        <w:t xml:space="preserve"> consumers and providers flexibility to choose the technology that best fits local needs,</w:t>
      </w:r>
    </w:p>
    <w:p w14:paraId="6F71C202" w14:textId="77777777" w:rsidR="00D81A39" w:rsidRPr="006975BE" w:rsidRDefault="00D81A39" w:rsidP="00D81A39">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invites Member States, Sector Members and other</w:t>
      </w:r>
      <w:r w:rsidRPr="006975BE">
        <w:rPr>
          <w:rFonts w:asciiTheme="minorHAnsi" w:eastAsia="Aptos" w:hAnsiTheme="minorHAnsi" w:cstheme="minorHAnsi"/>
          <w:szCs w:val="24"/>
        </w:rPr>
        <w:t xml:space="preserve"> </w:t>
      </w:r>
      <w:r w:rsidRPr="006975BE">
        <w:rPr>
          <w:rFonts w:asciiTheme="minorHAnsi" w:eastAsia="Calibri" w:hAnsiTheme="minorHAnsi" w:cstheme="minorHAnsi"/>
          <w:szCs w:val="24"/>
        </w:rPr>
        <w:t xml:space="preserve">stakeholders to work collaboratively </w:t>
      </w:r>
    </w:p>
    <w:p w14:paraId="7A2CAAC1"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1</w:t>
      </w:r>
      <w:r w:rsidRPr="006975BE">
        <w:rPr>
          <w:rFonts w:asciiTheme="minorHAnsi" w:eastAsia="Calibri" w:hAnsiTheme="minorHAnsi" w:cstheme="minorHAnsi"/>
          <w:szCs w:val="24"/>
          <w:lang w:eastAsia="zh-CN"/>
        </w:rPr>
        <w:tab/>
        <w:t xml:space="preserve">to consider actively participating in relevant international fora focused on space-based telecommunications/ICTs aimed at bridging the digital divides; </w:t>
      </w:r>
    </w:p>
    <w:p w14:paraId="1E9F9AD6"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t xml:space="preserve">to enhance global partnerships and strengthen cooperation to promote and harness space-based telecommunication/ICT networks and services for sustainable development; </w:t>
      </w:r>
    </w:p>
    <w:p w14:paraId="6C03CCCB" w14:textId="77777777" w:rsidR="00D81A39" w:rsidRPr="006975BE" w:rsidRDefault="00D81A39" w:rsidP="00D81A39">
      <w:pPr>
        <w:jc w:val="both"/>
        <w:rPr>
          <w:rFonts w:asciiTheme="minorHAnsi" w:eastAsia="Calibri" w:hAnsiTheme="minorHAnsi" w:cstheme="minorHAnsi"/>
          <w:szCs w:val="24"/>
          <w:lang w:eastAsia="zh-CN"/>
        </w:rPr>
      </w:pPr>
      <w:bookmarkStart w:id="14" w:name="_Hlk219985672"/>
      <w:r w:rsidRPr="006975BE">
        <w:rPr>
          <w:rFonts w:asciiTheme="minorHAnsi" w:eastAsia="Calibri" w:hAnsiTheme="minorHAnsi" w:cstheme="minorHAnsi"/>
          <w:szCs w:val="24"/>
          <w:lang w:eastAsia="zh-CN"/>
        </w:rPr>
        <w:t>3</w:t>
      </w:r>
      <w:r w:rsidRPr="006975BE">
        <w:rPr>
          <w:rFonts w:asciiTheme="minorHAnsi" w:eastAsia="Calibri" w:hAnsiTheme="minorHAnsi" w:cstheme="minorHAnsi"/>
          <w:szCs w:val="24"/>
          <w:lang w:eastAsia="zh-CN"/>
        </w:rPr>
        <w:tab/>
        <w:t xml:space="preserve">to promote collaboration and sharing of good practices on policy and regulatory frameworks for space-based telecommunication/ICT networks and services; </w:t>
      </w:r>
    </w:p>
    <w:bookmarkEnd w:id="14"/>
    <w:p w14:paraId="68D48BC5"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4</w:t>
      </w:r>
      <w:r w:rsidRPr="006975BE">
        <w:rPr>
          <w:rFonts w:asciiTheme="minorHAnsi" w:eastAsia="Calibri" w:hAnsiTheme="minorHAnsi" w:cstheme="minorHAnsi"/>
          <w:szCs w:val="24"/>
          <w:lang w:eastAsia="zh-CN"/>
        </w:rPr>
        <w:tab/>
        <w:t xml:space="preserve">to facilitate the collaboration between terrestrial network and non-terrestrial space-based telecommunication/ICT operators to take advantage of new and emerging telecommunication/ICT services and technologies; </w:t>
      </w:r>
    </w:p>
    <w:p w14:paraId="3D02E081"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5</w:t>
      </w:r>
      <w:r w:rsidRPr="006975BE">
        <w:rPr>
          <w:rFonts w:asciiTheme="minorHAnsi" w:eastAsia="Calibri" w:hAnsiTheme="minorHAnsi" w:cstheme="minorHAnsi"/>
          <w:szCs w:val="24"/>
          <w:lang w:eastAsia="zh-CN"/>
        </w:rPr>
        <w:tab/>
        <w:t>to strengthen policy and regulatory frameworks for development and deployment of space-based telecommunication/ICT networks and services,</w:t>
      </w:r>
    </w:p>
    <w:p w14:paraId="326B89D5" w14:textId="77777777" w:rsidR="00D81A39" w:rsidRPr="006975BE" w:rsidRDefault="00D81A39" w:rsidP="00D81A39">
      <w:pPr>
        <w:pStyle w:val="Call"/>
        <w:rPr>
          <w:rFonts w:asciiTheme="minorHAnsi" w:eastAsia="SimSun" w:hAnsiTheme="minorHAnsi" w:cstheme="minorHAnsi"/>
          <w:szCs w:val="24"/>
          <w:lang w:eastAsia="zh-CN"/>
        </w:rPr>
      </w:pPr>
      <w:r w:rsidRPr="006975BE">
        <w:rPr>
          <w:rFonts w:asciiTheme="minorHAnsi" w:eastAsia="Calibri" w:hAnsiTheme="minorHAnsi" w:cstheme="minorHAnsi"/>
          <w:szCs w:val="24"/>
        </w:rPr>
        <w:lastRenderedPageBreak/>
        <w:t xml:space="preserve">invites the Secretary-General, </w:t>
      </w:r>
      <w:r w:rsidRPr="006975BE">
        <w:rPr>
          <w:rFonts w:asciiTheme="minorHAnsi" w:eastAsia="SimSun" w:hAnsiTheme="minorHAnsi" w:cstheme="minorHAnsi"/>
          <w:szCs w:val="24"/>
        </w:rPr>
        <w:t>in close collaboration with the Directors of the</w:t>
      </w:r>
      <w:r w:rsidRPr="006975BE">
        <w:rPr>
          <w:rFonts w:asciiTheme="minorHAnsi" w:eastAsia="SimSun" w:hAnsiTheme="minorHAnsi" w:cstheme="minorHAnsi"/>
          <w:szCs w:val="24"/>
          <w:lang w:eastAsia="zh-CN"/>
        </w:rPr>
        <w:t xml:space="preserve"> Radiocommunication and Development Bureaux</w:t>
      </w:r>
    </w:p>
    <w:p w14:paraId="62938978"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1</w:t>
      </w:r>
      <w:r w:rsidRPr="006975BE">
        <w:rPr>
          <w:rFonts w:asciiTheme="minorHAnsi" w:eastAsia="Calibri" w:hAnsiTheme="minorHAnsi" w:cstheme="minorHAnsi"/>
          <w:szCs w:val="24"/>
          <w:lang w:eastAsia="zh-CN"/>
        </w:rPr>
        <w:tab/>
        <w:t xml:space="preserve">to continue to </w:t>
      </w:r>
      <w:r w:rsidRPr="006975BE">
        <w:rPr>
          <w:rFonts w:asciiTheme="minorHAnsi" w:hAnsiTheme="minorHAnsi" w:cstheme="minorHAnsi"/>
          <w:szCs w:val="24"/>
          <w:lang w:eastAsia="zh-CN"/>
        </w:rPr>
        <w:t xml:space="preserve">facilitate and strengthen ITU efforts to promote access to space-based </w:t>
      </w:r>
      <w:r w:rsidRPr="006975BE">
        <w:rPr>
          <w:rFonts w:asciiTheme="minorHAnsi" w:eastAsia="Calibri" w:hAnsiTheme="minorHAnsi" w:cstheme="minorHAnsi"/>
          <w:szCs w:val="24"/>
          <w:lang w:eastAsia="zh-CN"/>
        </w:rPr>
        <w:t>telecommunication/ICT networks and services as part of broader ITU efforts to achieve universal and meaningful connectivity and the sustainable use of outer space connectivity resources such as radio frequency spectrum and associated orbits by the telecommunication/ICT sector;</w:t>
      </w:r>
    </w:p>
    <w:p w14:paraId="510D994F" w14:textId="77777777" w:rsidR="00D81A39" w:rsidRPr="006975BE" w:rsidRDefault="00D81A39" w:rsidP="00D81A39">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t>to continue to support regulators and policy makers by capacity building through developing tools and resources, including case studies of modern good practices on space-based telecommunications/ICTs.</w:t>
      </w:r>
    </w:p>
    <w:p w14:paraId="051DD16F" w14:textId="3F6F227C" w:rsidR="00C64ED7" w:rsidRPr="006975BE" w:rsidRDefault="00C64ED7">
      <w:pPr>
        <w:tabs>
          <w:tab w:val="clear" w:pos="1134"/>
          <w:tab w:val="clear" w:pos="1701"/>
          <w:tab w:val="clear" w:pos="2268"/>
          <w:tab w:val="clear" w:pos="2835"/>
        </w:tabs>
        <w:overflowPunct/>
        <w:autoSpaceDE/>
        <w:autoSpaceDN/>
        <w:adjustRightInd/>
        <w:spacing w:before="0"/>
        <w:textAlignment w:val="auto"/>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br w:type="page"/>
      </w:r>
    </w:p>
    <w:p w14:paraId="63F846D8" w14:textId="77777777" w:rsidR="00C64ED7" w:rsidRPr="006975BE" w:rsidRDefault="00C64ED7" w:rsidP="00AB231B">
      <w:pPr>
        <w:pStyle w:val="OpNo"/>
      </w:pPr>
      <w:r w:rsidRPr="006975BE">
        <w:lastRenderedPageBreak/>
        <w:t>DRAFT OPINION 5</w:t>
      </w:r>
    </w:p>
    <w:p w14:paraId="46C2BD29" w14:textId="77777777" w:rsidR="00C64ED7" w:rsidRPr="006975BE" w:rsidRDefault="00C64ED7" w:rsidP="00AB231B">
      <w:pPr>
        <w:pStyle w:val="Optitle0"/>
      </w:pPr>
      <w:r w:rsidRPr="006975BE">
        <w:t>Strengthening ICT-centric innovation ecosystems and entrepreneurship</w:t>
      </w:r>
    </w:p>
    <w:p w14:paraId="767C17D2" w14:textId="77777777" w:rsidR="007C6225" w:rsidRPr="006975BE" w:rsidRDefault="007C6225" w:rsidP="007C6225">
      <w:pPr>
        <w:pStyle w:val="Normalaftertitle"/>
        <w:rPr>
          <w:rFonts w:asciiTheme="minorHAnsi" w:hAnsiTheme="minorHAnsi" w:cstheme="minorHAnsi"/>
          <w:szCs w:val="24"/>
        </w:rPr>
      </w:pPr>
      <w:r w:rsidRPr="006975BE">
        <w:rPr>
          <w:rFonts w:asciiTheme="minorHAnsi" w:hAnsiTheme="minorHAnsi" w:cstheme="minorHAnsi"/>
          <w:szCs w:val="24"/>
        </w:rPr>
        <w:t>The seventh World Telecommunication/ICT Policy Forum (Nassau, 2026),</w:t>
      </w:r>
    </w:p>
    <w:p w14:paraId="11AABBF8"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t>recalling</w:t>
      </w:r>
    </w:p>
    <w:p w14:paraId="5D565DC7" w14:textId="54352559" w:rsidR="00F02F75" w:rsidRPr="006975BE" w:rsidRDefault="00F02F75" w:rsidP="00F02F7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szCs w:val="24"/>
        </w:rPr>
        <w:t>a)</w:t>
      </w:r>
      <w:r w:rsidRPr="006975BE">
        <w:rPr>
          <w:rFonts w:asciiTheme="minorHAnsi" w:hAnsiTheme="minorHAnsi" w:cstheme="minorHAnsi"/>
          <w:i/>
          <w:szCs w:val="24"/>
        </w:rPr>
        <w:tab/>
      </w:r>
      <w:r w:rsidRPr="006975BE">
        <w:rPr>
          <w:rFonts w:asciiTheme="minorHAnsi" w:hAnsiTheme="minorHAnsi" w:cstheme="minorHAnsi"/>
          <w:szCs w:val="24"/>
        </w:rPr>
        <w:t>Resolution 80/173 of the United Nations General Assembly (UNGA), on the outcome document of the high-level meeting on the overall review of the implementation of the outcomes of the World Summit on the Information Society (</w:t>
      </w:r>
      <w:proofErr w:type="spellStart"/>
      <w:r w:rsidRPr="006975BE">
        <w:rPr>
          <w:rFonts w:asciiTheme="minorHAnsi" w:hAnsiTheme="minorHAnsi" w:cstheme="minorHAnsi"/>
          <w:szCs w:val="24"/>
        </w:rPr>
        <w:t>WSIS+20</w:t>
      </w:r>
      <w:proofErr w:type="spellEnd"/>
      <w:r w:rsidRPr="006975BE">
        <w:rPr>
          <w:rFonts w:asciiTheme="minorHAnsi" w:hAnsiTheme="minorHAnsi" w:cstheme="minorHAnsi"/>
          <w:szCs w:val="24"/>
        </w:rPr>
        <w:t>);</w:t>
      </w:r>
    </w:p>
    <w:p w14:paraId="555870C9" w14:textId="15E6B16F" w:rsidR="00F02F75" w:rsidRPr="006975BE" w:rsidRDefault="00F02F75" w:rsidP="00F02F7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lang w:val="en-US"/>
        </w:rPr>
        <w:t>b)</w:t>
      </w:r>
      <w:r w:rsidRPr="006975BE">
        <w:rPr>
          <w:rFonts w:asciiTheme="minorHAnsi" w:hAnsiTheme="minorHAnsi" w:cstheme="minorHAnsi"/>
          <w:szCs w:val="24"/>
          <w:lang w:val="en-US"/>
        </w:rPr>
        <w:tab/>
        <w:t xml:space="preserve">Resolution 79/1 of UNGA, on the Pact </w:t>
      </w:r>
      <w:r>
        <w:rPr>
          <w:rFonts w:asciiTheme="minorHAnsi" w:hAnsiTheme="minorHAnsi" w:cstheme="minorHAnsi"/>
          <w:szCs w:val="24"/>
          <w:lang w:val="en-US"/>
        </w:rPr>
        <w:t>o</w:t>
      </w:r>
      <w:r w:rsidRPr="006975BE">
        <w:rPr>
          <w:rFonts w:asciiTheme="minorHAnsi" w:hAnsiTheme="minorHAnsi" w:cstheme="minorHAnsi"/>
          <w:szCs w:val="24"/>
          <w:lang w:val="en-US"/>
        </w:rPr>
        <w:t>f the Future</w:t>
      </w:r>
      <w:r w:rsidRPr="006975BE">
        <w:rPr>
          <w:rFonts w:asciiTheme="minorHAnsi" w:hAnsiTheme="minorHAnsi" w:cstheme="minorHAnsi"/>
          <w:szCs w:val="24"/>
        </w:rPr>
        <w:t>;</w:t>
      </w:r>
    </w:p>
    <w:p w14:paraId="3CEBB286" w14:textId="626A56B1" w:rsidR="00F02F75" w:rsidRPr="006975BE" w:rsidRDefault="00F02F75" w:rsidP="00EB117C">
      <w:pPr>
        <w:tabs>
          <w:tab w:val="clear" w:pos="1134"/>
          <w:tab w:val="clear" w:pos="1701"/>
          <w:tab w:val="clear" w:pos="2268"/>
          <w:tab w:val="clear" w:pos="2835"/>
        </w:tabs>
        <w:overflowPunct/>
        <w:autoSpaceDE/>
        <w:autoSpaceDN/>
        <w:adjustRightInd/>
        <w:textAlignment w:val="auto"/>
        <w:rPr>
          <w:rFonts w:asciiTheme="minorHAnsi" w:hAnsiTheme="minorHAnsi" w:cstheme="minorHAnsi"/>
          <w:szCs w:val="24"/>
        </w:rPr>
      </w:pPr>
      <w:r w:rsidRPr="006975BE">
        <w:rPr>
          <w:rFonts w:asciiTheme="minorHAnsi" w:hAnsiTheme="minorHAnsi" w:cstheme="minorHAnsi"/>
          <w:i/>
          <w:szCs w:val="24"/>
        </w:rPr>
        <w:t>c)</w:t>
      </w:r>
      <w:r w:rsidRPr="006975BE">
        <w:rPr>
          <w:rFonts w:asciiTheme="minorHAnsi" w:hAnsiTheme="minorHAnsi" w:cstheme="minorHAnsi"/>
          <w:i/>
          <w:szCs w:val="24"/>
        </w:rPr>
        <w:tab/>
      </w:r>
      <w:r w:rsidRPr="006975BE">
        <w:rPr>
          <w:rFonts w:asciiTheme="minorHAnsi" w:hAnsiTheme="minorHAnsi" w:cstheme="minorHAnsi"/>
          <w:szCs w:val="24"/>
        </w:rPr>
        <w:t xml:space="preserve">Resolution 70/1 of UNGA, on transforming our world: the 2030 Agenda for Sustainable Development, in particular, Sustainable Development Goals 8, on </w:t>
      </w:r>
      <w:r>
        <w:rPr>
          <w:rFonts w:asciiTheme="minorHAnsi" w:hAnsiTheme="minorHAnsi" w:cstheme="minorHAnsi"/>
          <w:szCs w:val="24"/>
        </w:rPr>
        <w:t>p</w:t>
      </w:r>
      <w:r w:rsidRPr="007177B5">
        <w:rPr>
          <w:rFonts w:asciiTheme="minorHAnsi" w:hAnsiTheme="minorHAnsi" w:cstheme="minorHAnsi"/>
          <w:szCs w:val="24"/>
        </w:rPr>
        <w:t>romot</w:t>
      </w:r>
      <w:r>
        <w:rPr>
          <w:rFonts w:asciiTheme="minorHAnsi" w:hAnsiTheme="minorHAnsi" w:cstheme="minorHAnsi"/>
          <w:szCs w:val="24"/>
        </w:rPr>
        <w:t>ing</w:t>
      </w:r>
      <w:r w:rsidRPr="007177B5">
        <w:rPr>
          <w:rFonts w:asciiTheme="minorHAnsi" w:hAnsiTheme="minorHAnsi" w:cstheme="minorHAnsi"/>
          <w:szCs w:val="24"/>
        </w:rPr>
        <w:t xml:space="preserve"> sustained, inclusive and sustainable economic growth,</w:t>
      </w:r>
      <w:r>
        <w:rPr>
          <w:rFonts w:asciiTheme="minorHAnsi" w:hAnsiTheme="minorHAnsi" w:cstheme="minorHAnsi"/>
          <w:szCs w:val="24"/>
        </w:rPr>
        <w:t xml:space="preserve"> </w:t>
      </w:r>
      <w:r w:rsidRPr="007177B5">
        <w:rPr>
          <w:rFonts w:asciiTheme="minorHAnsi" w:hAnsiTheme="minorHAnsi" w:cstheme="minorHAnsi"/>
          <w:szCs w:val="24"/>
        </w:rPr>
        <w:t>full and productive employment and decent work for all</w:t>
      </w:r>
      <w:r w:rsidRPr="006975BE">
        <w:rPr>
          <w:rFonts w:asciiTheme="minorHAnsi" w:hAnsiTheme="minorHAnsi" w:cstheme="minorHAnsi"/>
          <w:szCs w:val="24"/>
        </w:rPr>
        <w:t xml:space="preserve">, and 9, on </w:t>
      </w:r>
      <w:r>
        <w:rPr>
          <w:rFonts w:asciiTheme="minorHAnsi" w:hAnsiTheme="minorHAnsi" w:cstheme="minorHAnsi"/>
          <w:szCs w:val="24"/>
        </w:rPr>
        <w:t>b</w:t>
      </w:r>
      <w:r w:rsidRPr="007177B5">
        <w:rPr>
          <w:rFonts w:asciiTheme="minorHAnsi" w:hAnsiTheme="minorHAnsi" w:cstheme="minorHAnsi"/>
          <w:szCs w:val="24"/>
        </w:rPr>
        <w:t>uild</w:t>
      </w:r>
      <w:r>
        <w:rPr>
          <w:rFonts w:asciiTheme="minorHAnsi" w:hAnsiTheme="minorHAnsi" w:cstheme="minorHAnsi"/>
          <w:szCs w:val="24"/>
        </w:rPr>
        <w:t>ing</w:t>
      </w:r>
      <w:r w:rsidRPr="007177B5">
        <w:rPr>
          <w:rFonts w:asciiTheme="minorHAnsi" w:hAnsiTheme="minorHAnsi" w:cstheme="minorHAnsi"/>
          <w:szCs w:val="24"/>
        </w:rPr>
        <w:t xml:space="preserve"> resilient infrastructure, promot</w:t>
      </w:r>
      <w:r>
        <w:rPr>
          <w:rFonts w:asciiTheme="minorHAnsi" w:hAnsiTheme="minorHAnsi" w:cstheme="minorHAnsi"/>
          <w:szCs w:val="24"/>
        </w:rPr>
        <w:t>ing</w:t>
      </w:r>
      <w:r w:rsidRPr="007177B5">
        <w:rPr>
          <w:rFonts w:asciiTheme="minorHAnsi" w:hAnsiTheme="minorHAnsi" w:cstheme="minorHAnsi"/>
          <w:szCs w:val="24"/>
        </w:rPr>
        <w:t xml:space="preserve"> inclusive and sustainable</w:t>
      </w:r>
      <w:r>
        <w:rPr>
          <w:rFonts w:asciiTheme="minorHAnsi" w:hAnsiTheme="minorHAnsi" w:cstheme="minorHAnsi"/>
          <w:szCs w:val="24"/>
        </w:rPr>
        <w:t xml:space="preserve"> </w:t>
      </w:r>
      <w:r w:rsidRPr="007177B5">
        <w:rPr>
          <w:rFonts w:asciiTheme="minorHAnsi" w:hAnsiTheme="minorHAnsi" w:cstheme="minorHAnsi"/>
          <w:szCs w:val="24"/>
        </w:rPr>
        <w:t>industrialization and foster</w:t>
      </w:r>
      <w:r>
        <w:rPr>
          <w:rFonts w:asciiTheme="minorHAnsi" w:hAnsiTheme="minorHAnsi" w:cstheme="minorHAnsi"/>
          <w:szCs w:val="24"/>
        </w:rPr>
        <w:t>ing</w:t>
      </w:r>
      <w:r w:rsidRPr="007177B5">
        <w:rPr>
          <w:rFonts w:asciiTheme="minorHAnsi" w:hAnsiTheme="minorHAnsi" w:cstheme="minorHAnsi"/>
          <w:szCs w:val="24"/>
        </w:rPr>
        <w:t xml:space="preserve"> innovation</w:t>
      </w:r>
      <w:r w:rsidRPr="006975BE">
        <w:rPr>
          <w:rFonts w:asciiTheme="minorHAnsi" w:hAnsiTheme="minorHAnsi" w:cstheme="minorHAnsi"/>
          <w:szCs w:val="24"/>
        </w:rPr>
        <w:t>;</w:t>
      </w:r>
    </w:p>
    <w:p w14:paraId="392CA0E9" w14:textId="77777777" w:rsidR="00F02F75" w:rsidRPr="006975BE" w:rsidRDefault="00F02F75" w:rsidP="00F02F7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d)</w:t>
      </w:r>
      <w:r w:rsidRPr="006975BE">
        <w:rPr>
          <w:rFonts w:asciiTheme="minorHAnsi" w:hAnsiTheme="minorHAnsi" w:cstheme="minorHAnsi"/>
          <w:i/>
          <w:szCs w:val="24"/>
        </w:rPr>
        <w:tab/>
      </w:r>
      <w:r w:rsidRPr="006975BE">
        <w:rPr>
          <w:rFonts w:asciiTheme="minorHAnsi" w:hAnsiTheme="minorHAnsi" w:cstheme="minorHAnsi"/>
          <w:szCs w:val="24"/>
        </w:rPr>
        <w:t>Resolution 198 (Rev. Bucharest, 2022) of the Plenipotentiary Conference, on empowerment of youth through telecommunication/information and communication technology (ICT);</w:t>
      </w:r>
    </w:p>
    <w:p w14:paraId="0025E982" w14:textId="77777777" w:rsidR="00F02F75" w:rsidRPr="006975BE" w:rsidRDefault="00F02F75" w:rsidP="00F02F7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e)</w:t>
      </w:r>
      <w:r w:rsidRPr="006975BE">
        <w:rPr>
          <w:rFonts w:asciiTheme="minorHAnsi" w:hAnsiTheme="minorHAnsi" w:cstheme="minorHAnsi"/>
          <w:i/>
          <w:szCs w:val="24"/>
        </w:rPr>
        <w:tab/>
      </w:r>
      <w:r w:rsidRPr="006975BE">
        <w:rPr>
          <w:rFonts w:asciiTheme="minorHAnsi" w:hAnsiTheme="minorHAnsi" w:cstheme="minorHAnsi"/>
          <w:szCs w:val="24"/>
        </w:rPr>
        <w:t>Resolution 205 (Rev. Bucharest, 2022) of the Plenipotentiary Conference, on the ITU's role in fostering telecommunication/ICT-centric innovation to support the digital economy and society;</w:t>
      </w:r>
    </w:p>
    <w:p w14:paraId="497BD20E" w14:textId="77777777" w:rsidR="00F02F75" w:rsidRPr="006975BE" w:rsidRDefault="00F02F75" w:rsidP="00F02F7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f)</w:t>
      </w:r>
      <w:r w:rsidRPr="006975BE">
        <w:rPr>
          <w:rFonts w:asciiTheme="minorHAnsi" w:hAnsiTheme="minorHAnsi" w:cstheme="minorHAnsi"/>
          <w:i/>
          <w:szCs w:val="24"/>
        </w:rPr>
        <w:tab/>
      </w:r>
      <w:r w:rsidRPr="006975BE">
        <w:rPr>
          <w:rFonts w:asciiTheme="minorHAnsi" w:hAnsiTheme="minorHAnsi" w:cstheme="minorHAnsi"/>
          <w:szCs w:val="24"/>
        </w:rPr>
        <w:t>Resolution 209 (Rev. Bucharest, 2022) of the Plenipotentiary Conference, on encouraging the participation of small and medium enterprises in the work of the Union,</w:t>
      </w:r>
    </w:p>
    <w:p w14:paraId="5B120F0A"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t>recognising</w:t>
      </w:r>
    </w:p>
    <w:p w14:paraId="5ED7E712"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a)</w:t>
      </w:r>
      <w:r w:rsidRPr="006975BE">
        <w:rPr>
          <w:rFonts w:asciiTheme="minorHAnsi" w:hAnsiTheme="minorHAnsi" w:cstheme="minorHAnsi"/>
          <w:i/>
          <w:iCs/>
          <w:szCs w:val="24"/>
        </w:rPr>
        <w:tab/>
      </w:r>
      <w:r w:rsidRPr="006975BE">
        <w:rPr>
          <w:rFonts w:asciiTheme="minorHAnsi" w:hAnsiTheme="minorHAnsi" w:cstheme="minorHAnsi"/>
          <w:szCs w:val="24"/>
          <w:lang w:val="en-US"/>
        </w:rPr>
        <w:t>that ICT-centric innovation ecosystems can foster socio-economic development and community revitalization, addressing environmental challenges, driving sustainable development while increasing inclusiveness, providing economies of scale, and bridging the digital divide;</w:t>
      </w:r>
    </w:p>
    <w:p w14:paraId="1BC881B9"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b)</w:t>
      </w:r>
      <w:r w:rsidRPr="006975BE">
        <w:rPr>
          <w:rFonts w:asciiTheme="minorHAnsi" w:hAnsiTheme="minorHAnsi" w:cstheme="minorHAnsi"/>
          <w:i/>
          <w:iCs/>
          <w:szCs w:val="24"/>
        </w:rPr>
        <w:tab/>
      </w:r>
      <w:r w:rsidRPr="006975BE">
        <w:rPr>
          <w:rFonts w:asciiTheme="minorHAnsi" w:hAnsiTheme="minorHAnsi" w:cstheme="minorHAnsi"/>
          <w:szCs w:val="24"/>
        </w:rPr>
        <w:t>that as digital natives, young people have important roles to play in ICT-centric innovation ecosystems and entrepreneurship;</w:t>
      </w:r>
    </w:p>
    <w:p w14:paraId="7625440F"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c)</w:t>
      </w:r>
      <w:r w:rsidRPr="006975BE">
        <w:rPr>
          <w:rFonts w:asciiTheme="minorHAnsi" w:hAnsiTheme="minorHAnsi" w:cstheme="minorHAnsi"/>
          <w:i/>
          <w:iCs/>
          <w:szCs w:val="24"/>
        </w:rPr>
        <w:tab/>
      </w:r>
      <w:r w:rsidRPr="006975BE">
        <w:rPr>
          <w:rFonts w:asciiTheme="minorHAnsi" w:hAnsiTheme="minorHAnsi" w:cstheme="minorHAnsi"/>
          <w:szCs w:val="24"/>
        </w:rPr>
        <w:t>that supporting ICT-centric innovation ecosystems and entrepreneurship, including through promoting an enabling environment, is key to digital transformation and digital inclusion;</w:t>
      </w:r>
    </w:p>
    <w:p w14:paraId="0EB0F9F3" w14:textId="65BD24E1"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t>d)</w:t>
      </w:r>
      <w:r w:rsidRPr="006975BE">
        <w:rPr>
          <w:rFonts w:asciiTheme="minorHAnsi" w:hAnsiTheme="minorHAnsi" w:cstheme="minorHAnsi"/>
          <w:i/>
          <w:iCs/>
          <w:szCs w:val="24"/>
          <w:lang w:val="en-US"/>
        </w:rPr>
        <w:tab/>
      </w:r>
      <w:r w:rsidRPr="006975BE">
        <w:rPr>
          <w:rFonts w:asciiTheme="minorHAnsi" w:hAnsiTheme="minorHAnsi" w:cstheme="minorHAnsi"/>
          <w:szCs w:val="24"/>
          <w:lang w:val="en-US"/>
        </w:rPr>
        <w:t>that start-up entrepreneurs and micro, small and medium enterprises (MSMEs), especially those from developing countries, unserved</w:t>
      </w:r>
      <w:r w:rsidRPr="006975BE">
        <w:rPr>
          <w:rFonts w:asciiTheme="minorHAnsi" w:hAnsiTheme="minorHAnsi" w:cstheme="minorHAnsi"/>
          <w:i/>
          <w:iCs/>
          <w:szCs w:val="24"/>
          <w:lang w:val="en-US"/>
        </w:rPr>
        <w:t>,</w:t>
      </w:r>
      <w:r w:rsidRPr="006975BE">
        <w:rPr>
          <w:rFonts w:asciiTheme="minorHAnsi" w:hAnsiTheme="minorHAnsi" w:cstheme="minorHAnsi"/>
          <w:szCs w:val="24"/>
          <w:lang w:val="en-US"/>
        </w:rPr>
        <w:t xml:space="preserve"> and underserved areas, may face challenges regarding ICT-centric innovation and these challenges should be addressed holistically;</w:t>
      </w:r>
    </w:p>
    <w:p w14:paraId="3671948D"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t>e)</w:t>
      </w:r>
      <w:r w:rsidRPr="006975BE">
        <w:rPr>
          <w:rFonts w:asciiTheme="minorHAnsi" w:hAnsiTheme="minorHAnsi" w:cstheme="minorHAnsi"/>
          <w:i/>
          <w:iCs/>
          <w:szCs w:val="24"/>
          <w:lang w:val="en-US"/>
        </w:rPr>
        <w:tab/>
      </w:r>
      <w:r w:rsidRPr="006975BE">
        <w:rPr>
          <w:rFonts w:asciiTheme="minorHAnsi" w:hAnsiTheme="minorHAnsi" w:cstheme="minorHAnsi"/>
          <w:spacing w:val="2"/>
          <w:szCs w:val="24"/>
          <w:lang w:val="en-US"/>
        </w:rPr>
        <w:t>that digital divides impose a core obstacle to telecommunication/ICT entrepreneurship and</w:t>
      </w:r>
      <w:r w:rsidRPr="006975BE">
        <w:rPr>
          <w:rFonts w:asciiTheme="minorHAnsi" w:hAnsiTheme="minorHAnsi" w:cstheme="minorHAnsi"/>
          <w:szCs w:val="24"/>
          <w:lang w:val="en-US"/>
        </w:rPr>
        <w:t xml:space="preserve"> ICT-centric innovation;</w:t>
      </w:r>
    </w:p>
    <w:p w14:paraId="3E5CC4AF"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t>f)</w:t>
      </w:r>
      <w:r w:rsidRPr="006975BE">
        <w:rPr>
          <w:rFonts w:asciiTheme="minorHAnsi" w:hAnsiTheme="minorHAnsi" w:cstheme="minorHAnsi"/>
          <w:i/>
          <w:iCs/>
          <w:szCs w:val="24"/>
          <w:lang w:val="en-US"/>
        </w:rPr>
        <w:tab/>
      </w:r>
      <w:r w:rsidRPr="006975BE">
        <w:rPr>
          <w:rFonts w:asciiTheme="minorHAnsi" w:hAnsiTheme="minorHAnsi" w:cstheme="minorHAnsi"/>
          <w:szCs w:val="24"/>
          <w:lang w:val="en-US"/>
        </w:rPr>
        <w:t>that ITU has been contributing to the sustainable development of the global digital economy through promoting the access to and development of telecommunications/ICT, advancing standardization of telecommunications/ICT, and fostering partnerships,</w:t>
      </w:r>
    </w:p>
    <w:p w14:paraId="07F230CA"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lastRenderedPageBreak/>
        <w:t>considering</w:t>
      </w:r>
    </w:p>
    <w:p w14:paraId="7146663C" w14:textId="77777777" w:rsidR="007C6225" w:rsidRPr="006975BE"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szCs w:val="24"/>
        </w:rPr>
        <w:t>that</w:t>
      </w:r>
      <w:r w:rsidRPr="006975BE">
        <w:rPr>
          <w:rFonts w:asciiTheme="minorHAnsi" w:hAnsiTheme="minorHAnsi" w:cstheme="minorHAnsi"/>
          <w:i/>
          <w:iCs/>
          <w:szCs w:val="24"/>
        </w:rPr>
        <w:t xml:space="preserve"> </w:t>
      </w:r>
      <w:r w:rsidRPr="006975BE">
        <w:rPr>
          <w:rFonts w:asciiTheme="minorHAnsi" w:hAnsiTheme="minorHAnsi" w:cstheme="minorHAnsi"/>
          <w:szCs w:val="24"/>
        </w:rPr>
        <w:t>stakeholders including governments, the private sector, civil society, the technical community and academia, and international organizations have important roles to play in an ecosystem which encourages and supports ICT-centric innovation and entrepreneurship,</w:t>
      </w:r>
    </w:p>
    <w:p w14:paraId="34CCF61F"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t>is of the view</w:t>
      </w:r>
    </w:p>
    <w:p w14:paraId="360AD383"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t>that telecommunications/ICTs are key enablers of entrepreneurship offering significant opportunities for growth, innovation, and sustainable development;</w:t>
      </w:r>
    </w:p>
    <w:p w14:paraId="586110AB" w14:textId="77777777" w:rsidR="007C6225" w:rsidRPr="007C6225" w:rsidRDefault="007C6225" w:rsidP="007C6225">
      <w:pPr>
        <w:jc w:val="both"/>
        <w:rPr>
          <w:rFonts w:asciiTheme="minorHAnsi" w:hAnsiTheme="minorHAnsi" w:cstheme="minorHAnsi"/>
          <w:spacing w:val="-2"/>
          <w:szCs w:val="24"/>
        </w:rPr>
      </w:pPr>
      <w:r w:rsidRPr="007C6225">
        <w:rPr>
          <w:rFonts w:asciiTheme="minorHAnsi" w:hAnsiTheme="minorHAnsi" w:cstheme="minorHAnsi"/>
          <w:spacing w:val="-2"/>
          <w:szCs w:val="24"/>
        </w:rPr>
        <w:t>2</w:t>
      </w:r>
      <w:r w:rsidRPr="007C6225">
        <w:rPr>
          <w:rFonts w:asciiTheme="minorHAnsi" w:hAnsiTheme="minorHAnsi" w:cstheme="minorHAnsi"/>
          <w:spacing w:val="-2"/>
          <w:szCs w:val="24"/>
        </w:rPr>
        <w:tab/>
        <w:t>that strengthening ICT-centric innovation ecosystems and entrepreneurship involves activating key factors such as access to capital, telecommunication/ICT and diverse digital skill sets, fostering public-private partnerships, including for financing; ensuring open and competitive markets that enable new players to enter, innovate, and grow; and streamlining regulatory frameworks;</w:t>
      </w:r>
    </w:p>
    <w:p w14:paraId="1EC96649"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that evidence based policymaking and transparent, and predictable regulatory frameworks that encourage digital transformation should be updated in line with best practices as these are essential for fostering ICT-centric innovation and entrepreneurship that benefit entrepreneurs and MSMEs, while facilitating collaboration with larger enterprises and their integration into innovation ecosystems;</w:t>
      </w:r>
    </w:p>
    <w:p w14:paraId="2F65C328"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that sustained efforts are essential to unlock the opportunities of the digital economy and telecommunication/ICT ecosystem, and to allow for greater participation and integration in digital transformation, whereby all stakeholders can contribute to creating a robust and flexible policy environment in the telecommunication/ICT sector;</w:t>
      </w:r>
    </w:p>
    <w:p w14:paraId="6DFC97B1"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that open-source software could be beneficial for entrepreneurs and MSMEs to access and deploy new and emerging telecommunication/ICT services and technologies;</w:t>
      </w:r>
    </w:p>
    <w:p w14:paraId="0E544A0E"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that the availability and quality of digital skilling opportunities, including through school curricula and lifelong learning, play a critical role in shaping a society's potential for innovation and entrepreneurship;</w:t>
      </w:r>
    </w:p>
    <w:p w14:paraId="52A9AC2A"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that it is important to empower unserved and underserved communities as entrepreneurs by endeavouring to ensure their access to key enablers of innovation, such as financing, with deliberate measures to accelerate women and youth participation;</w:t>
      </w:r>
    </w:p>
    <w:p w14:paraId="523EA01F"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that ITU, within its mandate and existing mechanisms, can further enhance its role in supporting ICT-centric innovation ecosystems, and entrepreneurship, and contribute to the development of the digital economy,</w:t>
      </w:r>
    </w:p>
    <w:p w14:paraId="4791AF6F"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t>invites Member States</w:t>
      </w:r>
    </w:p>
    <w:p w14:paraId="3B041DED" w14:textId="77777777" w:rsidR="007C6225" w:rsidRPr="006975BE" w:rsidRDefault="007C6225" w:rsidP="007C6225">
      <w:pPr>
        <w:jc w:val="both"/>
        <w:rPr>
          <w:rFonts w:asciiTheme="minorHAnsi" w:hAnsiTheme="minorHAnsi" w:cstheme="minorHAnsi"/>
          <w:spacing w:val="-2"/>
          <w:szCs w:val="24"/>
        </w:rPr>
      </w:pPr>
      <w:r w:rsidRPr="006975BE">
        <w:rPr>
          <w:rFonts w:asciiTheme="minorHAnsi" w:hAnsiTheme="minorHAnsi" w:cstheme="minorHAnsi"/>
          <w:spacing w:val="-2"/>
          <w:szCs w:val="24"/>
        </w:rPr>
        <w:t>1</w:t>
      </w:r>
      <w:r w:rsidRPr="006975BE">
        <w:rPr>
          <w:rFonts w:asciiTheme="minorHAnsi" w:hAnsiTheme="minorHAnsi" w:cstheme="minorHAnsi"/>
          <w:spacing w:val="-2"/>
          <w:szCs w:val="24"/>
        </w:rPr>
        <w:tab/>
        <w:t>to foster an enabling environment for ICT-centric innovation ecosystems by strengthening evidence-based policymaking alongside transparent, and predictable regulatory frameworks, updated in line with best practices and to consider policies and strategies to support ICT-centric innovation, empowering MSMEs to actively participate in the digital economy and enhance competition;</w:t>
      </w:r>
    </w:p>
    <w:p w14:paraId="27FCD674"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to encourage investments by removing barriers in digital ecosystems, and create favourable conditions for investment and innovation;</w:t>
      </w:r>
    </w:p>
    <w:p w14:paraId="29BBF350"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to promote awareness of environmental challenges within initiatives aimed at strengthening ICT-centric innovation ecosystems and entrepreneurship;</w:t>
      </w:r>
    </w:p>
    <w:p w14:paraId="2A720F5E"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lastRenderedPageBreak/>
        <w:t>4</w:t>
      </w:r>
      <w:r w:rsidRPr="006975BE">
        <w:rPr>
          <w:rFonts w:asciiTheme="minorHAnsi" w:hAnsiTheme="minorHAnsi" w:cstheme="minorHAnsi"/>
          <w:szCs w:val="24"/>
        </w:rPr>
        <w:tab/>
        <w:t>to facilitate</w:t>
      </w:r>
      <w:r w:rsidRPr="006975BE" w:rsidDel="002C08A3">
        <w:rPr>
          <w:rFonts w:asciiTheme="minorHAnsi" w:hAnsiTheme="minorHAnsi" w:cstheme="minorHAnsi"/>
          <w:szCs w:val="24"/>
        </w:rPr>
        <w:t xml:space="preserve"> </w:t>
      </w:r>
      <w:r w:rsidRPr="006975BE">
        <w:rPr>
          <w:rFonts w:asciiTheme="minorHAnsi" w:hAnsiTheme="minorHAnsi" w:cstheme="minorHAnsi"/>
          <w:szCs w:val="24"/>
        </w:rPr>
        <w:t>digital transformation, and by taking appropriate action to support</w:t>
      </w:r>
      <w:r w:rsidRPr="006975BE" w:rsidDel="002C08A3">
        <w:rPr>
          <w:rFonts w:asciiTheme="minorHAnsi" w:hAnsiTheme="minorHAnsi" w:cstheme="minorHAnsi"/>
          <w:szCs w:val="24"/>
        </w:rPr>
        <w:t xml:space="preserve"> </w:t>
      </w:r>
      <w:r w:rsidRPr="006975BE">
        <w:rPr>
          <w:rFonts w:asciiTheme="minorHAnsi" w:hAnsiTheme="minorHAnsi" w:cstheme="minorHAnsi"/>
          <w:szCs w:val="24"/>
        </w:rPr>
        <w:t>start-up entrepreneurs and enterprises including in unserved and underserved communities in better leveraging telecommunications/ICTs;</w:t>
      </w:r>
    </w:p>
    <w:p w14:paraId="74C451AD" w14:textId="77777777" w:rsidR="007C6225" w:rsidRPr="006975BE" w:rsidRDefault="007C6225" w:rsidP="007C6225">
      <w:pPr>
        <w:widowControl w:val="0"/>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to consider creating an ICT-centric innovation ecosystem that fosters the participation of enterprises of all sizes —large, medium, small, and micro— while promoting telecommunication/ ICT-centric skills development to support sustainable entrepreneurship and innovation;</w:t>
      </w:r>
    </w:p>
    <w:p w14:paraId="2A7E5375"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 xml:space="preserve">to take steps to address the gender digital divide </w:t>
      </w:r>
      <w:proofErr w:type="gramStart"/>
      <w:r w:rsidRPr="006975BE">
        <w:rPr>
          <w:rFonts w:asciiTheme="minorHAnsi" w:hAnsiTheme="minorHAnsi" w:cstheme="minorHAnsi"/>
          <w:szCs w:val="24"/>
        </w:rPr>
        <w:t>in order to</w:t>
      </w:r>
      <w:proofErr w:type="gramEnd"/>
      <w:r w:rsidRPr="006975BE">
        <w:rPr>
          <w:rFonts w:asciiTheme="minorHAnsi" w:hAnsiTheme="minorHAnsi" w:cstheme="minorHAnsi"/>
          <w:szCs w:val="24"/>
        </w:rPr>
        <w:t xml:space="preserve"> support ICT-centric innovation and entrepreneurship by women and girls in the telecommunication/ICT sector;</w:t>
      </w:r>
    </w:p>
    <w:p w14:paraId="4B5481DA"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 xml:space="preserve">to consider implementing demand-oriented ICT-centric innovation policy frameworks to accelerate commercialization and improve the conditions of ICT-centric innovations as an enabler for the digital economy, </w:t>
      </w:r>
    </w:p>
    <w:p w14:paraId="04065394"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t>invites Member States, Sector Members</w:t>
      </w:r>
      <w:r w:rsidRPr="006975BE">
        <w:rPr>
          <w:rFonts w:asciiTheme="minorHAnsi" w:hAnsiTheme="minorHAnsi" w:cstheme="minorHAnsi"/>
          <w:szCs w:val="24"/>
        </w:rPr>
        <w:t xml:space="preserve"> and other stakeholders</w:t>
      </w:r>
    </w:p>
    <w:p w14:paraId="01C0FDE8"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t>to foster transparent, stable, predictable and competitive policy frameworks for promoting an ICT-centric innovation ecosystem;</w:t>
      </w:r>
    </w:p>
    <w:p w14:paraId="63D9560A"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to facilitate public-private investment by fostering closer collaboration between education and research centres and the private sector, while considering funding internships and scholarships and promoting telecommunication/ICT-centric skills development within national education systems to support ICT-centric innovation ecosystems that drive entrepreneurship;</w:t>
      </w:r>
    </w:p>
    <w:p w14:paraId="23C6B6A5"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to promote and develop public-private-partnerships to support telecommunication/ICT infrastructure, incubation, and early-stage funding for ICT start-ups;</w:t>
      </w:r>
    </w:p>
    <w:p w14:paraId="1959AFD6"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to foster participation and</w:t>
      </w:r>
      <w:r w:rsidRPr="006975BE" w:rsidDel="004415B8">
        <w:rPr>
          <w:rFonts w:asciiTheme="minorHAnsi" w:hAnsiTheme="minorHAnsi" w:cstheme="minorHAnsi"/>
          <w:szCs w:val="24"/>
        </w:rPr>
        <w:t xml:space="preserve"> </w:t>
      </w:r>
      <w:r w:rsidRPr="006975BE">
        <w:rPr>
          <w:rFonts w:asciiTheme="minorHAnsi" w:hAnsiTheme="minorHAnsi" w:cstheme="minorHAnsi"/>
          <w:szCs w:val="24"/>
        </w:rPr>
        <w:t>development of enterprises of all sizes —large, medium, small and micro— while promoting the digital transformation of the entire value chain, and to proactively share best practices that support MSMEs in their digital transformation efforts;</w:t>
      </w:r>
    </w:p>
    <w:p w14:paraId="20BB5AB1"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to support and establish initiatives through partnership with industry and academia that promote ICT-centric entrepreneurship among young people, while enhancing digital talent supply and targeted digital skills training and digital-literacy programmes to close existing skills gaps;</w:t>
      </w:r>
    </w:p>
    <w:p w14:paraId="4E9309BF"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 xml:space="preserve">to encourage ICT-centric innovation and entrepreneurship within local populations by supporting community-driven programs and complementary solutions, while </w:t>
      </w:r>
      <w:proofErr w:type="gramStart"/>
      <w:r w:rsidRPr="006975BE">
        <w:rPr>
          <w:rFonts w:asciiTheme="minorHAnsi" w:hAnsiTheme="minorHAnsi" w:cstheme="minorHAnsi"/>
          <w:szCs w:val="24"/>
        </w:rPr>
        <w:t>taking into account</w:t>
      </w:r>
      <w:proofErr w:type="gramEnd"/>
      <w:r w:rsidRPr="006975BE">
        <w:rPr>
          <w:rFonts w:asciiTheme="minorHAnsi" w:hAnsiTheme="minorHAnsi" w:cstheme="minorHAnsi"/>
          <w:szCs w:val="24"/>
        </w:rPr>
        <w:t xml:space="preserve"> the diverse views and needs of all stakeholders —including the private sector, civil society, the technical community, and academia;</w:t>
      </w:r>
    </w:p>
    <w:p w14:paraId="79E9CF3B"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to support research on barriers affecting ICT-centric entrepreneurial activities, implement tailored strategies to address these barriers, and share best practices on regional, local, and national initiatives that promote ICT-centric innovation ecosystems and entrepreneurship;</w:t>
      </w:r>
    </w:p>
    <w:p w14:paraId="19C00B63"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to foster international and regional cooperation to share good practises and support capacity development to access the benefits of telecommunications/ICTs and bridging the digital divides;</w:t>
      </w:r>
    </w:p>
    <w:p w14:paraId="77819FAA"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9</w:t>
      </w:r>
      <w:r w:rsidRPr="006975BE">
        <w:rPr>
          <w:rFonts w:asciiTheme="minorHAnsi" w:hAnsiTheme="minorHAnsi" w:cstheme="minorHAnsi"/>
          <w:szCs w:val="24"/>
        </w:rPr>
        <w:tab/>
        <w:t>to encourage MSMEs to participate in international open-source initiatives for new and emerging telecommunication/ICT services and technologies;</w:t>
      </w:r>
    </w:p>
    <w:p w14:paraId="42D740A2" w14:textId="77777777" w:rsidR="007C6225" w:rsidRPr="006975BE" w:rsidRDefault="007C6225" w:rsidP="007C6225">
      <w:pPr>
        <w:jc w:val="both"/>
        <w:rPr>
          <w:rFonts w:asciiTheme="minorHAnsi" w:hAnsiTheme="minorHAnsi" w:cstheme="minorHAnsi"/>
          <w:szCs w:val="24"/>
        </w:rPr>
      </w:pPr>
      <w:r w:rsidRPr="006975BE">
        <w:rPr>
          <w:rFonts w:asciiTheme="minorHAnsi" w:hAnsiTheme="minorHAnsi" w:cstheme="minorHAnsi"/>
          <w:szCs w:val="24"/>
        </w:rPr>
        <w:t>10</w:t>
      </w:r>
      <w:r w:rsidRPr="006975BE">
        <w:rPr>
          <w:rFonts w:asciiTheme="minorHAnsi" w:hAnsiTheme="minorHAnsi" w:cstheme="minorHAnsi"/>
          <w:szCs w:val="24"/>
        </w:rPr>
        <w:tab/>
        <w:t>to promote collaboration between industry and academia to foster the sustainability of ICT</w:t>
      </w:r>
      <w:r>
        <w:rPr>
          <w:rFonts w:asciiTheme="minorHAnsi" w:hAnsiTheme="minorHAnsi" w:cstheme="minorHAnsi"/>
          <w:szCs w:val="24"/>
        </w:rPr>
        <w:noBreakHyphen/>
      </w:r>
      <w:r w:rsidRPr="006975BE">
        <w:rPr>
          <w:rFonts w:asciiTheme="minorHAnsi" w:hAnsiTheme="minorHAnsi" w:cstheme="minorHAnsi"/>
          <w:szCs w:val="24"/>
        </w:rPr>
        <w:t>centric innovations,</w:t>
      </w:r>
    </w:p>
    <w:p w14:paraId="56D754B3" w14:textId="77777777" w:rsidR="007C6225" w:rsidRPr="006975BE" w:rsidRDefault="007C6225" w:rsidP="007C6225">
      <w:pPr>
        <w:pStyle w:val="Call"/>
        <w:rPr>
          <w:rFonts w:asciiTheme="minorHAnsi" w:hAnsiTheme="minorHAnsi" w:cstheme="minorHAnsi"/>
          <w:szCs w:val="24"/>
        </w:rPr>
      </w:pPr>
      <w:r w:rsidRPr="006975BE">
        <w:rPr>
          <w:rFonts w:asciiTheme="minorHAnsi" w:eastAsiaTheme="minorEastAsia" w:hAnsiTheme="minorHAnsi" w:cstheme="minorHAnsi"/>
          <w:szCs w:val="24"/>
        </w:rPr>
        <w:lastRenderedPageBreak/>
        <w:t>invites the Secretary-General</w:t>
      </w:r>
    </w:p>
    <w:p w14:paraId="1DD94CAB" w14:textId="77777777" w:rsidR="007C6225" w:rsidRDefault="007C6225" w:rsidP="007C622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szCs w:val="24"/>
        </w:rPr>
        <w:t>to enhance ITU’s role within its mandate and existing mechanisms as a platform for collaboration and dialogue between Member States, Sector Members and academia, capacity building, and exchange good practices on ICT-centric innovation ecosystems and entrepreneurship.</w:t>
      </w:r>
    </w:p>
    <w:p w14:paraId="299EF94E" w14:textId="77777777" w:rsidR="007C6225" w:rsidRDefault="007C6225" w:rsidP="007C6225"/>
    <w:p w14:paraId="2D4B511D" w14:textId="7F2AD79F" w:rsidR="0042354C" w:rsidRPr="0008540E" w:rsidRDefault="00C64ED7" w:rsidP="0039681D">
      <w:pPr>
        <w:spacing w:before="0"/>
        <w:jc w:val="center"/>
      </w:pPr>
      <w:r w:rsidRPr="006975BE">
        <w:t>______________</w:t>
      </w:r>
    </w:p>
    <w:sectPr w:rsidR="0042354C" w:rsidRPr="0008540E" w:rsidSect="00361097">
      <w:headerReference w:type="even" r:id="rId30"/>
      <w:headerReference w:type="default" r:id="rId31"/>
      <w:footerReference w:type="even" r:id="rId32"/>
      <w:footerReference w:type="default" r:id="rId33"/>
      <w:headerReference w:type="first" r:id="rId34"/>
      <w:footerReference w:type="first" r:id="rId35"/>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ABD6" w14:textId="77777777" w:rsidR="00890348" w:rsidRDefault="00890348">
      <w:r>
        <w:separator/>
      </w:r>
    </w:p>
  </w:endnote>
  <w:endnote w:type="continuationSeparator" w:id="0">
    <w:p w14:paraId="43BE34DE" w14:textId="77777777" w:rsidR="00890348" w:rsidRDefault="0089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31E6" w14:textId="77777777" w:rsidR="001605C2" w:rsidRDefault="001605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9D26" w14:textId="77777777" w:rsidR="001605C2" w:rsidRDefault="001605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C075"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01178B">
        <w:rPr>
          <w:rStyle w:val="Hyperlink"/>
          <w:sz w:val="22"/>
          <w:szCs w:val="22"/>
          <w:lang w:val="en-GB"/>
        </w:rPr>
        <w:t>www.itu.int</w:t>
      </w:r>
      <w:proofErr w:type="spellEnd"/>
      <w:r w:rsidRPr="0001178B">
        <w:rPr>
          <w:rStyle w:val="Hyperlink"/>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BA17" w14:textId="77777777" w:rsidR="00890348" w:rsidRDefault="00890348">
      <w:r>
        <w:t>____________________</w:t>
      </w:r>
    </w:p>
  </w:footnote>
  <w:footnote w:type="continuationSeparator" w:id="0">
    <w:p w14:paraId="3306564C" w14:textId="77777777" w:rsidR="00890348" w:rsidRDefault="00890348">
      <w:r>
        <w:continuationSeparator/>
      </w:r>
    </w:p>
  </w:footnote>
  <w:footnote w:id="1">
    <w:p w14:paraId="70065A43" w14:textId="33307C9E" w:rsidR="00C64ED7" w:rsidRPr="00903267" w:rsidRDefault="00C64ED7" w:rsidP="00727328">
      <w:pPr>
        <w:pStyle w:val="FootnoteText"/>
        <w:jc w:val="both"/>
      </w:pPr>
      <w:r w:rsidRPr="00D10E8A">
        <w:rPr>
          <w:rStyle w:val="FootnoteReference"/>
        </w:rPr>
        <w:footnoteRef/>
      </w:r>
      <w:r w:rsidRPr="00492CE9">
        <w:rPr>
          <w:sz w:val="20"/>
        </w:rPr>
        <w:t xml:space="preserve"> </w:t>
      </w:r>
      <w:r>
        <w:rPr>
          <w:sz w:val="20"/>
        </w:rPr>
        <w:tab/>
      </w:r>
      <w:r w:rsidRPr="00903267">
        <w:t xml:space="preserve">Ammanath, B. (2024), </w:t>
      </w:r>
      <w:r w:rsidRPr="00903267">
        <w:rPr>
          <w:i/>
          <w:iCs/>
        </w:rPr>
        <w:t>How to manage AI's energy demand — today, tomorrow and in the future</w:t>
      </w:r>
      <w:r w:rsidRPr="00903267">
        <w:t xml:space="preserve">. World Economic Forum. Retrieved from </w:t>
      </w:r>
      <w:hyperlink r:id="rId1" w:history="1">
        <w:r w:rsidR="00727328" w:rsidRPr="007B774B">
          <w:rPr>
            <w:rStyle w:val="Hyperlink"/>
          </w:rPr>
          <w:t>https://www.weforum.org/agenda/2024/04/how-to-manage-ais-energy-demand-today-tomorrow-and-in-the-future/</w:t>
        </w:r>
      </w:hyperlink>
      <w:r w:rsidRPr="00903267">
        <w:t>.</w:t>
      </w:r>
    </w:p>
  </w:footnote>
  <w:footnote w:id="2">
    <w:p w14:paraId="3EC1B546" w14:textId="710A4B7C" w:rsidR="00C64ED7" w:rsidRPr="00492CE9" w:rsidRDefault="00C64ED7" w:rsidP="00903267">
      <w:pPr>
        <w:pStyle w:val="FootnoteText"/>
        <w:jc w:val="both"/>
        <w:rPr>
          <w:lang w:val="en-US"/>
        </w:rPr>
      </w:pPr>
      <w:r w:rsidRPr="00D10E8A">
        <w:rPr>
          <w:rStyle w:val="FootnoteReference"/>
        </w:rPr>
        <w:footnoteRef/>
      </w:r>
      <w:r w:rsidRPr="00492CE9">
        <w:t xml:space="preserve"> </w:t>
      </w:r>
      <w:r>
        <w:tab/>
      </w:r>
      <w:r w:rsidRPr="00492CE9">
        <w:rPr>
          <w:lang w:val="en-US"/>
        </w:rPr>
        <w:t>International Telecommunications Union (2025)</w:t>
      </w:r>
      <w:r>
        <w:rPr>
          <w:lang w:val="en-US"/>
        </w:rPr>
        <w:t>,</w:t>
      </w:r>
      <w:r w:rsidRPr="00492CE9">
        <w:rPr>
          <w:lang w:val="en-US"/>
        </w:rPr>
        <w:t xml:space="preserve"> </w:t>
      </w:r>
      <w:r w:rsidRPr="00492CE9">
        <w:rPr>
          <w:i/>
          <w:iCs/>
          <w:lang w:val="en-US"/>
        </w:rPr>
        <w:t>Greening Digital Companies.</w:t>
      </w:r>
      <w:r w:rsidRPr="00492CE9">
        <w:rPr>
          <w:lang w:val="en-US"/>
        </w:rPr>
        <w:t xml:space="preserve"> Retrieved from </w:t>
      </w:r>
      <w:hyperlink r:id="rId2" w:history="1">
        <w:r w:rsidR="00903267" w:rsidRPr="007B774B">
          <w:rPr>
            <w:rStyle w:val="Hyperlink"/>
            <w:lang w:val="en-US"/>
          </w:rPr>
          <w:t>https://www.itu.int/en/ITU-D/Environment/Pages/Publications/GDC-25.aspx</w:t>
        </w:r>
      </w:hyperlink>
      <w:r>
        <w:rPr>
          <w:lang w:val="en-US"/>
        </w:rPr>
        <w:t>.</w:t>
      </w:r>
    </w:p>
  </w:footnote>
  <w:footnote w:id="3">
    <w:p w14:paraId="28541EDD" w14:textId="77777777" w:rsidR="00C64ED7" w:rsidRPr="00B22CB2" w:rsidRDefault="00C64ED7" w:rsidP="002B312F">
      <w:pPr>
        <w:pStyle w:val="FootnoteText"/>
        <w:jc w:val="both"/>
        <w:rPr>
          <w:lang w:val="en-US"/>
        </w:rPr>
      </w:pPr>
      <w:r w:rsidRPr="00C51599">
        <w:rPr>
          <w:rStyle w:val="FootnoteReference"/>
        </w:rPr>
        <w:footnoteRef/>
      </w:r>
      <w:r w:rsidRPr="00B22CB2">
        <w:t xml:space="preserve"> </w:t>
      </w:r>
      <w:r>
        <w:tab/>
      </w:r>
      <w:r w:rsidRPr="00B22CB2">
        <w:rPr>
          <w:lang w:val="en-US"/>
        </w:rPr>
        <w:t xml:space="preserve">The objections </w:t>
      </w:r>
      <w:r>
        <w:rPr>
          <w:lang w:val="en-US"/>
        </w:rPr>
        <w:t xml:space="preserve">of some IEG members </w:t>
      </w:r>
      <w:r w:rsidRPr="00B22CB2">
        <w:rPr>
          <w:lang w:val="en-US"/>
        </w:rPr>
        <w:t xml:space="preserve">referenced here to “climate change” </w:t>
      </w:r>
      <w:r>
        <w:rPr>
          <w:lang w:val="en-US"/>
        </w:rPr>
        <w:t>are</w:t>
      </w:r>
      <w:r w:rsidRPr="00B22CB2">
        <w:rPr>
          <w:lang w:val="en-US"/>
        </w:rPr>
        <w:t xml:space="preserve"> </w:t>
      </w:r>
      <w:r w:rsidRPr="002B312F">
        <w:t>applicable</w:t>
      </w:r>
      <w:r w:rsidRPr="00B22CB2">
        <w:rPr>
          <w:lang w:val="en-US"/>
        </w:rPr>
        <w:t xml:space="preserve"> to subsequent references to climate change throughout the Secretary</w:t>
      </w:r>
      <w:r>
        <w:rPr>
          <w:lang w:val="en-US"/>
        </w:rPr>
        <w:t>-</w:t>
      </w:r>
      <w:r w:rsidRPr="00B22CB2">
        <w:rPr>
          <w:lang w:val="en-US"/>
        </w:rPr>
        <w:t xml:space="preserve">General’s report and its annexed opinions. </w:t>
      </w:r>
    </w:p>
  </w:footnote>
  <w:footnote w:id="4">
    <w:p w14:paraId="3E30D55C" w14:textId="77777777" w:rsidR="00C64ED7" w:rsidRPr="005D65CE" w:rsidRDefault="00C64ED7" w:rsidP="002B312F">
      <w:pPr>
        <w:pStyle w:val="FootnoteText"/>
        <w:jc w:val="both"/>
        <w:rPr>
          <w:lang w:val="en-US"/>
        </w:rPr>
      </w:pPr>
      <w:r w:rsidRPr="00D10E8A">
        <w:rPr>
          <w:rStyle w:val="FootnoteReference"/>
        </w:rPr>
        <w:footnoteRef/>
      </w:r>
      <w:r w:rsidRPr="00B22CB2">
        <w:t xml:space="preserve"> </w:t>
      </w:r>
      <w:r>
        <w:tab/>
      </w:r>
      <w:r w:rsidRPr="00F43C52">
        <w:rPr>
          <w:lang w:val="en-US"/>
        </w:rPr>
        <w:t xml:space="preserve">The objections of some IEG members referenced here to the Sustainable Development Goals are applicable to subsequent references to the </w:t>
      </w:r>
      <w:r w:rsidRPr="002B312F">
        <w:t>Sustainable</w:t>
      </w:r>
      <w:r w:rsidRPr="00F43C52">
        <w:rPr>
          <w:lang w:val="en-US"/>
        </w:rPr>
        <w:t xml:space="preserve"> Development Goals throughout the Secretary-General’s report and its annexed opinions.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892F" w14:textId="77777777" w:rsidR="001605C2" w:rsidRDefault="00160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0E78" w14:textId="77777777" w:rsidR="0042354C" w:rsidRDefault="0042354C" w:rsidP="0042354C">
    <w:pPr>
      <w:pStyle w:val="Header"/>
    </w:pPr>
    <w:r>
      <w:fldChar w:fldCharType="begin"/>
    </w:r>
    <w:r>
      <w:instrText xml:space="preserve"> PAGE   \* MERGEFORMAT </w:instrText>
    </w:r>
    <w:r>
      <w:fldChar w:fldCharType="separate"/>
    </w:r>
    <w:r>
      <w:t>2</w:t>
    </w:r>
    <w:r>
      <w:fldChar w:fldCharType="end"/>
    </w:r>
  </w:p>
  <w:p w14:paraId="1BABE18B" w14:textId="2AEDEA01" w:rsidR="00CE1B90" w:rsidRPr="0042354C" w:rsidRDefault="0042354C" w:rsidP="0042354C">
    <w:pPr>
      <w:pStyle w:val="Header"/>
    </w:pPr>
    <w:r>
      <w:t>WTPF-26/</w:t>
    </w:r>
    <w:r w:rsidR="00C64ED7">
      <w:t>2</w:t>
    </w:r>
    <w: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7507" w14:textId="77777777" w:rsidR="001605C2" w:rsidRDefault="00160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80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85"/>
    <w:rsid w:val="00000AF8"/>
    <w:rsid w:val="00001935"/>
    <w:rsid w:val="00002BAE"/>
    <w:rsid w:val="000035FC"/>
    <w:rsid w:val="000048E4"/>
    <w:rsid w:val="00004F8B"/>
    <w:rsid w:val="00010B2A"/>
    <w:rsid w:val="00011208"/>
    <w:rsid w:val="0001178B"/>
    <w:rsid w:val="000143FA"/>
    <w:rsid w:val="00014808"/>
    <w:rsid w:val="00014EF5"/>
    <w:rsid w:val="00015E97"/>
    <w:rsid w:val="000235EC"/>
    <w:rsid w:val="00034AAB"/>
    <w:rsid w:val="00041924"/>
    <w:rsid w:val="000507C1"/>
    <w:rsid w:val="00053B97"/>
    <w:rsid w:val="00055C50"/>
    <w:rsid w:val="00061C22"/>
    <w:rsid w:val="0006382A"/>
    <w:rsid w:val="00066CD5"/>
    <w:rsid w:val="000827A7"/>
    <w:rsid w:val="00082EB9"/>
    <w:rsid w:val="000842DF"/>
    <w:rsid w:val="0008540E"/>
    <w:rsid w:val="00094B4F"/>
    <w:rsid w:val="000A1015"/>
    <w:rsid w:val="000B03F9"/>
    <w:rsid w:val="000B0A77"/>
    <w:rsid w:val="000B0D6C"/>
    <w:rsid w:val="000B596F"/>
    <w:rsid w:val="000B5BB9"/>
    <w:rsid w:val="000B7152"/>
    <w:rsid w:val="000C14B2"/>
    <w:rsid w:val="000C4701"/>
    <w:rsid w:val="000C5C73"/>
    <w:rsid w:val="000D3F76"/>
    <w:rsid w:val="000E4C7A"/>
    <w:rsid w:val="000E5E15"/>
    <w:rsid w:val="000F5A9A"/>
    <w:rsid w:val="000F73D1"/>
    <w:rsid w:val="001001C5"/>
    <w:rsid w:val="00103D5E"/>
    <w:rsid w:val="00105EFE"/>
    <w:rsid w:val="00106777"/>
    <w:rsid w:val="0011489E"/>
    <w:rsid w:val="00114BA3"/>
    <w:rsid w:val="00115DEC"/>
    <w:rsid w:val="0012014C"/>
    <w:rsid w:val="001237A2"/>
    <w:rsid w:val="00123F09"/>
    <w:rsid w:val="00127FA6"/>
    <w:rsid w:val="001342CA"/>
    <w:rsid w:val="00136175"/>
    <w:rsid w:val="00140FF0"/>
    <w:rsid w:val="00142F28"/>
    <w:rsid w:val="00146057"/>
    <w:rsid w:val="001605C2"/>
    <w:rsid w:val="00161C12"/>
    <w:rsid w:val="00161CDA"/>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4CE9"/>
    <w:rsid w:val="00235A3B"/>
    <w:rsid w:val="00243BE4"/>
    <w:rsid w:val="00253445"/>
    <w:rsid w:val="00256E96"/>
    <w:rsid w:val="00257188"/>
    <w:rsid w:val="002578B4"/>
    <w:rsid w:val="002646C6"/>
    <w:rsid w:val="00267D12"/>
    <w:rsid w:val="00281792"/>
    <w:rsid w:val="0028799E"/>
    <w:rsid w:val="002962A8"/>
    <w:rsid w:val="002A56C0"/>
    <w:rsid w:val="002A59D2"/>
    <w:rsid w:val="002B312F"/>
    <w:rsid w:val="002C4D84"/>
    <w:rsid w:val="002D7CE4"/>
    <w:rsid w:val="002E77F4"/>
    <w:rsid w:val="002F22FA"/>
    <w:rsid w:val="002F36B9"/>
    <w:rsid w:val="002F5FA2"/>
    <w:rsid w:val="003038E3"/>
    <w:rsid w:val="003126B0"/>
    <w:rsid w:val="00314127"/>
    <w:rsid w:val="00314C12"/>
    <w:rsid w:val="003261C3"/>
    <w:rsid w:val="00345330"/>
    <w:rsid w:val="003453DA"/>
    <w:rsid w:val="00357754"/>
    <w:rsid w:val="003578E4"/>
    <w:rsid w:val="00361097"/>
    <w:rsid w:val="0037176D"/>
    <w:rsid w:val="00373A0D"/>
    <w:rsid w:val="003740BC"/>
    <w:rsid w:val="00375076"/>
    <w:rsid w:val="00375BBA"/>
    <w:rsid w:val="00381247"/>
    <w:rsid w:val="003826EA"/>
    <w:rsid w:val="003903CE"/>
    <w:rsid w:val="00395CE4"/>
    <w:rsid w:val="0039681D"/>
    <w:rsid w:val="003A0EAD"/>
    <w:rsid w:val="003A32AD"/>
    <w:rsid w:val="003A33F1"/>
    <w:rsid w:val="003A3938"/>
    <w:rsid w:val="003A4E67"/>
    <w:rsid w:val="003A5FFB"/>
    <w:rsid w:val="003A7923"/>
    <w:rsid w:val="003A7FB6"/>
    <w:rsid w:val="003B3751"/>
    <w:rsid w:val="003D2787"/>
    <w:rsid w:val="003E3D10"/>
    <w:rsid w:val="003F0763"/>
    <w:rsid w:val="003F2121"/>
    <w:rsid w:val="003F2E54"/>
    <w:rsid w:val="003F5771"/>
    <w:rsid w:val="003F61F3"/>
    <w:rsid w:val="003F71D5"/>
    <w:rsid w:val="004014B0"/>
    <w:rsid w:val="004059B0"/>
    <w:rsid w:val="0042354C"/>
    <w:rsid w:val="00423BB8"/>
    <w:rsid w:val="00426AC1"/>
    <w:rsid w:val="0042792F"/>
    <w:rsid w:val="004321DC"/>
    <w:rsid w:val="00435AA4"/>
    <w:rsid w:val="00435EA8"/>
    <w:rsid w:val="004360BB"/>
    <w:rsid w:val="0044665A"/>
    <w:rsid w:val="004529ED"/>
    <w:rsid w:val="0045533C"/>
    <w:rsid w:val="004606DA"/>
    <w:rsid w:val="00463092"/>
    <w:rsid w:val="004676C0"/>
    <w:rsid w:val="00474E00"/>
    <w:rsid w:val="004835DB"/>
    <w:rsid w:val="00491D2D"/>
    <w:rsid w:val="00494797"/>
    <w:rsid w:val="004A71B3"/>
    <w:rsid w:val="004B0C10"/>
    <w:rsid w:val="004B167B"/>
    <w:rsid w:val="004C0EF7"/>
    <w:rsid w:val="004C19D7"/>
    <w:rsid w:val="004C297B"/>
    <w:rsid w:val="004C3CAA"/>
    <w:rsid w:val="004C73C9"/>
    <w:rsid w:val="004D7CC5"/>
    <w:rsid w:val="004E01FA"/>
    <w:rsid w:val="004E37EE"/>
    <w:rsid w:val="004E6764"/>
    <w:rsid w:val="004E6C50"/>
    <w:rsid w:val="004F041D"/>
    <w:rsid w:val="004F1C55"/>
    <w:rsid w:val="004F7925"/>
    <w:rsid w:val="005038A9"/>
    <w:rsid w:val="00504FE5"/>
    <w:rsid w:val="00506334"/>
    <w:rsid w:val="00507348"/>
    <w:rsid w:val="00522C97"/>
    <w:rsid w:val="0052665F"/>
    <w:rsid w:val="005356FD"/>
    <w:rsid w:val="00537FD9"/>
    <w:rsid w:val="00547D75"/>
    <w:rsid w:val="00551C8B"/>
    <w:rsid w:val="00554E24"/>
    <w:rsid w:val="00555A0F"/>
    <w:rsid w:val="00567130"/>
    <w:rsid w:val="0057034B"/>
    <w:rsid w:val="00572259"/>
    <w:rsid w:val="00581E8F"/>
    <w:rsid w:val="00586A98"/>
    <w:rsid w:val="00591C15"/>
    <w:rsid w:val="005927A4"/>
    <w:rsid w:val="00592E8C"/>
    <w:rsid w:val="00596B48"/>
    <w:rsid w:val="005A0DBB"/>
    <w:rsid w:val="005B10E8"/>
    <w:rsid w:val="005B311D"/>
    <w:rsid w:val="005B5026"/>
    <w:rsid w:val="005B661F"/>
    <w:rsid w:val="005C3315"/>
    <w:rsid w:val="005C3510"/>
    <w:rsid w:val="005C7545"/>
    <w:rsid w:val="005E1CC3"/>
    <w:rsid w:val="005F05C8"/>
    <w:rsid w:val="005F7E83"/>
    <w:rsid w:val="00604079"/>
    <w:rsid w:val="00606A6A"/>
    <w:rsid w:val="00617BE4"/>
    <w:rsid w:val="00620233"/>
    <w:rsid w:val="00627DF4"/>
    <w:rsid w:val="006404B0"/>
    <w:rsid w:val="006561F2"/>
    <w:rsid w:val="0066499C"/>
    <w:rsid w:val="00671058"/>
    <w:rsid w:val="00676E68"/>
    <w:rsid w:val="00683539"/>
    <w:rsid w:val="006975BE"/>
    <w:rsid w:val="006A7108"/>
    <w:rsid w:val="006B2035"/>
    <w:rsid w:val="006B40DA"/>
    <w:rsid w:val="006B4E2E"/>
    <w:rsid w:val="006C5D5D"/>
    <w:rsid w:val="006D139F"/>
    <w:rsid w:val="006E215D"/>
    <w:rsid w:val="006E57C8"/>
    <w:rsid w:val="006E70E1"/>
    <w:rsid w:val="006F565E"/>
    <w:rsid w:val="006F794B"/>
    <w:rsid w:val="00701ABB"/>
    <w:rsid w:val="00707685"/>
    <w:rsid w:val="00711035"/>
    <w:rsid w:val="007130ED"/>
    <w:rsid w:val="007140CF"/>
    <w:rsid w:val="0071582A"/>
    <w:rsid w:val="00722595"/>
    <w:rsid w:val="00725D2A"/>
    <w:rsid w:val="00727328"/>
    <w:rsid w:val="0073319E"/>
    <w:rsid w:val="00733C8A"/>
    <w:rsid w:val="0073406D"/>
    <w:rsid w:val="00737F2E"/>
    <w:rsid w:val="00745A37"/>
    <w:rsid w:val="00750829"/>
    <w:rsid w:val="007538C9"/>
    <w:rsid w:val="00753F63"/>
    <w:rsid w:val="007542C4"/>
    <w:rsid w:val="00754C0B"/>
    <w:rsid w:val="00755067"/>
    <w:rsid w:val="007561B6"/>
    <w:rsid w:val="007648ED"/>
    <w:rsid w:val="007649DA"/>
    <w:rsid w:val="00765553"/>
    <w:rsid w:val="00777B8B"/>
    <w:rsid w:val="00786D99"/>
    <w:rsid w:val="00794795"/>
    <w:rsid w:val="007949EA"/>
    <w:rsid w:val="00796849"/>
    <w:rsid w:val="00796B31"/>
    <w:rsid w:val="00796DAE"/>
    <w:rsid w:val="007A59C3"/>
    <w:rsid w:val="007B0E06"/>
    <w:rsid w:val="007B30FC"/>
    <w:rsid w:val="007C3643"/>
    <w:rsid w:val="007C617F"/>
    <w:rsid w:val="007C6225"/>
    <w:rsid w:val="007D5061"/>
    <w:rsid w:val="007D7003"/>
    <w:rsid w:val="007E00D2"/>
    <w:rsid w:val="007E2AD4"/>
    <w:rsid w:val="007E3469"/>
    <w:rsid w:val="007E57B7"/>
    <w:rsid w:val="007E7B63"/>
    <w:rsid w:val="00810AD6"/>
    <w:rsid w:val="0082780C"/>
    <w:rsid w:val="008333C7"/>
    <w:rsid w:val="00833E0F"/>
    <w:rsid w:val="008404FD"/>
    <w:rsid w:val="00841AB4"/>
    <w:rsid w:val="00846DBA"/>
    <w:rsid w:val="00850AEF"/>
    <w:rsid w:val="00855DAB"/>
    <w:rsid w:val="00860C6A"/>
    <w:rsid w:val="00862540"/>
    <w:rsid w:val="00862891"/>
    <w:rsid w:val="00863783"/>
    <w:rsid w:val="00870C27"/>
    <w:rsid w:val="00875048"/>
    <w:rsid w:val="00875BE1"/>
    <w:rsid w:val="00877715"/>
    <w:rsid w:val="00890348"/>
    <w:rsid w:val="00895CE3"/>
    <w:rsid w:val="0089603F"/>
    <w:rsid w:val="00897970"/>
    <w:rsid w:val="008B5A71"/>
    <w:rsid w:val="008C50B7"/>
    <w:rsid w:val="008D3BE2"/>
    <w:rsid w:val="008D4D98"/>
    <w:rsid w:val="008E2A7B"/>
    <w:rsid w:val="008E690B"/>
    <w:rsid w:val="008E6E9B"/>
    <w:rsid w:val="008F2C56"/>
    <w:rsid w:val="008F3C99"/>
    <w:rsid w:val="00900D5B"/>
    <w:rsid w:val="00903267"/>
    <w:rsid w:val="009233D0"/>
    <w:rsid w:val="009236FE"/>
    <w:rsid w:val="00931B75"/>
    <w:rsid w:val="00940E00"/>
    <w:rsid w:val="0094557E"/>
    <w:rsid w:val="00945D4B"/>
    <w:rsid w:val="0094741F"/>
    <w:rsid w:val="00950E0F"/>
    <w:rsid w:val="00953D17"/>
    <w:rsid w:val="0096150D"/>
    <w:rsid w:val="009630FA"/>
    <w:rsid w:val="00967103"/>
    <w:rsid w:val="00967670"/>
    <w:rsid w:val="00970996"/>
    <w:rsid w:val="009800CC"/>
    <w:rsid w:val="009A078E"/>
    <w:rsid w:val="009A2B30"/>
    <w:rsid w:val="009A4211"/>
    <w:rsid w:val="009A47A2"/>
    <w:rsid w:val="009B2741"/>
    <w:rsid w:val="009B2C72"/>
    <w:rsid w:val="009E425E"/>
    <w:rsid w:val="009E4322"/>
    <w:rsid w:val="009F4384"/>
    <w:rsid w:val="009F442D"/>
    <w:rsid w:val="009F50DA"/>
    <w:rsid w:val="00A06D56"/>
    <w:rsid w:val="00A314A2"/>
    <w:rsid w:val="00A321F2"/>
    <w:rsid w:val="00A34FE4"/>
    <w:rsid w:val="00A516BB"/>
    <w:rsid w:val="00A619C5"/>
    <w:rsid w:val="00A650A6"/>
    <w:rsid w:val="00A808E1"/>
    <w:rsid w:val="00A81E99"/>
    <w:rsid w:val="00A8262F"/>
    <w:rsid w:val="00A84B32"/>
    <w:rsid w:val="00A84B3A"/>
    <w:rsid w:val="00A87124"/>
    <w:rsid w:val="00A92926"/>
    <w:rsid w:val="00A93514"/>
    <w:rsid w:val="00A93B71"/>
    <w:rsid w:val="00AB0B32"/>
    <w:rsid w:val="00AB190D"/>
    <w:rsid w:val="00AB2D04"/>
    <w:rsid w:val="00AB5C39"/>
    <w:rsid w:val="00AB75A9"/>
    <w:rsid w:val="00AD1C5C"/>
    <w:rsid w:val="00AD566F"/>
    <w:rsid w:val="00AF0849"/>
    <w:rsid w:val="00B11613"/>
    <w:rsid w:val="00B156F9"/>
    <w:rsid w:val="00B1733E"/>
    <w:rsid w:val="00B23CD4"/>
    <w:rsid w:val="00B25A86"/>
    <w:rsid w:val="00B304B9"/>
    <w:rsid w:val="00B55E1A"/>
    <w:rsid w:val="00B57988"/>
    <w:rsid w:val="00B62032"/>
    <w:rsid w:val="00B65F8C"/>
    <w:rsid w:val="00B7263B"/>
    <w:rsid w:val="00B73F47"/>
    <w:rsid w:val="00B7638A"/>
    <w:rsid w:val="00B80DF9"/>
    <w:rsid w:val="00B81C62"/>
    <w:rsid w:val="00B840D8"/>
    <w:rsid w:val="00B96467"/>
    <w:rsid w:val="00BA154E"/>
    <w:rsid w:val="00BA2515"/>
    <w:rsid w:val="00BA37CE"/>
    <w:rsid w:val="00BA4692"/>
    <w:rsid w:val="00BA755A"/>
    <w:rsid w:val="00BC61BF"/>
    <w:rsid w:val="00BC6FDB"/>
    <w:rsid w:val="00BC7DE8"/>
    <w:rsid w:val="00BD10B4"/>
    <w:rsid w:val="00BD1D95"/>
    <w:rsid w:val="00BE0966"/>
    <w:rsid w:val="00BF43BA"/>
    <w:rsid w:val="00BF4674"/>
    <w:rsid w:val="00BF5722"/>
    <w:rsid w:val="00BF6268"/>
    <w:rsid w:val="00BF720B"/>
    <w:rsid w:val="00C04511"/>
    <w:rsid w:val="00C112A3"/>
    <w:rsid w:val="00C16846"/>
    <w:rsid w:val="00C34851"/>
    <w:rsid w:val="00C42A5B"/>
    <w:rsid w:val="00C5419D"/>
    <w:rsid w:val="00C56038"/>
    <w:rsid w:val="00C64ED7"/>
    <w:rsid w:val="00C6729F"/>
    <w:rsid w:val="00C70164"/>
    <w:rsid w:val="00C70C04"/>
    <w:rsid w:val="00C72664"/>
    <w:rsid w:val="00C74512"/>
    <w:rsid w:val="00C86F24"/>
    <w:rsid w:val="00C92781"/>
    <w:rsid w:val="00C969FF"/>
    <w:rsid w:val="00C96BB5"/>
    <w:rsid w:val="00CA38C9"/>
    <w:rsid w:val="00CB1CA4"/>
    <w:rsid w:val="00CB4984"/>
    <w:rsid w:val="00CB5DD7"/>
    <w:rsid w:val="00CB7795"/>
    <w:rsid w:val="00CB77D5"/>
    <w:rsid w:val="00CC14F0"/>
    <w:rsid w:val="00CE1B90"/>
    <w:rsid w:val="00CE3B0F"/>
    <w:rsid w:val="00CE40BB"/>
    <w:rsid w:val="00CF045E"/>
    <w:rsid w:val="00CF1C61"/>
    <w:rsid w:val="00CF1C71"/>
    <w:rsid w:val="00CF510F"/>
    <w:rsid w:val="00D07696"/>
    <w:rsid w:val="00D10310"/>
    <w:rsid w:val="00D10E8A"/>
    <w:rsid w:val="00D11956"/>
    <w:rsid w:val="00D15A98"/>
    <w:rsid w:val="00D33AFC"/>
    <w:rsid w:val="00D4002A"/>
    <w:rsid w:val="00D448DE"/>
    <w:rsid w:val="00D45A22"/>
    <w:rsid w:val="00D466AE"/>
    <w:rsid w:val="00D500DC"/>
    <w:rsid w:val="00D50189"/>
    <w:rsid w:val="00D5316E"/>
    <w:rsid w:val="00D54B39"/>
    <w:rsid w:val="00D563D5"/>
    <w:rsid w:val="00D64FF3"/>
    <w:rsid w:val="00D657A2"/>
    <w:rsid w:val="00D75620"/>
    <w:rsid w:val="00D760C8"/>
    <w:rsid w:val="00D81A39"/>
    <w:rsid w:val="00D83FFD"/>
    <w:rsid w:val="00D8451F"/>
    <w:rsid w:val="00D8617D"/>
    <w:rsid w:val="00D92563"/>
    <w:rsid w:val="00DC7C10"/>
    <w:rsid w:val="00DD26B1"/>
    <w:rsid w:val="00DD2E80"/>
    <w:rsid w:val="00DD3666"/>
    <w:rsid w:val="00DD5177"/>
    <w:rsid w:val="00DE16B8"/>
    <w:rsid w:val="00DE20DF"/>
    <w:rsid w:val="00DE4CC2"/>
    <w:rsid w:val="00DF23FC"/>
    <w:rsid w:val="00DF39CD"/>
    <w:rsid w:val="00DF3BBE"/>
    <w:rsid w:val="00E0094D"/>
    <w:rsid w:val="00E02D9A"/>
    <w:rsid w:val="00E10A17"/>
    <w:rsid w:val="00E13427"/>
    <w:rsid w:val="00E1374D"/>
    <w:rsid w:val="00E20134"/>
    <w:rsid w:val="00E24CB2"/>
    <w:rsid w:val="00E313E9"/>
    <w:rsid w:val="00E31D1C"/>
    <w:rsid w:val="00E32981"/>
    <w:rsid w:val="00E34312"/>
    <w:rsid w:val="00E3536D"/>
    <w:rsid w:val="00E35599"/>
    <w:rsid w:val="00E44456"/>
    <w:rsid w:val="00E530A9"/>
    <w:rsid w:val="00E553B9"/>
    <w:rsid w:val="00E56E57"/>
    <w:rsid w:val="00E62EC4"/>
    <w:rsid w:val="00E6599B"/>
    <w:rsid w:val="00E726DE"/>
    <w:rsid w:val="00E844D5"/>
    <w:rsid w:val="00E86536"/>
    <w:rsid w:val="00E871C2"/>
    <w:rsid w:val="00E874F5"/>
    <w:rsid w:val="00EA1BAA"/>
    <w:rsid w:val="00EA681B"/>
    <w:rsid w:val="00EB117C"/>
    <w:rsid w:val="00ED401C"/>
    <w:rsid w:val="00EE333B"/>
    <w:rsid w:val="00EF2642"/>
    <w:rsid w:val="00EF3681"/>
    <w:rsid w:val="00EF3B7A"/>
    <w:rsid w:val="00EF4AAB"/>
    <w:rsid w:val="00EF7F84"/>
    <w:rsid w:val="00F02F75"/>
    <w:rsid w:val="00F0730A"/>
    <w:rsid w:val="00F10790"/>
    <w:rsid w:val="00F10E7C"/>
    <w:rsid w:val="00F13C1E"/>
    <w:rsid w:val="00F16F17"/>
    <w:rsid w:val="00F20BC2"/>
    <w:rsid w:val="00F3225F"/>
    <w:rsid w:val="00F342E4"/>
    <w:rsid w:val="00F35330"/>
    <w:rsid w:val="00F40860"/>
    <w:rsid w:val="00F41C91"/>
    <w:rsid w:val="00F42A83"/>
    <w:rsid w:val="00F433A4"/>
    <w:rsid w:val="00F4421A"/>
    <w:rsid w:val="00F44B1A"/>
    <w:rsid w:val="00F47316"/>
    <w:rsid w:val="00F53273"/>
    <w:rsid w:val="00F55DA5"/>
    <w:rsid w:val="00F56933"/>
    <w:rsid w:val="00F569F6"/>
    <w:rsid w:val="00F74C32"/>
    <w:rsid w:val="00F818D1"/>
    <w:rsid w:val="00F826E7"/>
    <w:rsid w:val="00F94BC2"/>
    <w:rsid w:val="00F95ABE"/>
    <w:rsid w:val="00F9756D"/>
    <w:rsid w:val="00FB5F12"/>
    <w:rsid w:val="00FC5117"/>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F21B2"/>
  <w15:docId w15:val="{4DA3CFA5-8D11-4622-A043-2FBBA1B6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76D"/>
    <w:pPr>
      <w:tabs>
        <w:tab w:val="left" w:pos="851"/>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37176D"/>
    <w:pPr>
      <w:keepNext/>
      <w:keepLines/>
      <w:spacing w:before="360"/>
      <w:ind w:left="851" w:hanging="851"/>
      <w:outlineLvl w:val="0"/>
    </w:pPr>
    <w:rPr>
      <w:b/>
      <w:sz w:val="28"/>
    </w:rPr>
  </w:style>
  <w:style w:type="paragraph" w:styleId="Heading2">
    <w:name w:val="heading 2"/>
    <w:basedOn w:val="Heading1"/>
    <w:next w:val="Normal"/>
    <w:qFormat/>
    <w:rsid w:val="0037176D"/>
    <w:pPr>
      <w:spacing w:before="24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AD566F"/>
    <w:pPr>
      <w:tabs>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C3510"/>
    <w:rPr>
      <w:rFonts w:ascii="Calibri" w:hAnsi="Calibri"/>
      <w:b w:val="0"/>
      <w:i w:val="0"/>
      <w:position w:val="6"/>
      <w:sz w:val="16"/>
    </w:rPr>
  </w:style>
  <w:style w:type="paragraph" w:styleId="FootnoteText">
    <w:name w:val="footnote text"/>
    <w:basedOn w:val="Normal"/>
    <w:rsid w:val="00903267"/>
    <w:pPr>
      <w:keepLines/>
      <w:tabs>
        <w:tab w:val="left" w:pos="256"/>
      </w:tabs>
      <w:ind w:left="256" w:hanging="256"/>
    </w:pPr>
    <w:rPr>
      <w:sz w:val="22"/>
    </w:r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D448DE"/>
    <w:pPr>
      <w:tabs>
        <w:tab w:val="clear" w:pos="1134"/>
        <w:tab w:val="clear" w:pos="1701"/>
        <w:tab w:val="clear" w:pos="2268"/>
        <w:tab w:val="clear" w:pos="2835"/>
      </w:tabs>
      <w:spacing w:before="40" w:after="40"/>
    </w:pPr>
    <w:rPr>
      <w:sz w:val="22"/>
    </w:rPr>
  </w:style>
  <w:style w:type="paragraph" w:customStyle="1" w:styleId="Tabletitle">
    <w:name w:val="Table_title"/>
    <w:basedOn w:val="TableNo"/>
    <w:next w:val="Tabletext"/>
    <w:rsid w:val="00AD566F"/>
    <w:pPr>
      <w:tabs>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D448DE"/>
    <w:pPr>
      <w:keepNext/>
      <w:spacing w:before="480" w:after="120"/>
      <w:jc w:val="center"/>
    </w:pPr>
    <w:rPr>
      <w:rFonts w:eastAsiaTheme="minorEastAsia"/>
      <w:caps/>
      <w:lang w:eastAsia="zh-CN"/>
    </w:rPr>
  </w:style>
  <w:style w:type="paragraph" w:customStyle="1" w:styleId="enumlev1">
    <w:name w:val="enumlev1"/>
    <w:basedOn w:val="Normal"/>
    <w:rsid w:val="00537FD9"/>
    <w:pPr>
      <w:spacing w:before="80"/>
      <w:ind w:left="851" w:hanging="851"/>
    </w:pPr>
  </w:style>
  <w:style w:type="paragraph" w:customStyle="1" w:styleId="enumlev2">
    <w:name w:val="enumlev2"/>
    <w:basedOn w:val="enumlev1"/>
    <w:rsid w:val="00537FD9"/>
    <w:pPr>
      <w:ind w:left="1135" w:hanging="28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0827A7"/>
    <w:pPr>
      <w:keepNext/>
      <w:keepLines/>
      <w:tabs>
        <w:tab w:val="clear" w:pos="1134"/>
        <w:tab w:val="clear" w:pos="1701"/>
        <w:tab w:val="clear" w:pos="2268"/>
        <w:tab w:val="clear" w:pos="2835"/>
      </w:tabs>
      <w:spacing w:before="160"/>
      <w:ind w:left="851"/>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qFormat/>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1134"/>
        <w:tab w:val="clear" w:pos="1701"/>
        <w:tab w:val="clear" w:pos="2268"/>
        <w:tab w:val="clear" w:pos="2835"/>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1134"/>
        <w:tab w:val="clear" w:pos="1701"/>
        <w:tab w:val="clear" w:pos="2268"/>
        <w:tab w:val="clear" w:pos="2835"/>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1134"/>
        <w:tab w:val="clear" w:pos="1701"/>
        <w:tab w:val="clear" w:pos="2268"/>
        <w:tab w:val="clear" w:pos="2835"/>
      </w:tabs>
      <w:jc w:val="left"/>
    </w:pPr>
    <w:rPr>
      <w:sz w:val="24"/>
    </w:rPr>
  </w:style>
  <w:style w:type="paragraph" w:customStyle="1" w:styleId="AppendixNoS2">
    <w:name w:val="Appendix_No_S2"/>
    <w:basedOn w:val="AppendixNo"/>
    <w:next w:val="AppendixrefS2"/>
    <w:rsid w:val="00257188"/>
    <w:pPr>
      <w:tabs>
        <w:tab w:val="clear" w:pos="1134"/>
        <w:tab w:val="clear" w:pos="1701"/>
        <w:tab w:val="clear" w:pos="2268"/>
        <w:tab w:val="clear" w:pos="2835"/>
      </w:tabs>
      <w:jc w:val="left"/>
    </w:pPr>
    <w:rPr>
      <w:b/>
      <w:sz w:val="24"/>
    </w:rPr>
  </w:style>
  <w:style w:type="paragraph" w:customStyle="1" w:styleId="AppendixrefS2">
    <w:name w:val="Appendix_ref_S2"/>
    <w:basedOn w:val="Appendixref"/>
    <w:next w:val="AnnextitleS2"/>
    <w:rsid w:val="00AD566F"/>
    <w:pPr>
      <w:tabs>
        <w:tab w:val="clear" w:pos="1134"/>
        <w:tab w:val="clear" w:pos="1701"/>
        <w:tab w:val="clear" w:pos="2268"/>
        <w:tab w:val="clear" w:pos="2835"/>
      </w:tabs>
      <w:jc w:val="left"/>
    </w:pPr>
    <w:rPr>
      <w:b/>
    </w:rPr>
  </w:style>
  <w:style w:type="paragraph" w:customStyle="1" w:styleId="AppendixtitleS2">
    <w:name w:val="Appendix_title_S2"/>
    <w:basedOn w:val="Appendixtitle"/>
    <w:next w:val="NormalS2"/>
    <w:rsid w:val="00257188"/>
    <w:pPr>
      <w:tabs>
        <w:tab w:val="clear" w:pos="1134"/>
        <w:tab w:val="clear" w:pos="1701"/>
        <w:tab w:val="clear" w:pos="2268"/>
        <w:tab w:val="clear" w:pos="2835"/>
      </w:tabs>
      <w:jc w:val="left"/>
    </w:pPr>
    <w:rPr>
      <w:sz w:val="24"/>
    </w:rPr>
  </w:style>
  <w:style w:type="paragraph" w:customStyle="1" w:styleId="ArtNoS2">
    <w:name w:val="Art_No_S2"/>
    <w:basedOn w:val="ArtNo"/>
    <w:next w:val="ArttitleS2"/>
    <w:rsid w:val="00257188"/>
    <w:pPr>
      <w:jc w:val="left"/>
    </w:pPr>
    <w:rPr>
      <w:b/>
      <w:sz w:val="24"/>
    </w:rPr>
  </w:style>
  <w:style w:type="paragraph" w:customStyle="1" w:styleId="ArttitleS2">
    <w:name w:val="Art_title_S2"/>
    <w:basedOn w:val="Arttitle"/>
    <w:next w:val="NormalS2"/>
    <w:rsid w:val="00257188"/>
    <w:pPr>
      <w:jc w:val="left"/>
    </w:pPr>
    <w:rPr>
      <w:sz w:val="24"/>
    </w:rPr>
  </w:style>
  <w:style w:type="paragraph" w:customStyle="1" w:styleId="ChapNoS2">
    <w:name w:val="Chap_No_S2"/>
    <w:basedOn w:val="ChapNo"/>
    <w:next w:val="ChaptitleS2"/>
    <w:rsid w:val="002F5FA2"/>
    <w:pPr>
      <w:jc w:val="left"/>
    </w:pPr>
    <w:rPr>
      <w:b/>
      <w:sz w:val="24"/>
    </w:rPr>
  </w:style>
  <w:style w:type="paragraph" w:customStyle="1" w:styleId="ChaptitleS2">
    <w:name w:val="Chap_title_S2"/>
    <w:basedOn w:val="Chaptitle"/>
    <w:next w:val="NormalS2"/>
    <w:rsid w:val="00257188"/>
    <w:pPr>
      <w:jc w:val="left"/>
    </w:pPr>
    <w:rPr>
      <w:sz w:val="24"/>
    </w:rPr>
  </w:style>
  <w:style w:type="paragraph" w:customStyle="1" w:styleId="enumlev1S2">
    <w:name w:val="enumlev1_S2"/>
    <w:basedOn w:val="enumlev1"/>
    <w:rsid w:val="00AD566F"/>
    <w:pPr>
      <w:tabs>
        <w:tab w:val="clear" w:pos="1134"/>
        <w:tab w:val="clear" w:pos="1701"/>
        <w:tab w:val="clear" w:pos="2268"/>
        <w:tab w:val="clear" w:pos="2835"/>
      </w:tabs>
      <w:ind w:left="0" w:firstLine="0"/>
    </w:pPr>
    <w:rPr>
      <w:b/>
    </w:rPr>
  </w:style>
  <w:style w:type="paragraph" w:customStyle="1" w:styleId="enumlev2S2">
    <w:name w:val="enumlev2_S2"/>
    <w:basedOn w:val="enumlev2"/>
    <w:rsid w:val="00AD566F"/>
    <w:pPr>
      <w:tabs>
        <w:tab w:val="clear" w:pos="1134"/>
        <w:tab w:val="clear" w:pos="1701"/>
        <w:tab w:val="clear" w:pos="2268"/>
        <w:tab w:val="clear" w:pos="2835"/>
      </w:tabs>
      <w:ind w:left="0" w:firstLine="0"/>
    </w:pPr>
    <w:rPr>
      <w:b/>
    </w:rPr>
  </w:style>
  <w:style w:type="paragraph" w:customStyle="1" w:styleId="enumlev3S2">
    <w:name w:val="enumlev3_S2"/>
    <w:basedOn w:val="enumlev3"/>
    <w:rsid w:val="00AD566F"/>
    <w:pPr>
      <w:tabs>
        <w:tab w:val="clear" w:pos="1134"/>
        <w:tab w:val="clear" w:pos="1701"/>
        <w:tab w:val="clear" w:pos="2268"/>
        <w:tab w:val="clear" w:pos="2835"/>
      </w:tabs>
      <w:ind w:left="0" w:firstLine="0"/>
    </w:pPr>
    <w:rPr>
      <w:b/>
    </w:rPr>
  </w:style>
  <w:style w:type="paragraph" w:customStyle="1" w:styleId="FootnoteTextS2">
    <w:name w:val="Footnote Text_S2"/>
    <w:basedOn w:val="FootnoteText"/>
    <w:rsid w:val="00AD566F"/>
    <w:pPr>
      <w:tabs>
        <w:tab w:val="clear" w:pos="256"/>
        <w:tab w:val="clear" w:pos="1134"/>
        <w:tab w:val="clear" w:pos="1701"/>
        <w:tab w:val="clear" w:pos="2268"/>
        <w:tab w:val="clear" w:pos="2835"/>
      </w:tabs>
      <w:ind w:left="0" w:firstLine="0"/>
    </w:pPr>
    <w:rPr>
      <w:b/>
    </w:rPr>
  </w:style>
  <w:style w:type="paragraph" w:customStyle="1" w:styleId="Heading1S2">
    <w:name w:val="Heading 1_S2"/>
    <w:basedOn w:val="Heading1"/>
    <w:next w:val="NormalS2"/>
    <w:rsid w:val="00AD566F"/>
    <w:pPr>
      <w:tabs>
        <w:tab w:val="clear" w:pos="1134"/>
        <w:tab w:val="clear" w:pos="1701"/>
        <w:tab w:val="clear" w:pos="2268"/>
        <w:tab w:val="clear" w:pos="2835"/>
      </w:tabs>
      <w:ind w:left="0" w:firstLine="0"/>
      <w:outlineLvl w:val="9"/>
    </w:pPr>
    <w:rPr>
      <w:sz w:val="24"/>
    </w:rPr>
  </w:style>
  <w:style w:type="paragraph" w:customStyle="1" w:styleId="Heading2S2">
    <w:name w:val="Heading 2_S2"/>
    <w:basedOn w:val="Heading2"/>
    <w:next w:val="NormalS2"/>
    <w:rsid w:val="00AD566F"/>
    <w:pPr>
      <w:tabs>
        <w:tab w:val="clear" w:pos="1134"/>
        <w:tab w:val="clear" w:pos="1701"/>
        <w:tab w:val="clear" w:pos="2268"/>
        <w:tab w:val="clear" w:pos="2835"/>
      </w:tabs>
    </w:pPr>
  </w:style>
  <w:style w:type="paragraph" w:customStyle="1" w:styleId="Heading3S2">
    <w:name w:val="Heading 3_S2"/>
    <w:basedOn w:val="Heading3"/>
    <w:next w:val="NormalS2"/>
    <w:rsid w:val="00AD566F"/>
    <w:pPr>
      <w:tabs>
        <w:tab w:val="clear" w:pos="1134"/>
        <w:tab w:val="clear" w:pos="1701"/>
        <w:tab w:val="clear" w:pos="2268"/>
        <w:tab w:val="clear" w:pos="2835"/>
      </w:tabs>
    </w:pPr>
  </w:style>
  <w:style w:type="paragraph" w:customStyle="1" w:styleId="Heading4S2">
    <w:name w:val="Heading 4_S2"/>
    <w:basedOn w:val="Heading4"/>
    <w:next w:val="NormalS2"/>
    <w:rsid w:val="00AD566F"/>
    <w:pPr>
      <w:tabs>
        <w:tab w:val="clear" w:pos="1134"/>
        <w:tab w:val="clear" w:pos="1701"/>
        <w:tab w:val="clear" w:pos="2268"/>
        <w:tab w:val="clear" w:pos="2835"/>
      </w:tabs>
    </w:pPr>
  </w:style>
  <w:style w:type="paragraph" w:customStyle="1" w:styleId="Heading5S2">
    <w:name w:val="Heading 5_S2"/>
    <w:basedOn w:val="Heading5"/>
    <w:next w:val="NormalS2"/>
    <w:rsid w:val="00AD566F"/>
    <w:pPr>
      <w:tabs>
        <w:tab w:val="clear" w:pos="1134"/>
        <w:tab w:val="clear" w:pos="1701"/>
        <w:tab w:val="clear" w:pos="2268"/>
        <w:tab w:val="clear" w:pos="2835"/>
      </w:tabs>
    </w:pPr>
  </w:style>
  <w:style w:type="paragraph" w:customStyle="1" w:styleId="Heading6S2">
    <w:name w:val="Heading 6_S2"/>
    <w:basedOn w:val="Heading6"/>
    <w:next w:val="NormalS2"/>
    <w:rsid w:val="00AD566F"/>
    <w:pPr>
      <w:tabs>
        <w:tab w:val="clear" w:pos="1134"/>
        <w:tab w:val="clear" w:pos="1701"/>
        <w:tab w:val="clear" w:pos="2268"/>
        <w:tab w:val="clear" w:pos="2835"/>
      </w:tabs>
    </w:pPr>
  </w:style>
  <w:style w:type="paragraph" w:customStyle="1" w:styleId="Heading7S2">
    <w:name w:val="Heading 7_S2"/>
    <w:basedOn w:val="Heading7"/>
    <w:next w:val="NormalS2"/>
    <w:rsid w:val="00AD566F"/>
    <w:pPr>
      <w:tabs>
        <w:tab w:val="clear" w:pos="1134"/>
        <w:tab w:val="clear" w:pos="1701"/>
        <w:tab w:val="clear" w:pos="2268"/>
        <w:tab w:val="clear" w:pos="2835"/>
      </w:tabs>
    </w:pPr>
  </w:style>
  <w:style w:type="paragraph" w:customStyle="1" w:styleId="Heading8S2">
    <w:name w:val="Heading 8_S2"/>
    <w:basedOn w:val="Heading8"/>
    <w:next w:val="NormalS2"/>
    <w:rsid w:val="00AD566F"/>
    <w:pPr>
      <w:tabs>
        <w:tab w:val="clear" w:pos="1134"/>
        <w:tab w:val="clear" w:pos="1701"/>
        <w:tab w:val="clear" w:pos="2268"/>
        <w:tab w:val="clear" w:pos="2835"/>
      </w:tabs>
    </w:pPr>
  </w:style>
  <w:style w:type="paragraph" w:customStyle="1" w:styleId="Heading9S2">
    <w:name w:val="Heading 9_S2"/>
    <w:basedOn w:val="Heading9"/>
    <w:next w:val="NormalS2"/>
    <w:rsid w:val="00AD566F"/>
    <w:pPr>
      <w:tabs>
        <w:tab w:val="clear" w:pos="1134"/>
        <w:tab w:val="clear" w:pos="1701"/>
        <w:tab w:val="clear" w:pos="2268"/>
        <w:tab w:val="clear" w:pos="2835"/>
      </w:tabs>
    </w:pPr>
  </w:style>
  <w:style w:type="paragraph" w:customStyle="1" w:styleId="NormalaftertitleS2">
    <w:name w:val="Normal after title_S2"/>
    <w:basedOn w:val="Normalaftertitle"/>
    <w:next w:val="NormalS2"/>
    <w:rsid w:val="00AD566F"/>
    <w:pPr>
      <w:keepNext/>
      <w:keepLines/>
      <w:tabs>
        <w:tab w:val="clear" w:pos="1134"/>
        <w:tab w:val="clear" w:pos="1701"/>
        <w:tab w:val="clear" w:pos="2268"/>
        <w:tab w:val="clear" w:pos="2835"/>
      </w:tabs>
    </w:pPr>
    <w:rPr>
      <w:b/>
    </w:rPr>
  </w:style>
  <w:style w:type="paragraph" w:customStyle="1" w:styleId="NormalIndentS2">
    <w:name w:val="Normal Indent_S2"/>
    <w:basedOn w:val="NormalIndent"/>
    <w:rsid w:val="00AD566F"/>
    <w:pPr>
      <w:tabs>
        <w:tab w:val="clear" w:pos="1134"/>
        <w:tab w:val="clear" w:pos="1701"/>
        <w:tab w:val="clear" w:pos="2268"/>
        <w:tab w:val="clear" w:pos="2835"/>
      </w:tabs>
      <w:ind w:left="0"/>
    </w:pPr>
    <w:rPr>
      <w:b/>
    </w:rPr>
  </w:style>
  <w:style w:type="paragraph" w:customStyle="1" w:styleId="NormalS2">
    <w:name w:val="Normal_S2"/>
    <w:basedOn w:val="Normal"/>
    <w:rsid w:val="00AD566F"/>
    <w:pPr>
      <w:tabs>
        <w:tab w:val="clear" w:pos="1134"/>
        <w:tab w:val="clear" w:pos="1701"/>
        <w:tab w:val="clear" w:pos="2268"/>
        <w:tab w:val="clear" w:pos="2835"/>
      </w:tabs>
    </w:pPr>
    <w:rPr>
      <w:b/>
    </w:rPr>
  </w:style>
  <w:style w:type="paragraph" w:customStyle="1" w:styleId="ReasonsS2">
    <w:name w:val="Reasons_S2"/>
    <w:basedOn w:val="Reasons"/>
    <w:rsid w:val="00AD566F"/>
    <w:pPr>
      <w:tabs>
        <w:tab w:val="clear" w:pos="1134"/>
        <w:tab w:val="clear" w:pos="1701"/>
        <w:tab w:val="clear" w:pos="2268"/>
        <w:tab w:val="clear" w:pos="2835"/>
      </w:tabs>
    </w:pPr>
    <w:rPr>
      <w:b/>
    </w:rPr>
  </w:style>
  <w:style w:type="paragraph" w:customStyle="1" w:styleId="RecNoS2">
    <w:name w:val="Rec_No_S2"/>
    <w:basedOn w:val="RecNo"/>
    <w:next w:val="RectitleS2"/>
    <w:rsid w:val="00257188"/>
    <w:pPr>
      <w:tabs>
        <w:tab w:val="clear" w:pos="1134"/>
        <w:tab w:val="clear" w:pos="1701"/>
        <w:tab w:val="clear" w:pos="2268"/>
        <w:tab w:val="clear" w:pos="2835"/>
      </w:tabs>
      <w:jc w:val="left"/>
    </w:pPr>
    <w:rPr>
      <w:b/>
      <w:sz w:val="24"/>
    </w:rPr>
  </w:style>
  <w:style w:type="paragraph" w:customStyle="1" w:styleId="RectitleS2">
    <w:name w:val="Rec_title_S2"/>
    <w:basedOn w:val="Rectitle"/>
    <w:next w:val="Heading1S2"/>
    <w:rsid w:val="00AD566F"/>
    <w:pPr>
      <w:tabs>
        <w:tab w:val="clear" w:pos="1134"/>
        <w:tab w:val="clear" w:pos="1701"/>
        <w:tab w:val="clear" w:pos="2268"/>
        <w:tab w:val="clear" w:pos="2835"/>
      </w:tabs>
      <w:jc w:val="left"/>
    </w:pPr>
    <w:rPr>
      <w:caps/>
    </w:rPr>
  </w:style>
  <w:style w:type="paragraph" w:customStyle="1" w:styleId="ReftextS2">
    <w:name w:val="Ref_text_S2"/>
    <w:basedOn w:val="Reftext"/>
    <w:rsid w:val="00AD566F"/>
    <w:pPr>
      <w:tabs>
        <w:tab w:val="clear" w:pos="1134"/>
        <w:tab w:val="clear" w:pos="1701"/>
        <w:tab w:val="clear" w:pos="2268"/>
        <w:tab w:val="clear" w:pos="2835"/>
      </w:tabs>
      <w:ind w:left="0" w:firstLine="0"/>
    </w:pPr>
    <w:rPr>
      <w:b/>
    </w:rPr>
  </w:style>
  <w:style w:type="paragraph" w:customStyle="1" w:styleId="ReftitleS2">
    <w:name w:val="Ref_title_S2"/>
    <w:basedOn w:val="Reftitle"/>
    <w:next w:val="ReftextS2"/>
    <w:rsid w:val="00257188"/>
    <w:pPr>
      <w:tabs>
        <w:tab w:val="clear" w:pos="1134"/>
        <w:tab w:val="clear" w:pos="1701"/>
        <w:tab w:val="clear" w:pos="2268"/>
        <w:tab w:val="clear" w:pos="2835"/>
      </w:tabs>
      <w:jc w:val="left"/>
    </w:pPr>
    <w:rPr>
      <w:b/>
      <w:caps w:val="0"/>
      <w:sz w:val="24"/>
    </w:rPr>
  </w:style>
  <w:style w:type="paragraph" w:customStyle="1" w:styleId="ResNoS2">
    <w:name w:val="Res_No_S2"/>
    <w:basedOn w:val="ResNo"/>
    <w:next w:val="RestitleS2"/>
    <w:rsid w:val="00257188"/>
    <w:pPr>
      <w:tabs>
        <w:tab w:val="clear" w:pos="1134"/>
        <w:tab w:val="clear" w:pos="1701"/>
        <w:tab w:val="clear" w:pos="2268"/>
        <w:tab w:val="clear" w:pos="2835"/>
      </w:tabs>
      <w:jc w:val="left"/>
    </w:pPr>
    <w:rPr>
      <w:b/>
      <w:sz w:val="24"/>
    </w:rPr>
  </w:style>
  <w:style w:type="paragraph" w:customStyle="1" w:styleId="RestitleS2">
    <w:name w:val="Res_title_S2"/>
    <w:basedOn w:val="Restitle"/>
    <w:next w:val="NormalS2"/>
    <w:rsid w:val="002F5FA2"/>
    <w:pPr>
      <w:tabs>
        <w:tab w:val="clear" w:pos="1134"/>
        <w:tab w:val="clear" w:pos="1701"/>
        <w:tab w:val="clear" w:pos="2268"/>
        <w:tab w:val="clear" w:pos="2835"/>
      </w:tabs>
      <w:jc w:val="left"/>
    </w:pPr>
    <w:rPr>
      <w:sz w:val="24"/>
    </w:rPr>
  </w:style>
  <w:style w:type="paragraph" w:customStyle="1" w:styleId="Section1S2">
    <w:name w:val="Section 1_S2"/>
    <w:basedOn w:val="Section1"/>
    <w:next w:val="NormalS2"/>
    <w:rsid w:val="00257188"/>
    <w:pPr>
      <w:jc w:val="left"/>
    </w:pPr>
    <w:rPr>
      <w:caps/>
      <w:sz w:val="24"/>
    </w:rPr>
  </w:style>
  <w:style w:type="paragraph" w:customStyle="1" w:styleId="Section2S2">
    <w:name w:val="Section 2_S2"/>
    <w:basedOn w:val="Section2"/>
    <w:next w:val="NormalS2"/>
    <w:rsid w:val="002F5FA2"/>
    <w:pPr>
      <w:jc w:val="left"/>
    </w:pPr>
    <w:rPr>
      <w:sz w:val="24"/>
    </w:rPr>
  </w:style>
  <w:style w:type="paragraph" w:customStyle="1" w:styleId="TableNoS2">
    <w:name w:val="Table_No_S2"/>
    <w:basedOn w:val="TableNo"/>
    <w:next w:val="TabletitleS2"/>
    <w:rsid w:val="00AD566F"/>
    <w:pPr>
      <w:keepNext w:val="0"/>
      <w:tabs>
        <w:tab w:val="clear" w:pos="1134"/>
        <w:tab w:val="clear" w:pos="1701"/>
        <w:tab w:val="clear" w:pos="2268"/>
        <w:tab w:val="clear" w:pos="2835"/>
      </w:tabs>
      <w:jc w:val="left"/>
    </w:pPr>
    <w:rPr>
      <w:b/>
    </w:rPr>
  </w:style>
  <w:style w:type="paragraph" w:customStyle="1" w:styleId="TablelegendS2">
    <w:name w:val="Table_legend_S2"/>
    <w:basedOn w:val="Tablelegend"/>
    <w:rsid w:val="00AD566F"/>
    <w:pPr>
      <w:spacing w:after="0"/>
    </w:pPr>
    <w:rPr>
      <w:b/>
    </w:rPr>
  </w:style>
  <w:style w:type="paragraph" w:customStyle="1" w:styleId="TabletextS2">
    <w:name w:val="Table_text_S2"/>
    <w:basedOn w:val="Tabletext"/>
    <w:rsid w:val="00AD566F"/>
    <w:rPr>
      <w:b/>
    </w:rPr>
  </w:style>
  <w:style w:type="paragraph" w:customStyle="1" w:styleId="TabletitleS2">
    <w:name w:val="Table_title_S2"/>
    <w:basedOn w:val="Tabletitle"/>
    <w:next w:val="TabletextS2"/>
    <w:rsid w:val="00AD566F"/>
    <w:pPr>
      <w:keepNext w:val="0"/>
      <w:tabs>
        <w:tab w:val="clear" w:pos="2948"/>
        <w:tab w:val="clear" w:pos="4082"/>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1134"/>
        <w:tab w:val="clear" w:pos="1701"/>
        <w:tab w:val="clear" w:pos="2268"/>
        <w:tab w:val="clear" w:pos="2835"/>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1134"/>
        <w:tab w:val="clear" w:pos="1701"/>
        <w:tab w:val="clear" w:pos="2268"/>
        <w:tab w:val="clear" w:pos="2835"/>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rsid w:val="005C3510"/>
    <w:rPr>
      <w:rFonts w:ascii="Calibri" w:hAnsi="Calibri"/>
      <w:color w:val="0070C0"/>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1134"/>
        <w:tab w:val="clear" w:pos="1701"/>
        <w:tab w:val="clear" w:pos="2268"/>
        <w:tab w:val="clear" w:pos="2835"/>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1134"/>
        <w:tab w:val="clear" w:pos="1701"/>
        <w:tab w:val="clear" w:pos="2268"/>
        <w:tab w:val="clear" w:pos="2835"/>
      </w:tabs>
    </w:pPr>
    <w:rPr>
      <w:b/>
      <w:i w:val="0"/>
    </w:rPr>
  </w:style>
  <w:style w:type="paragraph" w:customStyle="1" w:styleId="firstfooter0">
    <w:name w:val="firstfooter"/>
    <w:basedOn w:val="Normal"/>
    <w:rsid w:val="00DE4CC2"/>
    <w:pPr>
      <w:tabs>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1134"/>
        <w:tab w:val="clear" w:pos="1701"/>
        <w:tab w:val="clear" w:pos="2268"/>
        <w:tab w:val="clear" w:pos="2835"/>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uiPriority w:val="99"/>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styleId="Index7">
    <w:name w:val="index 7"/>
    <w:basedOn w:val="Normal"/>
    <w:next w:val="Normal"/>
    <w:rsid w:val="00C64ED7"/>
    <w:pPr>
      <w:ind w:left="1698"/>
    </w:pPr>
  </w:style>
  <w:style w:type="paragraph" w:styleId="Index6">
    <w:name w:val="index 6"/>
    <w:basedOn w:val="Normal"/>
    <w:next w:val="Normal"/>
    <w:rsid w:val="00C64ED7"/>
    <w:pPr>
      <w:ind w:left="1415"/>
    </w:pPr>
  </w:style>
  <w:style w:type="paragraph" w:styleId="Index5">
    <w:name w:val="index 5"/>
    <w:basedOn w:val="Normal"/>
    <w:next w:val="Normal"/>
    <w:rsid w:val="00C64ED7"/>
    <w:pPr>
      <w:ind w:left="1132"/>
    </w:pPr>
  </w:style>
  <w:style w:type="paragraph" w:styleId="Index4">
    <w:name w:val="index 4"/>
    <w:basedOn w:val="Normal"/>
    <w:next w:val="Normal"/>
    <w:rsid w:val="00C64ED7"/>
    <w:pPr>
      <w:ind w:left="849"/>
    </w:pPr>
  </w:style>
  <w:style w:type="paragraph" w:styleId="Index3">
    <w:name w:val="index 3"/>
    <w:basedOn w:val="Normal"/>
    <w:next w:val="Normal"/>
    <w:rsid w:val="00C64ED7"/>
    <w:pPr>
      <w:ind w:left="566"/>
    </w:pPr>
  </w:style>
  <w:style w:type="paragraph" w:styleId="Index2">
    <w:name w:val="index 2"/>
    <w:basedOn w:val="Normal"/>
    <w:next w:val="Normal"/>
    <w:rsid w:val="00C64ED7"/>
    <w:pPr>
      <w:ind w:left="283"/>
    </w:pPr>
  </w:style>
  <w:style w:type="paragraph" w:styleId="Index1">
    <w:name w:val="index 1"/>
    <w:basedOn w:val="Normal"/>
    <w:next w:val="Normal"/>
    <w:rsid w:val="00C64ED7"/>
  </w:style>
  <w:style w:type="character" w:styleId="LineNumber">
    <w:name w:val="line number"/>
    <w:basedOn w:val="DefaultParagraphFont"/>
    <w:rsid w:val="00C64ED7"/>
  </w:style>
  <w:style w:type="paragraph" w:styleId="IndexHeading">
    <w:name w:val="index heading"/>
    <w:basedOn w:val="Normal"/>
    <w:next w:val="Index1"/>
    <w:rsid w:val="00C64ED7"/>
  </w:style>
  <w:style w:type="paragraph" w:styleId="List">
    <w:name w:val="List"/>
    <w:basedOn w:val="Normal"/>
    <w:rsid w:val="00C64ED7"/>
    <w:pPr>
      <w:tabs>
        <w:tab w:val="left" w:pos="2127"/>
      </w:tabs>
      <w:ind w:left="2127" w:hanging="2127"/>
    </w:pPr>
  </w:style>
  <w:style w:type="table" w:styleId="TableGrid">
    <w:name w:val="Table Grid"/>
    <w:basedOn w:val="TableNormal"/>
    <w:uiPriority w:val="39"/>
    <w:rsid w:val="00C64ED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TOC4"/>
    <w:rsid w:val="00C64ED7"/>
  </w:style>
  <w:style w:type="paragraph" w:styleId="ListParagraph">
    <w:name w:val="List Paragraph"/>
    <w:basedOn w:val="Normal"/>
    <w:link w:val="ListParagraphChar"/>
    <w:uiPriority w:val="34"/>
    <w:qFormat/>
    <w:rsid w:val="00C64ED7"/>
    <w:pPr>
      <w:ind w:left="720"/>
      <w:contextualSpacing/>
    </w:pPr>
  </w:style>
  <w:style w:type="character" w:customStyle="1" w:styleId="ListParagraphChar">
    <w:name w:val="List Paragraph Char"/>
    <w:link w:val="ListParagraph"/>
    <w:uiPriority w:val="34"/>
    <w:locked/>
    <w:rsid w:val="00C64ED7"/>
    <w:rPr>
      <w:rFonts w:ascii="Calibri" w:hAnsi="Calibri"/>
      <w:sz w:val="24"/>
      <w:lang w:val="en-GB" w:eastAsia="en-US"/>
    </w:rPr>
  </w:style>
  <w:style w:type="character" w:styleId="CommentReference">
    <w:name w:val="annotation reference"/>
    <w:basedOn w:val="DefaultParagraphFont"/>
    <w:semiHidden/>
    <w:unhideWhenUsed/>
    <w:rsid w:val="00C64ED7"/>
    <w:rPr>
      <w:sz w:val="16"/>
      <w:szCs w:val="16"/>
    </w:rPr>
  </w:style>
  <w:style w:type="paragraph" w:styleId="CommentText">
    <w:name w:val="annotation text"/>
    <w:basedOn w:val="Normal"/>
    <w:link w:val="CommentTextChar"/>
    <w:unhideWhenUsed/>
    <w:rsid w:val="00C64ED7"/>
    <w:rPr>
      <w:sz w:val="20"/>
    </w:rPr>
  </w:style>
  <w:style w:type="character" w:customStyle="1" w:styleId="CommentTextChar">
    <w:name w:val="Comment Text Char"/>
    <w:basedOn w:val="DefaultParagraphFont"/>
    <w:link w:val="CommentText"/>
    <w:rsid w:val="00C64ED7"/>
    <w:rPr>
      <w:rFonts w:ascii="Calibri" w:hAnsi="Calibri"/>
      <w:lang w:val="en-GB" w:eastAsia="en-US"/>
    </w:rPr>
  </w:style>
  <w:style w:type="paragraph" w:styleId="CommentSubject">
    <w:name w:val="annotation subject"/>
    <w:basedOn w:val="CommentText"/>
    <w:next w:val="CommentText"/>
    <w:link w:val="CommentSubjectChar"/>
    <w:semiHidden/>
    <w:unhideWhenUsed/>
    <w:rsid w:val="00C64ED7"/>
    <w:rPr>
      <w:b/>
      <w:bCs/>
    </w:rPr>
  </w:style>
  <w:style w:type="character" w:customStyle="1" w:styleId="CommentSubjectChar">
    <w:name w:val="Comment Subject Char"/>
    <w:basedOn w:val="CommentTextChar"/>
    <w:link w:val="CommentSubject"/>
    <w:semiHidden/>
    <w:rsid w:val="00C64ED7"/>
    <w:rPr>
      <w:rFonts w:ascii="Calibri" w:hAnsi="Calibri"/>
      <w:b/>
      <w:bCs/>
      <w:lang w:val="en-GB" w:eastAsia="en-US"/>
    </w:rPr>
  </w:style>
  <w:style w:type="paragraph" w:styleId="Revision">
    <w:name w:val="Revision"/>
    <w:hidden/>
    <w:uiPriority w:val="99"/>
    <w:semiHidden/>
    <w:rsid w:val="00C64ED7"/>
    <w:rPr>
      <w:rFonts w:ascii="Calibri" w:hAnsi="Calibri"/>
      <w:sz w:val="24"/>
      <w:lang w:val="en-GB" w:eastAsia="en-US"/>
    </w:rPr>
  </w:style>
  <w:style w:type="paragraph" w:customStyle="1" w:styleId="OpNo">
    <w:name w:val="Op_No"/>
    <w:basedOn w:val="ResNo"/>
    <w:rsid w:val="00C64ED7"/>
  </w:style>
  <w:style w:type="paragraph" w:customStyle="1" w:styleId="Optitle0">
    <w:name w:val="Op_title"/>
    <w:basedOn w:val="Restitle"/>
    <w:rsid w:val="00C64ED7"/>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council/Documents/basic-texts-2023/RES-002-E.pdf" TargetMode="External"/><Relationship Id="rId18" Type="http://schemas.openxmlformats.org/officeDocument/2006/relationships/hyperlink" Target="https://academy.itu.int/itu-d/projects-activities/research-publications/digital-skills-toolkit" TargetMode="External"/><Relationship Id="rId26" Type="http://schemas.openxmlformats.org/officeDocument/2006/relationships/hyperlink" Target="https://www.itu.int/ssf/" TargetMode="External"/><Relationship Id="rId21" Type="http://schemas.openxmlformats.org/officeDocument/2006/relationships/hyperlink" Target="https://aiforgood.itu.int/ai-skills-coalition/"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www.itu.int/en/council/Pages/ieg-wtpf-26.aspx" TargetMode="External"/><Relationship Id="rId17" Type="http://schemas.openxmlformats.org/officeDocument/2006/relationships/hyperlink" Target="https://www.itu.int/en/mediacentre/backgrounders/Pages/skills-development-digital-economy.aspx" TargetMode="External"/><Relationship Id="rId25" Type="http://schemas.openxmlformats.org/officeDocument/2006/relationships/hyperlink" Target="https://www.itu.int/en/digital-resilience/submarine-cables/Pages/default.aspx"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tu.int/en/mediacentre/backgrounders/Pages/skills-development-digital-economy.aspx" TargetMode="External"/><Relationship Id="rId20" Type="http://schemas.openxmlformats.org/officeDocument/2006/relationships/hyperlink" Target="https://academy.itu.int/itu-d/projects-activities/research-publications/digital-skills-toolkit" TargetMode="External"/><Relationship Id="rId29" Type="http://schemas.openxmlformats.org/officeDocument/2006/relationships/hyperlink" Target="https://www.itu.int/itu-d/sites/innovation-alli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en/council/Documents/basic-texts-2023/RES-002-E.pdf" TargetMode="External"/><Relationship Id="rId24" Type="http://schemas.openxmlformats.org/officeDocument/2006/relationships/hyperlink" Target="https://www.itu.int/en/digital-resilience/submarine-cables/Pages/default.aspx"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4-SG-CIR-0044/en" TargetMode="External"/><Relationship Id="rId23" Type="http://schemas.openxmlformats.org/officeDocument/2006/relationships/hyperlink" Target="https://www.itu.int/initiatives/green-digital-action/" TargetMode="External"/><Relationship Id="rId28" Type="http://schemas.openxmlformats.org/officeDocument/2006/relationships/hyperlink" Target="https://www.itu.int/itu-d/sites/innovation-alliance/" TargetMode="External"/><Relationship Id="rId36" Type="http://schemas.openxmlformats.org/officeDocument/2006/relationships/fontTable" Target="fontTable.xml"/><Relationship Id="rId10" Type="http://schemas.openxmlformats.org/officeDocument/2006/relationships/hyperlink" Target="https://www.itu.int/md/S25-CL-C-0126/en" TargetMode="External"/><Relationship Id="rId19" Type="http://schemas.openxmlformats.org/officeDocument/2006/relationships/hyperlink" Target="https://aiforgood.itu.int/ai-skills-coalition/"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itu.int/en/council/Documents/basic-texts-2023/RES-002-E.pdf" TargetMode="External"/><Relationship Id="rId14" Type="http://schemas.openxmlformats.org/officeDocument/2006/relationships/hyperlink" Target="https://www.itu.int/md/S24-CL-C-0136/en" TargetMode="External"/><Relationship Id="rId22" Type="http://schemas.openxmlformats.org/officeDocument/2006/relationships/hyperlink" Target="https://www.itu.int/initiatives/green-digital-action/" TargetMode="External"/><Relationship Id="rId27" Type="http://schemas.openxmlformats.org/officeDocument/2006/relationships/hyperlink" Target="https://www.itu.int/ss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itu.int/en/council/Documents/basic-texts-2023/RES-002-E.pdf" TargetMode="Externa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en/ITU-D/Environment/Pages/Publications/GDC-25.aspx" TargetMode="External"/><Relationship Id="rId1" Type="http://schemas.openxmlformats.org/officeDocument/2006/relationships/hyperlink" Target="https://www.weforum.org/agenda/2024/04/how-to-manage-ais-energy-demand-today-tomorrow-and-in-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45</Pages>
  <Words>14838</Words>
  <Characters>97193</Characters>
  <Application>Microsoft Office Word</Application>
  <DocSecurity>0</DocSecurity>
  <Lines>1518</Lines>
  <Paragraphs>615</Paragraphs>
  <ScaleCrop>false</ScaleCrop>
  <HeadingPairs>
    <vt:vector size="2" baseType="variant">
      <vt:variant>
        <vt:lpstr>Title</vt:lpstr>
      </vt:variant>
      <vt:variant>
        <vt:i4>1</vt:i4>
      </vt:variant>
    </vt:vector>
  </HeadingPairs>
  <TitlesOfParts>
    <vt:vector size="1" baseType="lpstr">
      <vt:lpstr>Report by the ITU Secretary-General</vt:lpstr>
    </vt:vector>
  </TitlesOfParts>
  <Manager/>
  <Company>ITU</Company>
  <LinksUpToDate>false</LinksUpToDate>
  <CharactersWithSpaces>111416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by the ITU Secretary-General</dc:title>
  <dc:subject>World telecommunication/information and communication technology policy forum</dc:subject>
  <dc:creator>De La Rosa Trivino, Maria Dolores</dc:creator>
  <cp:keywords>WTPF, WTPF-26</cp:keywords>
  <cp:lastModifiedBy>GBS-2</cp:lastModifiedBy>
  <cp:revision>4</cp:revision>
  <dcterms:created xsi:type="dcterms:W3CDTF">2026-08-13T17:00:00Z</dcterms:created>
  <dcterms:modified xsi:type="dcterms:W3CDTF">2026-08-14T08:21:00Z</dcterms:modified>
  <cp:category>Conference document</cp:category>
</cp:coreProperties>
</file>