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F14CA3" w:rsidRPr="00B8314D" w14:paraId="0043AC80" w14:textId="77777777" w:rsidTr="6825F2C1">
        <w:trPr>
          <w:cantSplit/>
          <w:trHeight w:val="23"/>
        </w:trPr>
        <w:tc>
          <w:tcPr>
            <w:tcW w:w="3969" w:type="dxa"/>
            <w:vMerge w:val="restart"/>
            <w:tcMar>
              <w:left w:w="0" w:type="dxa"/>
            </w:tcMar>
          </w:tcPr>
          <w:p w14:paraId="60A806D3" w14:textId="6316C87D" w:rsidR="00F14CA3" w:rsidRPr="00E85629" w:rsidRDefault="00F14CA3" w:rsidP="00F14CA3">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4060C157" w:rsidR="00F14CA3" w:rsidRPr="00D20DAA" w:rsidRDefault="00F14CA3" w:rsidP="0F93C2E8">
            <w:pPr>
              <w:tabs>
                <w:tab w:val="left" w:pos="851"/>
              </w:tabs>
              <w:spacing w:before="0" w:line="240" w:lineRule="atLeast"/>
              <w:jc w:val="right"/>
              <w:rPr>
                <w:b/>
                <w:bCs/>
                <w:lang w:val="de-DE"/>
              </w:rPr>
            </w:pPr>
            <w:r w:rsidRPr="6825F2C1">
              <w:rPr>
                <w:b/>
                <w:bCs/>
                <w:lang w:val="de-DE"/>
              </w:rPr>
              <w:t>Document CWG-LANG-17/</w:t>
            </w:r>
            <w:r w:rsidR="00F62667">
              <w:rPr>
                <w:b/>
                <w:bCs/>
                <w:lang w:val="de-DE"/>
              </w:rPr>
              <w:t>3</w:t>
            </w:r>
          </w:p>
        </w:tc>
      </w:tr>
      <w:tr w:rsidR="00F14CA3" w:rsidRPr="00813E5E" w14:paraId="789B45BA" w14:textId="77777777" w:rsidTr="6825F2C1">
        <w:trPr>
          <w:cantSplit/>
        </w:trPr>
        <w:tc>
          <w:tcPr>
            <w:tcW w:w="3969" w:type="dxa"/>
            <w:vMerge/>
          </w:tcPr>
          <w:p w14:paraId="3F3D4E17" w14:textId="77777777" w:rsidR="00F14CA3" w:rsidRPr="00D20DAA" w:rsidRDefault="00F14CA3" w:rsidP="00F14CA3">
            <w:pPr>
              <w:tabs>
                <w:tab w:val="left" w:pos="851"/>
              </w:tabs>
              <w:spacing w:line="240" w:lineRule="atLeast"/>
              <w:rPr>
                <w:b/>
                <w:lang w:val="de-DE"/>
              </w:rPr>
            </w:pPr>
            <w:bookmarkStart w:id="6" w:name="ddate" w:colFirst="1" w:colLast="1"/>
            <w:bookmarkEnd w:id="0"/>
            <w:bookmarkEnd w:id="1"/>
          </w:p>
        </w:tc>
        <w:tc>
          <w:tcPr>
            <w:tcW w:w="5245" w:type="dxa"/>
          </w:tcPr>
          <w:p w14:paraId="2DE9ACEA" w14:textId="5595301D" w:rsidR="00F14CA3" w:rsidRPr="00E85629" w:rsidRDefault="00F62667" w:rsidP="00F14CA3">
            <w:pPr>
              <w:tabs>
                <w:tab w:val="left" w:pos="851"/>
              </w:tabs>
              <w:spacing w:before="0"/>
              <w:jc w:val="right"/>
              <w:rPr>
                <w:b/>
              </w:rPr>
            </w:pPr>
            <w:r>
              <w:rPr>
                <w:b/>
              </w:rPr>
              <w:t>11</w:t>
            </w:r>
            <w:r w:rsidR="00DD680C">
              <w:rPr>
                <w:b/>
              </w:rPr>
              <w:t xml:space="preserve"> </w:t>
            </w:r>
            <w:r w:rsidR="007E5634">
              <w:rPr>
                <w:b/>
              </w:rPr>
              <w:t>December 2025</w:t>
            </w:r>
          </w:p>
        </w:tc>
      </w:tr>
      <w:bookmarkEnd w:id="6"/>
      <w:tr w:rsidR="00F14CA3" w:rsidRPr="00813E5E" w14:paraId="58A84C4A" w14:textId="77777777" w:rsidTr="6825F2C1">
        <w:trPr>
          <w:cantSplit/>
          <w:trHeight w:val="23"/>
        </w:trPr>
        <w:tc>
          <w:tcPr>
            <w:tcW w:w="3969" w:type="dxa"/>
            <w:vMerge/>
          </w:tcPr>
          <w:p w14:paraId="77CEDDAA" w14:textId="77777777" w:rsidR="00F14CA3" w:rsidRPr="00813E5E" w:rsidRDefault="00F14CA3" w:rsidP="00F14CA3">
            <w:pPr>
              <w:tabs>
                <w:tab w:val="left" w:pos="851"/>
              </w:tabs>
              <w:spacing w:line="240" w:lineRule="atLeast"/>
              <w:rPr>
                <w:b/>
              </w:rPr>
            </w:pPr>
          </w:p>
        </w:tc>
        <w:tc>
          <w:tcPr>
            <w:tcW w:w="5245" w:type="dxa"/>
          </w:tcPr>
          <w:p w14:paraId="561AAE94" w14:textId="4A8D2B5E" w:rsidR="00F14CA3" w:rsidRPr="00E85629" w:rsidRDefault="00F14CA3" w:rsidP="00F14CA3">
            <w:pPr>
              <w:tabs>
                <w:tab w:val="left" w:pos="851"/>
              </w:tabs>
              <w:spacing w:before="0" w:line="240" w:lineRule="atLeast"/>
              <w:jc w:val="right"/>
              <w:rPr>
                <w:b/>
              </w:rPr>
            </w:pPr>
            <w:r w:rsidRPr="00147C54">
              <w:rPr>
                <w:b/>
              </w:rPr>
              <w:t>English only</w:t>
            </w:r>
          </w:p>
        </w:tc>
      </w:tr>
      <w:tr w:rsidR="00472BAD" w:rsidRPr="00813E5E" w14:paraId="12C5EF5F" w14:textId="77777777" w:rsidTr="6825F2C1">
        <w:trPr>
          <w:cantSplit/>
          <w:trHeight w:val="23"/>
        </w:trPr>
        <w:tc>
          <w:tcPr>
            <w:tcW w:w="3969" w:type="dxa"/>
          </w:tcPr>
          <w:p w14:paraId="4B839BA2" w14:textId="77777777" w:rsidR="00472BAD" w:rsidRPr="00813E5E" w:rsidRDefault="00472BAD" w:rsidP="00AD3606">
            <w:pPr>
              <w:tabs>
                <w:tab w:val="left" w:pos="851"/>
              </w:tabs>
              <w:spacing w:line="240" w:lineRule="atLeast"/>
              <w:rPr>
                <w:b/>
              </w:rPr>
            </w:pPr>
            <w:bookmarkStart w:id="7" w:name="dorlang" w:colFirst="1" w:colLast="1"/>
          </w:p>
        </w:tc>
        <w:bookmarkEnd w:id="7"/>
        <w:tc>
          <w:tcPr>
            <w:tcW w:w="5245" w:type="dxa"/>
          </w:tcPr>
          <w:p w14:paraId="12F66D25" w14:textId="77777777" w:rsidR="00472BAD" w:rsidRDefault="00472BAD" w:rsidP="6825F2C1">
            <w:pPr>
              <w:tabs>
                <w:tab w:val="left" w:pos="851"/>
              </w:tabs>
              <w:spacing w:before="0" w:line="240" w:lineRule="atLeast"/>
              <w:jc w:val="right"/>
              <w:rPr>
                <w:b/>
                <w:bCs/>
              </w:rPr>
            </w:pPr>
          </w:p>
        </w:tc>
      </w:tr>
      <w:tr w:rsidR="00AD3606" w:rsidRPr="00813E5E" w14:paraId="27000B2A" w14:textId="77777777" w:rsidTr="6825F2C1">
        <w:trPr>
          <w:cantSplit/>
        </w:trPr>
        <w:tc>
          <w:tcPr>
            <w:tcW w:w="9214" w:type="dxa"/>
            <w:gridSpan w:val="2"/>
            <w:tcMar>
              <w:left w:w="0" w:type="dxa"/>
            </w:tcMar>
          </w:tcPr>
          <w:p w14:paraId="4E7CDB90" w14:textId="221EFE32" w:rsidR="00AD3606" w:rsidRPr="00E4728B" w:rsidRDefault="313CF9F6" w:rsidP="6825F2C1">
            <w:pPr>
              <w:pStyle w:val="Title2"/>
              <w:framePr w:hSpace="0" w:wrap="auto" w:vAnchor="margin" w:hAnchor="text" w:xAlign="left" w:yAlign="inline"/>
            </w:pPr>
            <w:r w:rsidRPr="6825F2C1">
              <w:rPr>
                <w:rFonts w:eastAsia="Calibri" w:cs="Calibri"/>
                <w:b/>
                <w:bCs/>
                <w:caps w:val="0"/>
                <w:color w:val="000000" w:themeColor="text1"/>
                <w:sz w:val="31"/>
                <w:szCs w:val="31"/>
              </w:rPr>
              <w:t>Report by the Secretary-General</w:t>
            </w:r>
            <w:bookmarkStart w:id="8" w:name="dsource"/>
          </w:p>
        </w:tc>
      </w:tr>
      <w:tr w:rsidR="00AD3606" w:rsidRPr="00813E5E" w14:paraId="2340750D" w14:textId="77777777" w:rsidTr="6825F2C1">
        <w:trPr>
          <w:cantSplit/>
        </w:trPr>
        <w:tc>
          <w:tcPr>
            <w:tcW w:w="9214" w:type="dxa"/>
            <w:gridSpan w:val="2"/>
            <w:tcMar>
              <w:left w:w="0" w:type="dxa"/>
            </w:tcMar>
          </w:tcPr>
          <w:p w14:paraId="47B91AA8" w14:textId="04E2D684" w:rsidR="00AD3606" w:rsidRPr="007E5634" w:rsidRDefault="00F62667" w:rsidP="007E5634">
            <w:pPr>
              <w:pStyle w:val="Subtitle"/>
              <w:framePr w:hSpace="0" w:wrap="auto" w:xAlign="left" w:yAlign="inline"/>
            </w:pPr>
            <w:bookmarkStart w:id="9" w:name="dtitle1" w:colFirst="0" w:colLast="0"/>
            <w:bookmarkEnd w:id="8"/>
            <w:r w:rsidRPr="007E5634">
              <w:rPr>
                <w:rFonts w:eastAsiaTheme="minorEastAsia"/>
              </w:rPr>
              <w:t>DRAFT PROPOSAL FOR C</w:t>
            </w:r>
            <w:r w:rsidRPr="007E5634">
              <w:t>OLLABORATION ON THE IDENTIFICATION AND DEVELOPMENT OF QUALIFIED LOCAL INTERPRETERS</w:t>
            </w:r>
          </w:p>
        </w:tc>
      </w:tr>
      <w:tr w:rsidR="00AD3606" w:rsidRPr="00813E5E" w14:paraId="1F564D2D" w14:textId="77777777" w:rsidTr="6825F2C1">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5DDDCD30" w14:textId="064FC935" w:rsidR="00D20DAA" w:rsidRDefault="00D20DAA" w:rsidP="00F62667">
            <w:pPr>
              <w:spacing w:before="160"/>
              <w:jc w:val="both"/>
            </w:pPr>
            <w:r>
              <w:t xml:space="preserve">Following Member State proposals at the ITU Council on reducing the financial burden on countries hosting ITU events, and given the need to ensure high-quality linguistic support at ITU conferences, the ITU secretariat proposes strengthening cooperation with ITU Member States </w:t>
            </w:r>
            <w:r w:rsidR="00F647F7">
              <w:t>on</w:t>
            </w:r>
            <w:r>
              <w:t xml:space="preserve"> professional interpretation services</w:t>
            </w:r>
            <w:r w:rsidR="00F647F7">
              <w:t>.</w:t>
            </w:r>
          </w:p>
          <w:p w14:paraId="5076D5C4" w14:textId="41726D74" w:rsidR="00AD3606" w:rsidRPr="00F14CA3" w:rsidRDefault="00AD3606" w:rsidP="00F16BAB">
            <w:pPr>
              <w:spacing w:before="160"/>
              <w:rPr>
                <w:b/>
                <w:bCs/>
                <w:sz w:val="26"/>
                <w:szCs w:val="26"/>
              </w:rPr>
            </w:pPr>
            <w:r w:rsidRPr="00F14CA3">
              <w:rPr>
                <w:b/>
                <w:bCs/>
                <w:sz w:val="26"/>
                <w:szCs w:val="26"/>
              </w:rPr>
              <w:t>Action required</w:t>
            </w:r>
          </w:p>
          <w:p w14:paraId="53A776F1" w14:textId="699E062C" w:rsidR="00891503" w:rsidRPr="00F14CA3" w:rsidRDefault="009849D1" w:rsidP="00026FDC">
            <w:pPr>
              <w:spacing w:before="160"/>
              <w:jc w:val="both"/>
            </w:pPr>
            <w:r w:rsidRPr="009849D1">
              <w:t xml:space="preserve">This Council Working Group on the use of the six languages of the Union </w:t>
            </w:r>
            <w:r w:rsidR="007C6278">
              <w:t xml:space="preserve">is invited to </w:t>
            </w:r>
            <w:r w:rsidR="007C6278" w:rsidRPr="007C6278">
              <w:rPr>
                <w:b/>
                <w:bCs/>
              </w:rPr>
              <w:t>consider</w:t>
            </w:r>
            <w:r w:rsidR="007C6278">
              <w:t xml:space="preserve"> this report</w:t>
            </w:r>
            <w:r w:rsidRPr="009849D1">
              <w:t>.</w:t>
            </w:r>
          </w:p>
          <w:p w14:paraId="452769B5" w14:textId="77777777" w:rsidR="00BE19F7" w:rsidRDefault="00BE19F7">
            <w:r>
              <w:t>_______________</w:t>
            </w:r>
          </w:p>
          <w:p w14:paraId="00DEE14C" w14:textId="19BD1620" w:rsidR="00AD3606" w:rsidRPr="00F14CA3" w:rsidRDefault="00AD3606" w:rsidP="00F16BAB">
            <w:pPr>
              <w:spacing w:before="160"/>
              <w:rPr>
                <w:b/>
                <w:bCs/>
                <w:sz w:val="26"/>
                <w:szCs w:val="26"/>
              </w:rPr>
            </w:pPr>
            <w:r w:rsidRPr="00F14CA3">
              <w:rPr>
                <w:b/>
                <w:bCs/>
                <w:sz w:val="26"/>
                <w:szCs w:val="26"/>
              </w:rPr>
              <w:t>References</w:t>
            </w:r>
          </w:p>
          <w:p w14:paraId="0175CD6C" w14:textId="4F6999B5" w:rsidR="00AD3606" w:rsidRPr="003D635C" w:rsidRDefault="00806E3C" w:rsidP="00F16BAB">
            <w:pPr>
              <w:spacing w:after="160"/>
              <w:rPr>
                <w:i/>
                <w:iCs/>
                <w:sz w:val="22"/>
                <w:szCs w:val="22"/>
              </w:rPr>
            </w:pPr>
            <w:hyperlink r:id="rId11" w:history="1">
              <w:r w:rsidRPr="00F14CA3">
                <w:rPr>
                  <w:rStyle w:val="Hyperlink"/>
                  <w:i/>
                  <w:iCs/>
                  <w:sz w:val="22"/>
                  <w:szCs w:val="22"/>
                </w:rPr>
                <w:t>CWG-Lang website</w:t>
              </w:r>
            </w:hyperlink>
          </w:p>
        </w:tc>
      </w:tr>
    </w:tbl>
    <w:p w14:paraId="4CDB8B60" w14:textId="77777777" w:rsidR="00E227F3" w:rsidRPr="00BE19F7"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BE19F7"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BE19F7">
        <w:br w:type="page"/>
      </w:r>
    </w:p>
    <w:bookmarkEnd w:id="5"/>
    <w:bookmarkEnd w:id="10"/>
    <w:p w14:paraId="7BC62436" w14:textId="480A9EB5" w:rsidR="007E5634" w:rsidRPr="007E5634" w:rsidRDefault="00D20DAA" w:rsidP="007E5634">
      <w:pPr>
        <w:pStyle w:val="Heading1"/>
      </w:pPr>
      <w:r w:rsidRPr="0D64DB19">
        <w:lastRenderedPageBreak/>
        <w:t>1</w:t>
      </w:r>
      <w:r w:rsidR="007E5634">
        <w:tab/>
      </w:r>
      <w:r w:rsidRPr="0D64DB19">
        <w:t>Introduction</w:t>
      </w:r>
    </w:p>
    <w:p w14:paraId="54B34538" w14:textId="3918E7B0" w:rsidR="00D20DAA" w:rsidRPr="00F13397" w:rsidRDefault="00D20DAA" w:rsidP="007E5634">
      <w:pPr>
        <w:jc w:val="both"/>
      </w:pPr>
      <w:r>
        <w:t>Following Member State proposals at the ITU Council on reducing the financial burden on countries hosting ITU events, and given the continued need to ensure high-quality linguistic support at ITU conferences, meetings, and regional activities, the ITU secretariat proposes strengthening cooperation with ITU Member States on matters related to professional interpretation services. The aim is to enhance operational efficiency, ensure linguistic accuracy, and reduce costs associated with the provision of interpretation at ITU events hosted worldwide.</w:t>
      </w:r>
    </w:p>
    <w:p w14:paraId="59ED63FE" w14:textId="5D7B8D0C" w:rsidR="007E5634" w:rsidRDefault="00D20DAA" w:rsidP="007E5634">
      <w:pPr>
        <w:pStyle w:val="Heading1"/>
      </w:pPr>
      <w:r w:rsidRPr="18E89D59">
        <w:t>2</w:t>
      </w:r>
      <w:r w:rsidR="007E5634">
        <w:tab/>
      </w:r>
      <w:r w:rsidRPr="18E89D59">
        <w:t>Rationale</w:t>
      </w:r>
    </w:p>
    <w:p w14:paraId="7C73613D" w14:textId="0321E04B" w:rsidR="00D20DAA" w:rsidRPr="00F13397" w:rsidRDefault="00D20DAA" w:rsidP="0041287C">
      <w:pPr>
        <w:jc w:val="both"/>
      </w:pPr>
      <w:r>
        <w:t>ITU relies on professional interpreters with strong qualifications and specialised skills to support its six official languages. The availability of qualified local interpreters may vary significantly between regions. As a result, ITU often incurs substantial costs in deploying interpreters internationally, increasing in parallel the logistical burden for both host countries and the Union. Strengthening local capacity would contribute to cost-effectiveness, operational sustainability, and the long-term development of linguistic expertise within Member States.</w:t>
      </w:r>
    </w:p>
    <w:p w14:paraId="173D28DA" w14:textId="4B41604B" w:rsidR="007E5634" w:rsidRDefault="00D20DAA" w:rsidP="007E5634">
      <w:pPr>
        <w:pStyle w:val="Heading1"/>
      </w:pPr>
      <w:r w:rsidRPr="0D64DB19">
        <w:t>3</w:t>
      </w:r>
      <w:r w:rsidR="007E5634">
        <w:tab/>
      </w:r>
      <w:r w:rsidRPr="0D64DB19">
        <w:t>Proposal</w:t>
      </w:r>
    </w:p>
    <w:p w14:paraId="71665093" w14:textId="2054EDF1" w:rsidR="00D20DAA" w:rsidRPr="00F13397" w:rsidRDefault="00D20DAA" w:rsidP="0041287C">
      <w:pPr>
        <w:jc w:val="both"/>
      </w:pPr>
      <w:r>
        <w:t>The ITU secretariat (Conferences and Publications Department, C&amp;P) proposes that ITU Member States consider the following actions:</w:t>
      </w:r>
    </w:p>
    <w:p w14:paraId="7D2E1B7F" w14:textId="6161D791" w:rsidR="00D20DAA" w:rsidRPr="00F13397" w:rsidRDefault="00D20DAA" w:rsidP="007E5634">
      <w:pPr>
        <w:pStyle w:val="Heading2"/>
      </w:pPr>
      <w:r w:rsidRPr="00F13397">
        <w:t>3.1</w:t>
      </w:r>
      <w:r w:rsidR="007E5634">
        <w:tab/>
      </w:r>
      <w:r w:rsidRPr="007E5634">
        <w:t>Recommendation</w:t>
      </w:r>
      <w:r w:rsidRPr="00F13397">
        <w:t xml:space="preserve"> of qualified local professional interpreters</w:t>
      </w:r>
    </w:p>
    <w:p w14:paraId="6CE1E054" w14:textId="77777777" w:rsidR="00D20DAA" w:rsidRPr="00F13397" w:rsidRDefault="00D20DAA" w:rsidP="0041287C">
      <w:pPr>
        <w:jc w:val="both"/>
      </w:pPr>
      <w:r w:rsidRPr="00F13397">
        <w:t>Member States are invited to recommend local professional interpreters who meet the following minimum criteria:</w:t>
      </w:r>
    </w:p>
    <w:p w14:paraId="3067E6D6" w14:textId="2FDBC585" w:rsidR="00D20DAA" w:rsidRPr="00F13397" w:rsidRDefault="000937F7" w:rsidP="0041287C">
      <w:pPr>
        <w:pStyle w:val="enumlev1"/>
        <w:jc w:val="both"/>
      </w:pPr>
      <w:r>
        <w:t>–</w:t>
      </w:r>
      <w:r>
        <w:tab/>
      </w:r>
      <w:r w:rsidR="00D20DAA" w:rsidRPr="00F13397">
        <w:t>Language combination requirements:</w:t>
      </w:r>
    </w:p>
    <w:p w14:paraId="1D0F5E03" w14:textId="4BA86BB9" w:rsidR="00D20DAA" w:rsidRPr="00F13397" w:rsidRDefault="0041287C" w:rsidP="0041287C">
      <w:pPr>
        <w:pStyle w:val="enumlev2"/>
        <w:jc w:val="both"/>
      </w:pPr>
      <w:r>
        <w:t>•</w:t>
      </w:r>
      <w:r>
        <w:tab/>
      </w:r>
      <w:r w:rsidR="00D20DAA" w:rsidRPr="00F13397">
        <w:t>Native-level mastery of one of the six official languages of the Union (Arabic, Chinese, English, French, Russian, or Spanish); and</w:t>
      </w:r>
    </w:p>
    <w:p w14:paraId="71964A64" w14:textId="0BD3659C" w:rsidR="00D20DAA" w:rsidRPr="00F13397" w:rsidRDefault="0041287C" w:rsidP="0041287C">
      <w:pPr>
        <w:pStyle w:val="enumlev2"/>
        <w:jc w:val="both"/>
      </w:pPr>
      <w:r>
        <w:t>•</w:t>
      </w:r>
      <w:r>
        <w:tab/>
      </w:r>
      <w:r w:rsidR="00D20DAA">
        <w:t xml:space="preserve">Ability to interpret </w:t>
      </w:r>
      <w:r w:rsidR="00D20DAA" w:rsidRPr="65EF5F25">
        <w:rPr>
          <w:i/>
          <w:iCs/>
        </w:rPr>
        <w:t xml:space="preserve">from at least one </w:t>
      </w:r>
      <w:r w:rsidR="00D20DAA" w:rsidRPr="009F1AB4">
        <w:t>(preferably two) of the other official languages</w:t>
      </w:r>
      <w:r w:rsidR="00D20DAA" w:rsidRPr="002D329F">
        <w:t xml:space="preserve"> i</w:t>
      </w:r>
      <w:r w:rsidR="00D20DAA">
        <w:t>nto their native language.</w:t>
      </w:r>
    </w:p>
    <w:p w14:paraId="2DB0CC19" w14:textId="2BC743B9" w:rsidR="00D20DAA" w:rsidRPr="00F13397" w:rsidRDefault="0041287C" w:rsidP="0041287C">
      <w:pPr>
        <w:pStyle w:val="enumlev1"/>
        <w:jc w:val="both"/>
      </w:pPr>
      <w:r>
        <w:t>–</w:t>
      </w:r>
      <w:r>
        <w:tab/>
      </w:r>
      <w:r w:rsidR="00D20DAA" w:rsidRPr="00F13397">
        <w:t>Educational qualifications:</w:t>
      </w:r>
    </w:p>
    <w:p w14:paraId="7292B8F7" w14:textId="7876ABB3" w:rsidR="00D20DAA" w:rsidRPr="00F13397" w:rsidRDefault="0041287C" w:rsidP="0041287C">
      <w:pPr>
        <w:pStyle w:val="enumlev2"/>
        <w:jc w:val="both"/>
      </w:pPr>
      <w:r>
        <w:t>•</w:t>
      </w:r>
      <w:r>
        <w:tab/>
      </w:r>
      <w:r w:rsidR="00D20DAA">
        <w:t>A university degree in conference interpretation from a recognized and reputable academic institution.</w:t>
      </w:r>
    </w:p>
    <w:p w14:paraId="01CECC6D" w14:textId="582BD5CF" w:rsidR="00D20DAA" w:rsidRDefault="0041287C" w:rsidP="0041287C">
      <w:pPr>
        <w:pStyle w:val="enumlev1"/>
        <w:jc w:val="both"/>
      </w:pPr>
      <w:r>
        <w:t>–</w:t>
      </w:r>
      <w:r>
        <w:tab/>
      </w:r>
      <w:r w:rsidR="00D20DAA" w:rsidRPr="65EF5F25">
        <w:t>Experience:</w:t>
      </w:r>
    </w:p>
    <w:p w14:paraId="75852C43" w14:textId="6EB6C4B1" w:rsidR="00D20DAA" w:rsidRDefault="0041287C" w:rsidP="0041287C">
      <w:pPr>
        <w:pStyle w:val="enumlev2"/>
        <w:jc w:val="both"/>
      </w:pPr>
      <w:r>
        <w:t>•</w:t>
      </w:r>
      <w:r>
        <w:tab/>
      </w:r>
      <w:r w:rsidR="00D20DAA">
        <w:t xml:space="preserve">At least two years of experience working as a conference interpreter, preferably for international institutions and UN agencies. </w:t>
      </w:r>
    </w:p>
    <w:p w14:paraId="11000F2A" w14:textId="77777777" w:rsidR="00D20DAA" w:rsidRPr="00F13397" w:rsidRDefault="00D20DAA" w:rsidP="00D20DAA">
      <w:r w:rsidRPr="00F13397">
        <w:t>These recommendations will contribute to the establishment of a reliable roster of qualified interpreters available for ITU events hosted in the respective countries or regions.</w:t>
      </w:r>
    </w:p>
    <w:p w14:paraId="4A527C60" w14:textId="395B4D2A" w:rsidR="00D20DAA" w:rsidRPr="00F13397" w:rsidRDefault="00D20DAA" w:rsidP="0041287C">
      <w:pPr>
        <w:pStyle w:val="Heading2"/>
      </w:pPr>
      <w:r w:rsidRPr="0D64DB19">
        <w:lastRenderedPageBreak/>
        <w:t>3.2</w:t>
      </w:r>
      <w:r w:rsidR="0041287C">
        <w:tab/>
      </w:r>
      <w:r w:rsidRPr="0D64DB19">
        <w:t>Support in establishing contacts with academic institutions</w:t>
      </w:r>
    </w:p>
    <w:p w14:paraId="597A389A" w14:textId="2D13EF17" w:rsidR="00D20DAA" w:rsidRPr="00F13397" w:rsidRDefault="00D20DAA" w:rsidP="0041287C">
      <w:pPr>
        <w:jc w:val="both"/>
      </w:pPr>
      <w:r w:rsidRPr="00F13397">
        <w:t>C&amp;P also requests Member States’ assistance in facilitating contact between ITU and academic institutions in their countries</w:t>
      </w:r>
      <w:r w:rsidR="00F62667">
        <w:t>,</w:t>
      </w:r>
      <w:r w:rsidRPr="00F13397">
        <w:t xml:space="preserve"> </w:t>
      </w:r>
      <w:r>
        <w:t xml:space="preserve">offering </w:t>
      </w:r>
      <w:r w:rsidRPr="00F13397">
        <w:t xml:space="preserve">professional training in conference interpretation. Strengthening collaboration with </w:t>
      </w:r>
      <w:r>
        <w:t>these</w:t>
      </w:r>
      <w:r w:rsidRPr="00F13397">
        <w:t xml:space="preserve"> institutions would enable the ITU to:</w:t>
      </w:r>
    </w:p>
    <w:p w14:paraId="40DA61F5" w14:textId="33D19F59" w:rsidR="00D20DAA" w:rsidRPr="00F13397" w:rsidRDefault="0041287C" w:rsidP="0041287C">
      <w:pPr>
        <w:pStyle w:val="enumlev1"/>
        <w:jc w:val="both"/>
      </w:pPr>
      <w:r>
        <w:t>–</w:t>
      </w:r>
      <w:r>
        <w:tab/>
      </w:r>
      <w:r w:rsidR="00D20DAA">
        <w:t>p</w:t>
      </w:r>
      <w:r w:rsidR="00D20DAA" w:rsidRPr="00F13397">
        <w:t>rovide targeted training aligned with ITU’s specific technical and terminological needs;</w:t>
      </w:r>
    </w:p>
    <w:p w14:paraId="14ECD111" w14:textId="6F263087" w:rsidR="00D20DAA" w:rsidRPr="00F13397" w:rsidRDefault="0041287C" w:rsidP="0041287C">
      <w:pPr>
        <w:pStyle w:val="enumlev1"/>
        <w:jc w:val="both"/>
      </w:pPr>
      <w:r>
        <w:t>–</w:t>
      </w:r>
      <w:r>
        <w:tab/>
      </w:r>
      <w:r w:rsidR="00D20DAA">
        <w:t>e</w:t>
      </w:r>
      <w:r w:rsidR="00D20DAA" w:rsidRPr="00F13397">
        <w:t>xpand the pool of interpreters familiar with ITU procedures, subject matter, and linguistic standards;</w:t>
      </w:r>
      <w:r w:rsidR="00D20DAA">
        <w:t xml:space="preserve"> and</w:t>
      </w:r>
    </w:p>
    <w:p w14:paraId="5C1D4394" w14:textId="515A9403" w:rsidR="00D20DAA" w:rsidRPr="00F13397" w:rsidRDefault="0041287C" w:rsidP="0041287C">
      <w:pPr>
        <w:pStyle w:val="enumlev1"/>
        <w:jc w:val="both"/>
      </w:pPr>
      <w:r>
        <w:t>–</w:t>
      </w:r>
      <w:r>
        <w:tab/>
      </w:r>
      <w:r w:rsidR="00D20DAA">
        <w:t>s</w:t>
      </w:r>
      <w:r w:rsidR="00D20DAA" w:rsidRPr="00F13397">
        <w:t>upport long-term capacity building and professional development within Member States.</w:t>
      </w:r>
    </w:p>
    <w:p w14:paraId="25CCC551" w14:textId="1C260643" w:rsidR="007E5634" w:rsidRDefault="00D20DAA" w:rsidP="0041287C">
      <w:pPr>
        <w:pStyle w:val="Heading1"/>
      </w:pPr>
      <w:r w:rsidRPr="00F13397">
        <w:t>4</w:t>
      </w:r>
      <w:r w:rsidR="0041287C">
        <w:tab/>
      </w:r>
      <w:r w:rsidRPr="00F13397">
        <w:t xml:space="preserve">Expected </w:t>
      </w:r>
      <w:r>
        <w:t>b</w:t>
      </w:r>
      <w:r w:rsidRPr="00F13397">
        <w:t>enefits</w:t>
      </w:r>
    </w:p>
    <w:p w14:paraId="69B66CC4" w14:textId="3BBA80C7" w:rsidR="00D20DAA" w:rsidRPr="00F13397" w:rsidRDefault="00D20DAA" w:rsidP="0041287C">
      <w:pPr>
        <w:jc w:val="both"/>
      </w:pPr>
      <w:r>
        <w:t>This proposed collaboration would produce the following key benefits</w:t>
      </w:r>
      <w:r w:rsidRPr="00F13397">
        <w:t>:</w:t>
      </w:r>
    </w:p>
    <w:p w14:paraId="1677798A" w14:textId="54680169" w:rsidR="00D20DAA" w:rsidRPr="00F13397" w:rsidRDefault="0041287C" w:rsidP="0041287C">
      <w:pPr>
        <w:pStyle w:val="enumlev1"/>
        <w:jc w:val="both"/>
      </w:pPr>
      <w:r w:rsidRPr="0041287C">
        <w:t>–</w:t>
      </w:r>
      <w:r w:rsidRPr="0041287C">
        <w:tab/>
      </w:r>
      <w:r w:rsidR="00D20DAA" w:rsidRPr="00F13397">
        <w:rPr>
          <w:b/>
          <w:bCs/>
        </w:rPr>
        <w:t>Cost reduction</w:t>
      </w:r>
      <w:r w:rsidR="00D20DAA" w:rsidRPr="00F13397">
        <w:t xml:space="preserve"> for ITU and host countries through increased reliance on qualified local interpreters</w:t>
      </w:r>
    </w:p>
    <w:p w14:paraId="007E70EA" w14:textId="03900E7A" w:rsidR="00D20DAA" w:rsidRPr="00F13397" w:rsidRDefault="0041287C" w:rsidP="0041287C">
      <w:pPr>
        <w:pStyle w:val="enumlev1"/>
        <w:jc w:val="both"/>
      </w:pPr>
      <w:r w:rsidRPr="0041287C">
        <w:t>–</w:t>
      </w:r>
      <w:r w:rsidRPr="0041287C">
        <w:tab/>
      </w:r>
      <w:r w:rsidR="00D20DAA" w:rsidRPr="00F13397">
        <w:rPr>
          <w:b/>
          <w:bCs/>
        </w:rPr>
        <w:t>Improved geographic representation</w:t>
      </w:r>
      <w:r w:rsidR="00D20DAA" w:rsidRPr="00F13397">
        <w:t xml:space="preserve"> </w:t>
      </w:r>
      <w:r w:rsidR="00D20DAA">
        <w:t>in</w:t>
      </w:r>
      <w:r w:rsidR="00D20DAA" w:rsidRPr="00F13397">
        <w:t xml:space="preserve"> the interpreter pool</w:t>
      </w:r>
    </w:p>
    <w:p w14:paraId="0DBE62F4" w14:textId="6F296ED4" w:rsidR="00D20DAA" w:rsidRPr="00F13397" w:rsidRDefault="0041287C" w:rsidP="0041287C">
      <w:pPr>
        <w:pStyle w:val="enumlev1"/>
        <w:jc w:val="both"/>
      </w:pPr>
      <w:r w:rsidRPr="0041287C">
        <w:t>–</w:t>
      </w:r>
      <w:r w:rsidRPr="0041287C">
        <w:tab/>
      </w:r>
      <w:r w:rsidR="00D20DAA" w:rsidRPr="00F13397">
        <w:rPr>
          <w:b/>
          <w:bCs/>
        </w:rPr>
        <w:t>Enhanced service continuity and quality</w:t>
      </w:r>
      <w:r w:rsidR="00D20DAA" w:rsidRPr="00F13397">
        <w:t xml:space="preserve"> due to familiarity with ITU terminology and processes</w:t>
      </w:r>
    </w:p>
    <w:p w14:paraId="5BE6E8FB" w14:textId="7F713E6D" w:rsidR="00D20DAA" w:rsidRPr="00F13397" w:rsidRDefault="0041287C" w:rsidP="0041287C">
      <w:pPr>
        <w:pStyle w:val="enumlev1"/>
        <w:jc w:val="both"/>
      </w:pPr>
      <w:r w:rsidRPr="0041287C">
        <w:t>–</w:t>
      </w:r>
      <w:r w:rsidRPr="0041287C">
        <w:tab/>
      </w:r>
      <w:r w:rsidR="00D20DAA" w:rsidRPr="00F13397">
        <w:rPr>
          <w:b/>
          <w:bCs/>
        </w:rPr>
        <w:t>Capacity development</w:t>
      </w:r>
      <w:r w:rsidR="00D20DAA" w:rsidRPr="00F13397">
        <w:t xml:space="preserve"> at national and regional levels through strengthened linkages with academic institutions</w:t>
      </w:r>
    </w:p>
    <w:p w14:paraId="4484CF52" w14:textId="0F651334" w:rsidR="00D20DAA" w:rsidRPr="00F13397" w:rsidRDefault="0041287C" w:rsidP="0041287C">
      <w:pPr>
        <w:pStyle w:val="enumlev1"/>
        <w:jc w:val="both"/>
      </w:pPr>
      <w:r w:rsidRPr="0041287C">
        <w:t>–</w:t>
      </w:r>
      <w:r w:rsidRPr="0041287C">
        <w:tab/>
      </w:r>
      <w:r w:rsidR="00D20DAA" w:rsidRPr="00F13397">
        <w:rPr>
          <w:b/>
          <w:bCs/>
        </w:rPr>
        <w:t>Sustainable long-term interpreter availability</w:t>
      </w:r>
      <w:r w:rsidR="00D20DAA" w:rsidRPr="00F13397">
        <w:t>, reducing dependence on international deployment.</w:t>
      </w:r>
    </w:p>
    <w:p w14:paraId="36124EC3" w14:textId="6F841028" w:rsidR="00D20DAA" w:rsidRPr="00F13397" w:rsidRDefault="00D20DAA" w:rsidP="0041287C">
      <w:pPr>
        <w:pStyle w:val="Heading1"/>
      </w:pPr>
      <w:r w:rsidRPr="65EF5F25">
        <w:t>5</w:t>
      </w:r>
      <w:r w:rsidR="0041287C">
        <w:tab/>
      </w:r>
      <w:r w:rsidRPr="65EF5F25">
        <w:t>Timelines</w:t>
      </w:r>
    </w:p>
    <w:p w14:paraId="77645DBC" w14:textId="521EBAC2" w:rsidR="00D20DAA" w:rsidRPr="00F13397" w:rsidRDefault="00D20DAA" w:rsidP="0041287C">
      <w:pPr>
        <w:jc w:val="both"/>
      </w:pPr>
      <w:r>
        <w:t xml:space="preserve">ITU secretariat will publish a </w:t>
      </w:r>
      <w:r w:rsidR="002B47A0">
        <w:t xml:space="preserve">circular letter </w:t>
      </w:r>
      <w:r>
        <w:t>in February/March 2026 requesting feedback by</w:t>
      </w:r>
      <w:r w:rsidR="002B47A0">
        <w:t> </w:t>
      </w:r>
      <w:r>
        <w:t>May 2026 from Member States interested in participating in this collaboration. C&amp;P and interested Member States will then discuss the best approaches and way forward in June/July</w:t>
      </w:r>
      <w:r w:rsidR="002B47A0">
        <w:t> </w:t>
      </w:r>
      <w:r>
        <w:t xml:space="preserve">2026. </w:t>
      </w:r>
    </w:p>
    <w:p w14:paraId="658FFFF1" w14:textId="24C1D4DF" w:rsidR="007E5634" w:rsidRDefault="00D20DAA" w:rsidP="0041287C">
      <w:pPr>
        <w:pStyle w:val="Heading1"/>
      </w:pPr>
      <w:r w:rsidRPr="0D64DB19">
        <w:t>6</w:t>
      </w:r>
      <w:r w:rsidR="0041287C">
        <w:tab/>
      </w:r>
      <w:r w:rsidRPr="0D64DB19">
        <w:t>Conclusion</w:t>
      </w:r>
    </w:p>
    <w:p w14:paraId="606CFFC3" w14:textId="605ABE81" w:rsidR="00D20DAA" w:rsidRPr="00F13397" w:rsidRDefault="00D20DAA" w:rsidP="0041287C">
      <w:pPr>
        <w:jc w:val="both"/>
      </w:pPr>
      <w:r>
        <w:t xml:space="preserve">The C&amp;P Department looks forward to collaborating closely with ITU Member States on this initiative. By jointly identifying qualified local professionals and fostering links with interpreter-training institutions, ITU can reinforce the quality, efficiency, and sustainability of its linguistic services. Member States’ cooperation will be instrumental in ensuring that the organization continues to meet its multilingual communication standards while managing resources responsibly and sustainably. </w:t>
      </w:r>
    </w:p>
    <w:p w14:paraId="509CCF74" w14:textId="77777777" w:rsidR="00D20DAA" w:rsidRDefault="00D20DAA" w:rsidP="00D20DAA"/>
    <w:p w14:paraId="2622F8B1" w14:textId="77777777" w:rsidR="007E5634" w:rsidRDefault="007E5634" w:rsidP="00D20DAA"/>
    <w:p w14:paraId="55232675" w14:textId="77777777" w:rsidR="007E5634" w:rsidRDefault="007E5634">
      <w:pPr>
        <w:jc w:val="center"/>
      </w:pPr>
      <w:r>
        <w:t>______________</w:t>
      </w:r>
    </w:p>
    <w:sectPr w:rsidR="007E5634"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F059" w14:textId="77777777" w:rsidR="009B09AC" w:rsidRDefault="009B09AC">
      <w:r>
        <w:separator/>
      </w:r>
    </w:p>
  </w:endnote>
  <w:endnote w:type="continuationSeparator" w:id="0">
    <w:p w14:paraId="1235EF89" w14:textId="77777777" w:rsidR="009B09AC" w:rsidRDefault="009B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07402CB9" w14:textId="77777777" w:rsidTr="6825F2C1">
      <w:trPr>
        <w:jc w:val="center"/>
      </w:trPr>
      <w:tc>
        <w:tcPr>
          <w:tcW w:w="1803" w:type="dxa"/>
          <w:vAlign w:val="center"/>
        </w:tcPr>
        <w:p w14:paraId="727FD637" w14:textId="3F3F8725" w:rsidR="00EE49E8" w:rsidRDefault="00EE49E8" w:rsidP="00EE49E8">
          <w:pPr>
            <w:pStyle w:val="Header"/>
            <w:jc w:val="left"/>
            <w:rPr>
              <w:noProof/>
            </w:rPr>
          </w:pPr>
        </w:p>
      </w:tc>
      <w:tc>
        <w:tcPr>
          <w:tcW w:w="8261" w:type="dxa"/>
        </w:tcPr>
        <w:p w14:paraId="2D49E76E" w14:textId="39EFEECB" w:rsidR="00EE49E8" w:rsidRPr="00BA3A51" w:rsidRDefault="00EE49E8" w:rsidP="6825F2C1">
          <w:pPr>
            <w:pStyle w:val="Header"/>
            <w:tabs>
              <w:tab w:val="left" w:pos="5608"/>
              <w:tab w:val="right" w:pos="8505"/>
              <w:tab w:val="right" w:pos="9639"/>
            </w:tabs>
            <w:jc w:val="left"/>
            <w:rPr>
              <w:rFonts w:ascii="Arial" w:hAnsi="Arial" w:cs="Arial"/>
              <w:b/>
              <w:bCs/>
              <w:lang w:val="fr-CH"/>
            </w:rPr>
          </w:pPr>
          <w:r w:rsidRPr="005C13D4">
            <w:rPr>
              <w:bCs/>
              <w:lang w:val="fr-CH"/>
            </w:rPr>
            <w:tab/>
          </w:r>
          <w:r w:rsidR="6825F2C1" w:rsidRPr="6825F2C1">
            <w:rPr>
              <w:lang w:val="fr-CH"/>
            </w:rPr>
            <w:t>CWG-LANG-17/</w:t>
          </w:r>
          <w:r w:rsidR="00F62667">
            <w:rPr>
              <w:lang w:val="fr-CH"/>
            </w:rPr>
            <w:t>3</w:t>
          </w:r>
          <w:r w:rsidR="6825F2C1" w:rsidRPr="6825F2C1">
            <w:rPr>
              <w:lang w:val="fr-CH"/>
            </w:rPr>
            <w:t>-E</w:t>
          </w:r>
          <w:r w:rsidRPr="00BA3A51">
            <w:rPr>
              <w:bCs/>
              <w:lang w:val="fr-CH"/>
            </w:rPr>
            <w:tab/>
          </w:r>
          <w:r w:rsidRPr="6825F2C1">
            <w:rPr>
              <w:lang w:val="fr-CH"/>
            </w:rPr>
            <w:fldChar w:fldCharType="begin"/>
          </w:r>
          <w:r w:rsidRPr="00BA3A51">
            <w:rPr>
              <w:lang w:val="fr-CH"/>
            </w:rPr>
            <w:instrText>PAGE</w:instrText>
          </w:r>
          <w:r w:rsidRPr="6825F2C1">
            <w:fldChar w:fldCharType="separate"/>
          </w:r>
          <w:r w:rsidR="6825F2C1" w:rsidRPr="00BA3A51">
            <w:rPr>
              <w:lang w:val="fr-CH"/>
            </w:rPr>
            <w:t>1</w:t>
          </w:r>
          <w:r w:rsidRPr="6825F2C1">
            <w:rPr>
              <w:noProof/>
              <w:lang w:val="fr-CH"/>
            </w:rPr>
            <w:fldChar w:fldCharType="end"/>
          </w:r>
        </w:p>
      </w:tc>
    </w:tr>
  </w:tbl>
  <w:p w14:paraId="44006CCE"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2F6742" w:rsidRPr="002F6742" w14:paraId="1676760E" w14:textId="77777777" w:rsidTr="6825F2C1">
      <w:trPr>
        <w:jc w:val="center"/>
      </w:trPr>
      <w:tc>
        <w:tcPr>
          <w:tcW w:w="3107" w:type="dxa"/>
          <w:vAlign w:val="center"/>
        </w:tcPr>
        <w:p w14:paraId="12C71554" w14:textId="77777777" w:rsidR="002F6742" w:rsidRPr="002F6742" w:rsidRDefault="002F6742" w:rsidP="002F6742">
          <w:pPr>
            <w:tabs>
              <w:tab w:val="clear" w:pos="567"/>
              <w:tab w:val="clear" w:pos="1134"/>
              <w:tab w:val="clear" w:pos="1701"/>
              <w:tab w:val="clear" w:pos="2268"/>
              <w:tab w:val="clear" w:pos="2835"/>
            </w:tabs>
            <w:spacing w:before="0"/>
            <w:rPr>
              <w:rFonts w:eastAsia="Times New Roman" w:cs="Times New Roman"/>
              <w:noProof/>
              <w:color w:val="7F7F7F" w:themeColor="text1" w:themeTint="80"/>
              <w:sz w:val="18"/>
              <w:szCs w:val="20"/>
            </w:rPr>
          </w:pPr>
          <w:hyperlink r:id="rId1" w:history="1">
            <w:r w:rsidRPr="002F6742">
              <w:rPr>
                <w:rFonts w:eastAsia="Times New Roman" w:cs="Times New Roman"/>
                <w:color w:val="0563C1"/>
                <w:sz w:val="18"/>
                <w:szCs w:val="20"/>
                <w:u w:val="single"/>
              </w:rPr>
              <w:t>council.itu.int/working-groups</w:t>
            </w:r>
          </w:hyperlink>
        </w:p>
      </w:tc>
      <w:tc>
        <w:tcPr>
          <w:tcW w:w="6957" w:type="dxa"/>
        </w:tcPr>
        <w:p w14:paraId="7A89E080" w14:textId="4B861608" w:rsidR="002F6742" w:rsidRPr="002F6742" w:rsidRDefault="002F6742" w:rsidP="002F6742">
          <w:pPr>
            <w:tabs>
              <w:tab w:val="clear" w:pos="567"/>
              <w:tab w:val="clear" w:pos="1134"/>
              <w:tab w:val="clear" w:pos="1701"/>
              <w:tab w:val="clear" w:pos="2268"/>
              <w:tab w:val="clear" w:pos="2835"/>
              <w:tab w:val="left" w:pos="4299"/>
              <w:tab w:val="right" w:pos="8505"/>
              <w:tab w:val="right" w:pos="9639"/>
            </w:tabs>
            <w:spacing w:before="0"/>
            <w:rPr>
              <w:rFonts w:ascii="Arial" w:eastAsia="Times New Roman" w:hAnsi="Arial" w:cs="Arial"/>
              <w:b/>
              <w:bCs/>
              <w:color w:val="7F7F7F" w:themeColor="text1" w:themeTint="80"/>
              <w:sz w:val="18"/>
              <w:szCs w:val="18"/>
              <w:lang w:val="fr-CH"/>
            </w:rPr>
          </w:pPr>
          <w:r w:rsidRPr="002F6742">
            <w:rPr>
              <w:rFonts w:eastAsia="Times New Roman" w:cs="Times New Roman"/>
              <w:bCs/>
              <w:color w:val="7F7F7F" w:themeColor="text1" w:themeTint="80"/>
              <w:sz w:val="18"/>
              <w:szCs w:val="20"/>
            </w:rPr>
            <w:tab/>
          </w:r>
          <w:r w:rsidR="6825F2C1" w:rsidRPr="6825F2C1">
            <w:rPr>
              <w:rFonts w:eastAsia="Times New Roman" w:cs="Times New Roman"/>
              <w:color w:val="7F7F7F" w:themeColor="text1" w:themeTint="80"/>
              <w:sz w:val="18"/>
              <w:szCs w:val="18"/>
              <w:lang w:val="fr-CH"/>
            </w:rPr>
            <w:t>CWG-LANG-17/</w:t>
          </w:r>
          <w:r w:rsidR="00F62667">
            <w:rPr>
              <w:rFonts w:eastAsia="Times New Roman" w:cs="Times New Roman"/>
              <w:color w:val="7F7F7F" w:themeColor="text1" w:themeTint="80"/>
              <w:sz w:val="18"/>
              <w:szCs w:val="18"/>
              <w:lang w:val="fr-CH"/>
            </w:rPr>
            <w:t>3</w:t>
          </w:r>
          <w:r w:rsidR="6825F2C1" w:rsidRPr="6825F2C1">
            <w:rPr>
              <w:rFonts w:eastAsia="Times New Roman" w:cs="Times New Roman"/>
              <w:color w:val="7F7F7F" w:themeColor="text1" w:themeTint="80"/>
              <w:sz w:val="18"/>
              <w:szCs w:val="18"/>
              <w:lang w:val="fr-CH"/>
            </w:rPr>
            <w:t>-E</w:t>
          </w:r>
          <w:r w:rsidRPr="002F6742">
            <w:rPr>
              <w:rFonts w:eastAsia="Times New Roman" w:cs="Times New Roman"/>
              <w:bCs/>
              <w:color w:val="7F7F7F" w:themeColor="text1" w:themeTint="80"/>
              <w:sz w:val="18"/>
              <w:szCs w:val="20"/>
              <w:lang w:val="fr-CH"/>
            </w:rPr>
            <w:tab/>
          </w:r>
          <w:r w:rsidRPr="6825F2C1">
            <w:rPr>
              <w:color w:val="7F7F7F" w:themeColor="text1" w:themeTint="80"/>
              <w:sz w:val="18"/>
              <w:szCs w:val="18"/>
              <w:lang w:val="fr-CH"/>
            </w:rPr>
            <w:fldChar w:fldCharType="begin"/>
          </w:r>
          <w:r w:rsidRPr="002F6742">
            <w:rPr>
              <w:rFonts w:eastAsia="Times New Roman" w:cs="Times New Roman"/>
              <w:color w:val="7F7F7F" w:themeColor="text1" w:themeTint="80"/>
              <w:sz w:val="18"/>
              <w:szCs w:val="18"/>
              <w:lang w:val="fr-CH"/>
            </w:rPr>
            <w:instrText>PAGE</w:instrText>
          </w:r>
          <w:r w:rsidRPr="6825F2C1">
            <w:rPr>
              <w:color w:val="7F7F7F" w:themeColor="text1" w:themeTint="80"/>
              <w:sz w:val="18"/>
              <w:szCs w:val="18"/>
            </w:rPr>
            <w:fldChar w:fldCharType="separate"/>
          </w:r>
          <w:r w:rsidR="6825F2C1" w:rsidRPr="002F6742">
            <w:rPr>
              <w:rFonts w:eastAsia="Times New Roman" w:cs="Times New Roman"/>
              <w:color w:val="7F7F7F" w:themeColor="text1" w:themeTint="80"/>
              <w:sz w:val="18"/>
              <w:szCs w:val="18"/>
              <w:lang w:val="fr-CH"/>
            </w:rPr>
            <w:t>1</w:t>
          </w:r>
          <w:r w:rsidRPr="6825F2C1">
            <w:rPr>
              <w:noProof/>
              <w:color w:val="7F7F7F" w:themeColor="text1" w:themeTint="80"/>
              <w:sz w:val="18"/>
              <w:szCs w:val="18"/>
              <w:lang w:val="fr-CH"/>
            </w:rPr>
            <w:fldChar w:fldCharType="end"/>
          </w:r>
        </w:p>
      </w:tc>
    </w:tr>
  </w:tbl>
  <w:p w14:paraId="12BE588F" w14:textId="77777777" w:rsidR="00A514A4" w:rsidRPr="00BA3A51"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78A4" w14:textId="77777777" w:rsidR="009B09AC" w:rsidRDefault="009B09AC">
      <w:r>
        <w:t>____________________</w:t>
      </w:r>
    </w:p>
  </w:footnote>
  <w:footnote w:type="continuationSeparator" w:id="0">
    <w:p w14:paraId="0ABAD614" w14:textId="77777777" w:rsidR="009B09AC" w:rsidRDefault="009B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41860882" w:rsidR="00AD3606" w:rsidRPr="009621F8" w:rsidRDefault="00F14CA3"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FD198DA">
                    <wp:simplePos x="0" y="0"/>
                    <wp:positionH relativeFrom="column">
                      <wp:posOffset>539115</wp:posOffset>
                    </wp:positionH>
                    <wp:positionV relativeFrom="paragraph">
                      <wp:posOffset>11430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66D17BE0"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FD0404">
                                  <w:rPr>
                                    <w:sz w:val="20"/>
                                  </w:rPr>
                                  <w:t>20</w:t>
                                </w:r>
                                <w:r w:rsidR="00BE19F7">
                                  <w:rPr>
                                    <w:sz w:val="20"/>
                                  </w:rPr>
                                  <w:t xml:space="preserve"> 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margin-left:42.45pt;margin-top:.9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" filled="f" stroked="f">
                    <v:textbox style="mso-fit-shape-to-text:t">
                      <w:txbxContent>
                        <w:p w14:paraId="0B44A3EE" w14:textId="66D17BE0"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BA3A51">
                            <w:rPr>
                              <w:b/>
                              <w:bCs/>
                              <w:szCs w:val="24"/>
                            </w:rPr>
                            <w:t>the use of the six official languages of the Union</w:t>
                          </w:r>
                          <w:r>
                            <w:br/>
                          </w:r>
                          <w:r w:rsidR="00F14CA3">
                            <w:rPr>
                              <w:sz w:val="20"/>
                            </w:rPr>
                            <w:t>Seventeenth</w:t>
                          </w:r>
                          <w:r w:rsidRPr="00130599">
                            <w:rPr>
                              <w:sz w:val="20"/>
                            </w:rPr>
                            <w:t xml:space="preserve"> meeting </w:t>
                          </w:r>
                          <w:r w:rsidR="0042059E">
                            <w:rPr>
                              <w:sz w:val="20"/>
                            </w:rPr>
                            <w:t>–</w:t>
                          </w:r>
                          <w:r w:rsidR="00B358B2">
                            <w:rPr>
                              <w:sz w:val="20"/>
                            </w:rPr>
                            <w:t xml:space="preserve"> </w:t>
                          </w:r>
                          <w:r w:rsidR="00FD0404">
                            <w:rPr>
                              <w:sz w:val="20"/>
                            </w:rPr>
                            <w:t>20</w:t>
                          </w:r>
                          <w:r w:rsidR="00BE19F7">
                            <w:rPr>
                              <w:sz w:val="20"/>
                            </w:rPr>
                            <w:t xml:space="preserve"> January 2026</w:t>
                          </w:r>
                        </w:p>
                      </w:txbxContent>
                    </v:textbox>
                  </v:shape>
                </w:pict>
              </mc:Fallback>
            </mc:AlternateContent>
          </w:r>
          <w:r w:rsidR="00DB00D5">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6981A"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07322292">
                <wp:extent cx="2343444" cy="6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352690" cy="651224"/>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3A28926C"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2EA4D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4090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014AE"/>
    <w:multiLevelType w:val="multilevel"/>
    <w:tmpl w:val="0C7A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2B5CBE"/>
    <w:multiLevelType w:val="multilevel"/>
    <w:tmpl w:val="70A62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6F40DB"/>
    <w:multiLevelType w:val="multilevel"/>
    <w:tmpl w:val="A6EE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0"/>
  </w:num>
  <w:num w:numId="2" w16cid:durableId="106193612">
    <w:abstractNumId w:val="2"/>
  </w:num>
  <w:num w:numId="3" w16cid:durableId="1699504534">
    <w:abstractNumId w:val="3"/>
  </w:num>
  <w:num w:numId="4" w16cid:durableId="17002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6FDC"/>
    <w:rsid w:val="00063016"/>
    <w:rsid w:val="00066795"/>
    <w:rsid w:val="00076AF6"/>
    <w:rsid w:val="00085CF2"/>
    <w:rsid w:val="00092EC6"/>
    <w:rsid w:val="000937F7"/>
    <w:rsid w:val="000A5C05"/>
    <w:rsid w:val="000B1705"/>
    <w:rsid w:val="000D194C"/>
    <w:rsid w:val="000D75B2"/>
    <w:rsid w:val="001121F5"/>
    <w:rsid w:val="00130599"/>
    <w:rsid w:val="001400DC"/>
    <w:rsid w:val="00140CE1"/>
    <w:rsid w:val="0017539C"/>
    <w:rsid w:val="00175AC2"/>
    <w:rsid w:val="0017609F"/>
    <w:rsid w:val="001A72C5"/>
    <w:rsid w:val="001A7D1D"/>
    <w:rsid w:val="001B51DD"/>
    <w:rsid w:val="001C628E"/>
    <w:rsid w:val="001E0F7B"/>
    <w:rsid w:val="001E0FBE"/>
    <w:rsid w:val="001E5FE7"/>
    <w:rsid w:val="002119FD"/>
    <w:rsid w:val="002130E0"/>
    <w:rsid w:val="00244F7F"/>
    <w:rsid w:val="00264425"/>
    <w:rsid w:val="00265875"/>
    <w:rsid w:val="0027303B"/>
    <w:rsid w:val="0028109B"/>
    <w:rsid w:val="002A2188"/>
    <w:rsid w:val="002B1F58"/>
    <w:rsid w:val="002B47A0"/>
    <w:rsid w:val="002C1C7A"/>
    <w:rsid w:val="002C54E2"/>
    <w:rsid w:val="002F6742"/>
    <w:rsid w:val="0030160F"/>
    <w:rsid w:val="00320223"/>
    <w:rsid w:val="00322D0D"/>
    <w:rsid w:val="003607E4"/>
    <w:rsid w:val="00361465"/>
    <w:rsid w:val="003877F5"/>
    <w:rsid w:val="003942D4"/>
    <w:rsid w:val="003958A8"/>
    <w:rsid w:val="003B58C4"/>
    <w:rsid w:val="003C2533"/>
    <w:rsid w:val="003D5A7F"/>
    <w:rsid w:val="003D635C"/>
    <w:rsid w:val="004016E2"/>
    <w:rsid w:val="0040435A"/>
    <w:rsid w:val="0041287C"/>
    <w:rsid w:val="00416A24"/>
    <w:rsid w:val="0042059E"/>
    <w:rsid w:val="00431D9E"/>
    <w:rsid w:val="00433CE8"/>
    <w:rsid w:val="00434A5C"/>
    <w:rsid w:val="004544D9"/>
    <w:rsid w:val="00472BAD"/>
    <w:rsid w:val="00484009"/>
    <w:rsid w:val="00490E72"/>
    <w:rsid w:val="00491157"/>
    <w:rsid w:val="004921C8"/>
    <w:rsid w:val="00495B0B"/>
    <w:rsid w:val="004A1B8B"/>
    <w:rsid w:val="004D1851"/>
    <w:rsid w:val="004D4342"/>
    <w:rsid w:val="004D599D"/>
    <w:rsid w:val="004E2EA5"/>
    <w:rsid w:val="004E3AEB"/>
    <w:rsid w:val="0050223C"/>
    <w:rsid w:val="005243FF"/>
    <w:rsid w:val="005311D6"/>
    <w:rsid w:val="00536422"/>
    <w:rsid w:val="00564FBC"/>
    <w:rsid w:val="005800BC"/>
    <w:rsid w:val="00582442"/>
    <w:rsid w:val="005A335D"/>
    <w:rsid w:val="005C13D4"/>
    <w:rsid w:val="005E2BD5"/>
    <w:rsid w:val="005F3269"/>
    <w:rsid w:val="00623AE3"/>
    <w:rsid w:val="0064737F"/>
    <w:rsid w:val="006535F1"/>
    <w:rsid w:val="0065557D"/>
    <w:rsid w:val="00660D50"/>
    <w:rsid w:val="00662984"/>
    <w:rsid w:val="006716BB"/>
    <w:rsid w:val="006B1859"/>
    <w:rsid w:val="006B6680"/>
    <w:rsid w:val="006B6DCC"/>
    <w:rsid w:val="006D1933"/>
    <w:rsid w:val="006D1DD1"/>
    <w:rsid w:val="00702DEF"/>
    <w:rsid w:val="00706861"/>
    <w:rsid w:val="0075051B"/>
    <w:rsid w:val="00775655"/>
    <w:rsid w:val="00786FEA"/>
    <w:rsid w:val="00793188"/>
    <w:rsid w:val="00794D34"/>
    <w:rsid w:val="007C6278"/>
    <w:rsid w:val="007E5634"/>
    <w:rsid w:val="00806E3C"/>
    <w:rsid w:val="00813E5E"/>
    <w:rsid w:val="00816C2C"/>
    <w:rsid w:val="0083581B"/>
    <w:rsid w:val="00860EED"/>
    <w:rsid w:val="00863874"/>
    <w:rsid w:val="00864AFF"/>
    <w:rsid w:val="00865925"/>
    <w:rsid w:val="00891503"/>
    <w:rsid w:val="008964B4"/>
    <w:rsid w:val="008B4A6A"/>
    <w:rsid w:val="008C7E27"/>
    <w:rsid w:val="008F7448"/>
    <w:rsid w:val="0090147A"/>
    <w:rsid w:val="0090389B"/>
    <w:rsid w:val="009173EF"/>
    <w:rsid w:val="00932906"/>
    <w:rsid w:val="00947351"/>
    <w:rsid w:val="00961B0B"/>
    <w:rsid w:val="00962D33"/>
    <w:rsid w:val="009849D1"/>
    <w:rsid w:val="009B09AC"/>
    <w:rsid w:val="009B38C3"/>
    <w:rsid w:val="009E17BD"/>
    <w:rsid w:val="009E485A"/>
    <w:rsid w:val="00A04CEC"/>
    <w:rsid w:val="00A27F92"/>
    <w:rsid w:val="00A32257"/>
    <w:rsid w:val="00A36D20"/>
    <w:rsid w:val="00A467DF"/>
    <w:rsid w:val="00A46CD0"/>
    <w:rsid w:val="00A514A4"/>
    <w:rsid w:val="00A52C84"/>
    <w:rsid w:val="00A55622"/>
    <w:rsid w:val="00A83502"/>
    <w:rsid w:val="00AD15B3"/>
    <w:rsid w:val="00AD3606"/>
    <w:rsid w:val="00AD4A3D"/>
    <w:rsid w:val="00AF6E49"/>
    <w:rsid w:val="00AF6F51"/>
    <w:rsid w:val="00B04A67"/>
    <w:rsid w:val="00B0583C"/>
    <w:rsid w:val="00B248BC"/>
    <w:rsid w:val="00B358B2"/>
    <w:rsid w:val="00B40A81"/>
    <w:rsid w:val="00B44910"/>
    <w:rsid w:val="00B72267"/>
    <w:rsid w:val="00B76EB6"/>
    <w:rsid w:val="00B7737B"/>
    <w:rsid w:val="00B824C8"/>
    <w:rsid w:val="00B8314D"/>
    <w:rsid w:val="00B849D3"/>
    <w:rsid w:val="00B84B9D"/>
    <w:rsid w:val="00BA3A51"/>
    <w:rsid w:val="00BC251A"/>
    <w:rsid w:val="00BD032B"/>
    <w:rsid w:val="00BD5E95"/>
    <w:rsid w:val="00BE19F7"/>
    <w:rsid w:val="00BE2640"/>
    <w:rsid w:val="00C01189"/>
    <w:rsid w:val="00C34FD7"/>
    <w:rsid w:val="00C374DE"/>
    <w:rsid w:val="00C47AD4"/>
    <w:rsid w:val="00C52D81"/>
    <w:rsid w:val="00C55198"/>
    <w:rsid w:val="00CA6393"/>
    <w:rsid w:val="00CB18FF"/>
    <w:rsid w:val="00CD0C08"/>
    <w:rsid w:val="00CE03FB"/>
    <w:rsid w:val="00CE433C"/>
    <w:rsid w:val="00CF0161"/>
    <w:rsid w:val="00CF33F3"/>
    <w:rsid w:val="00D06183"/>
    <w:rsid w:val="00D20DAA"/>
    <w:rsid w:val="00D22C42"/>
    <w:rsid w:val="00D45669"/>
    <w:rsid w:val="00D464CC"/>
    <w:rsid w:val="00D53C61"/>
    <w:rsid w:val="00D65041"/>
    <w:rsid w:val="00D668D5"/>
    <w:rsid w:val="00DB00D5"/>
    <w:rsid w:val="00DB1936"/>
    <w:rsid w:val="00DB384B"/>
    <w:rsid w:val="00DD680C"/>
    <w:rsid w:val="00DF0189"/>
    <w:rsid w:val="00E02BAF"/>
    <w:rsid w:val="00E06FD5"/>
    <w:rsid w:val="00E10E80"/>
    <w:rsid w:val="00E124F0"/>
    <w:rsid w:val="00E227F3"/>
    <w:rsid w:val="00E2370A"/>
    <w:rsid w:val="00E4728B"/>
    <w:rsid w:val="00E53193"/>
    <w:rsid w:val="00E545C6"/>
    <w:rsid w:val="00E60F04"/>
    <w:rsid w:val="00E65B24"/>
    <w:rsid w:val="00E854E4"/>
    <w:rsid w:val="00E86678"/>
    <w:rsid w:val="00E86DBF"/>
    <w:rsid w:val="00EB0D6F"/>
    <w:rsid w:val="00EB2232"/>
    <w:rsid w:val="00EC5337"/>
    <w:rsid w:val="00ED2F05"/>
    <w:rsid w:val="00EE49E8"/>
    <w:rsid w:val="00EF3D50"/>
    <w:rsid w:val="00F14CA3"/>
    <w:rsid w:val="00F16BAB"/>
    <w:rsid w:val="00F2150A"/>
    <w:rsid w:val="00F231D8"/>
    <w:rsid w:val="00F44C00"/>
    <w:rsid w:val="00F45D2C"/>
    <w:rsid w:val="00F46C5F"/>
    <w:rsid w:val="00F62667"/>
    <w:rsid w:val="00F632C0"/>
    <w:rsid w:val="00F647F7"/>
    <w:rsid w:val="00F73038"/>
    <w:rsid w:val="00F74694"/>
    <w:rsid w:val="00F86596"/>
    <w:rsid w:val="00F94A63"/>
    <w:rsid w:val="00FA1C28"/>
    <w:rsid w:val="00FB1279"/>
    <w:rsid w:val="00FB6B76"/>
    <w:rsid w:val="00FB7596"/>
    <w:rsid w:val="00FD0404"/>
    <w:rsid w:val="00FE4077"/>
    <w:rsid w:val="00FE500D"/>
    <w:rsid w:val="00FE77D2"/>
    <w:rsid w:val="0F93C2E8"/>
    <w:rsid w:val="313CF9F6"/>
    <w:rsid w:val="6825F2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84A2F581-C09E-493F-924D-C2BD2113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7E5634"/>
    <w:pPr>
      <w:keepNext/>
      <w:keepLines/>
      <w:spacing w:before="360"/>
      <w:ind w:left="567" w:hanging="567"/>
      <w:outlineLvl w:val="0"/>
    </w:pPr>
    <w:rPr>
      <w:b/>
      <w:sz w:val="28"/>
    </w:rPr>
  </w:style>
  <w:style w:type="paragraph" w:styleId="Heading2">
    <w:name w:val="heading 2"/>
    <w:basedOn w:val="Heading1"/>
    <w:next w:val="Normal"/>
    <w:qFormat/>
    <w:rsid w:val="007E5634"/>
    <w:pPr>
      <w:spacing w:before="24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F14CA3"/>
    <w:rPr>
      <w:color w:val="666666"/>
    </w:rPr>
  </w:style>
  <w:style w:type="paragraph" w:customStyle="1" w:styleId="Reasons">
    <w:name w:val="Reasons"/>
    <w:basedOn w:val="Normal"/>
    <w:qFormat/>
    <w:rsid w:val="007E5634"/>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lang/Pages/defaul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E28E8-0469-4F3B-8AD3-41A209A84E21}">
  <ds:schemaRef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a4c22657-7647-457b-a399-8471255bb166"/>
  </ds:schemaRefs>
</ds:datastoreItem>
</file>

<file path=customXml/itemProps2.xml><?xml version="1.0" encoding="utf-8"?>
<ds:datastoreItem xmlns:ds="http://schemas.openxmlformats.org/officeDocument/2006/customXml" ds:itemID="{C45F55A9-47FC-4DA0-A86F-8346A7109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1E3B3-0F2F-484B-878E-AE66010D1949}">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642</Words>
  <Characters>4342</Characters>
  <Application>Microsoft Office Word</Application>
  <DocSecurity>0</DocSecurity>
  <Lines>310</Lines>
  <Paragraphs>237</Paragraphs>
  <ScaleCrop>false</ScaleCrop>
  <HeadingPairs>
    <vt:vector size="2" baseType="variant">
      <vt:variant>
        <vt:lpstr>Title</vt:lpstr>
      </vt:variant>
      <vt:variant>
        <vt:i4>1</vt:i4>
      </vt:variant>
    </vt:vector>
  </HeadingPairs>
  <TitlesOfParts>
    <vt:vector size="1" baseType="lpstr">
      <vt:lpstr>Draft proposal for collaboration on the identification and development of qualified local interpreters</vt:lpstr>
    </vt:vector>
  </TitlesOfParts>
  <Manager/>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proposal for collaboration on the identification and development of qualified local interpreters</dc:title>
  <dc:subject>ITU Council Working Group on the use of the six official languages of the Union</dc:subject>
  <cp:keywords>CWG-LANG; C26; Council-26</cp:keywords>
  <dc:description/>
  <dcterms:created xsi:type="dcterms:W3CDTF">2025-12-10T19:50:00Z</dcterms:created>
  <dcterms:modified xsi:type="dcterms:W3CDTF">2025-12-10T19:52:00Z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980dcafb-eaa2-4a20-bab0-244c9f7db4fe</vt:lpwstr>
  </property>
  <property fmtid="{D5CDD505-2E9C-101B-9397-08002B2CF9AE}" pid="3" name="ContentTypeId">
    <vt:lpwstr>0x010100814E447ED7B9DA4C9F10BB2808D9DCA9</vt:lpwstr>
  </property>
  <property fmtid="{D5CDD505-2E9C-101B-9397-08002B2CF9AE}" pid="4" name="docLang">
    <vt:lpwstr>en</vt:lpwstr>
  </property>
</Properties>
</file>