
<file path=[Content_Types].xml><?xml version="1.0" encoding="utf-8"?>
<Types xmlns="http://schemas.openxmlformats.org/package/2006/content-types">
  <Default Extension="png" ContentType="image/png"/>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F14CA3" w:rsidRPr="00B248BC" w14:paraId="0043AC80" w14:textId="77777777" w:rsidTr="00AD3606">
        <w:trPr>
          <w:cantSplit/>
          <w:trHeight w:val="23"/>
        </w:trPr>
        <w:tc>
          <w:tcPr>
            <w:tcW w:w="3969" w:type="dxa"/>
            <w:vMerge w:val="restart"/>
            <w:tcMar>
              <w:left w:w="0" w:type="dxa"/>
            </w:tcMar>
          </w:tcPr>
          <w:p w14:paraId="60A806D3" w14:textId="6316C87D" w:rsidR="00F14CA3" w:rsidRPr="00E85629" w:rsidRDefault="00F14CA3" w:rsidP="00F14CA3">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283C0C85" w:rsidR="00F14CA3" w:rsidRPr="00A52C84" w:rsidRDefault="00F14CA3" w:rsidP="00F14CA3">
            <w:pPr>
              <w:tabs>
                <w:tab w:val="left" w:pos="851"/>
              </w:tabs>
              <w:spacing w:before="0" w:line="240" w:lineRule="atLeast"/>
              <w:jc w:val="right"/>
              <w:rPr>
                <w:b/>
                <w:lang w:val="fr-CH"/>
              </w:rPr>
            </w:pPr>
            <w:r w:rsidRPr="00147C54">
              <w:rPr>
                <w:b/>
              </w:rPr>
              <w:t>Document CWG-LANG-</w:t>
            </w:r>
            <w:r>
              <w:rPr>
                <w:b/>
              </w:rPr>
              <w:t>17</w:t>
            </w:r>
            <w:r w:rsidRPr="00147C54">
              <w:rPr>
                <w:b/>
              </w:rPr>
              <w:t>/</w:t>
            </w:r>
            <w:r w:rsidR="00C93C85">
              <w:rPr>
                <w:b/>
              </w:rPr>
              <w:t>2</w:t>
            </w:r>
          </w:p>
        </w:tc>
      </w:tr>
      <w:tr w:rsidR="00F14CA3" w:rsidRPr="00813E5E" w14:paraId="789B45BA" w14:textId="77777777" w:rsidTr="00AD3606">
        <w:trPr>
          <w:cantSplit/>
        </w:trPr>
        <w:tc>
          <w:tcPr>
            <w:tcW w:w="3969" w:type="dxa"/>
            <w:vMerge/>
          </w:tcPr>
          <w:p w14:paraId="3F3D4E17" w14:textId="77777777" w:rsidR="00F14CA3" w:rsidRPr="00A52C84" w:rsidRDefault="00F14CA3" w:rsidP="00F14CA3">
            <w:pPr>
              <w:tabs>
                <w:tab w:val="left" w:pos="851"/>
              </w:tabs>
              <w:spacing w:line="240" w:lineRule="atLeast"/>
              <w:rPr>
                <w:b/>
                <w:lang w:val="fr-CH"/>
              </w:rPr>
            </w:pPr>
            <w:bookmarkStart w:id="6" w:name="ddate" w:colFirst="1" w:colLast="1"/>
            <w:bookmarkEnd w:id="0"/>
            <w:bookmarkEnd w:id="1"/>
          </w:p>
        </w:tc>
        <w:tc>
          <w:tcPr>
            <w:tcW w:w="5245" w:type="dxa"/>
          </w:tcPr>
          <w:p w14:paraId="2DE9ACEA" w14:textId="01F02760" w:rsidR="00F14CA3" w:rsidRPr="00E85629" w:rsidRDefault="004E7A94" w:rsidP="00F14CA3">
            <w:pPr>
              <w:tabs>
                <w:tab w:val="left" w:pos="851"/>
              </w:tabs>
              <w:spacing w:before="0"/>
              <w:jc w:val="right"/>
              <w:rPr>
                <w:b/>
              </w:rPr>
            </w:pPr>
            <w:r>
              <w:rPr>
                <w:b/>
              </w:rPr>
              <w:t>11</w:t>
            </w:r>
            <w:r w:rsidR="00791FA8">
              <w:rPr>
                <w:b/>
              </w:rPr>
              <w:t xml:space="preserve"> </w:t>
            </w:r>
            <w:r w:rsidR="00D202AD">
              <w:rPr>
                <w:b/>
              </w:rPr>
              <w:t>December 2025</w:t>
            </w:r>
          </w:p>
        </w:tc>
      </w:tr>
      <w:bookmarkEnd w:id="6"/>
      <w:tr w:rsidR="00F14CA3" w:rsidRPr="00813E5E" w14:paraId="58A84C4A" w14:textId="77777777" w:rsidTr="00AD3606">
        <w:trPr>
          <w:cantSplit/>
          <w:trHeight w:val="23"/>
        </w:trPr>
        <w:tc>
          <w:tcPr>
            <w:tcW w:w="3969" w:type="dxa"/>
            <w:vMerge/>
          </w:tcPr>
          <w:p w14:paraId="77CEDDAA" w14:textId="77777777" w:rsidR="00F14CA3" w:rsidRPr="00813E5E" w:rsidRDefault="00F14CA3" w:rsidP="00F14CA3">
            <w:pPr>
              <w:tabs>
                <w:tab w:val="left" w:pos="851"/>
              </w:tabs>
              <w:spacing w:line="240" w:lineRule="atLeast"/>
              <w:rPr>
                <w:b/>
              </w:rPr>
            </w:pPr>
          </w:p>
        </w:tc>
        <w:tc>
          <w:tcPr>
            <w:tcW w:w="5245" w:type="dxa"/>
          </w:tcPr>
          <w:p w14:paraId="561AAE94" w14:textId="4A8D2B5E" w:rsidR="00F14CA3" w:rsidRPr="00E85629" w:rsidRDefault="00F14CA3" w:rsidP="00F14CA3">
            <w:pPr>
              <w:tabs>
                <w:tab w:val="left" w:pos="851"/>
              </w:tabs>
              <w:spacing w:before="0" w:line="240" w:lineRule="atLeast"/>
              <w:jc w:val="right"/>
              <w:rPr>
                <w:b/>
              </w:rPr>
            </w:pPr>
            <w:r w:rsidRPr="00147C54">
              <w:rPr>
                <w:b/>
              </w:rPr>
              <w:t>English only</w:t>
            </w:r>
          </w:p>
        </w:tc>
      </w:tr>
      <w:tr w:rsidR="00472BAD" w:rsidRPr="00813E5E" w14:paraId="12C5EF5F" w14:textId="77777777" w:rsidTr="00AD3606">
        <w:trPr>
          <w:cantSplit/>
          <w:trHeight w:val="23"/>
        </w:trPr>
        <w:tc>
          <w:tcPr>
            <w:tcW w:w="3969" w:type="dxa"/>
          </w:tcPr>
          <w:p w14:paraId="4B839BA2" w14:textId="77777777" w:rsidR="00472BAD" w:rsidRPr="00813E5E" w:rsidRDefault="00472BAD" w:rsidP="00AD3606">
            <w:pPr>
              <w:tabs>
                <w:tab w:val="left" w:pos="851"/>
              </w:tabs>
              <w:spacing w:line="240" w:lineRule="atLeast"/>
              <w:rPr>
                <w:b/>
              </w:rPr>
            </w:pPr>
            <w:bookmarkStart w:id="7" w:name="dorlang" w:colFirst="1" w:colLast="1"/>
          </w:p>
        </w:tc>
        <w:tc>
          <w:tcPr>
            <w:tcW w:w="5245" w:type="dxa"/>
          </w:tcPr>
          <w:p w14:paraId="12F66D25" w14:textId="77777777" w:rsidR="00472BAD" w:rsidRDefault="00472BAD" w:rsidP="00AD3606">
            <w:pPr>
              <w:tabs>
                <w:tab w:val="left" w:pos="851"/>
              </w:tabs>
              <w:spacing w:before="0" w:line="240" w:lineRule="atLeast"/>
              <w:jc w:val="right"/>
              <w:rPr>
                <w:b/>
              </w:rPr>
            </w:pPr>
          </w:p>
        </w:tc>
      </w:tr>
      <w:tr w:rsidR="00AD3606" w:rsidRPr="00813E5E" w14:paraId="27000B2A" w14:textId="77777777" w:rsidTr="00AD3606">
        <w:trPr>
          <w:cantSplit/>
        </w:trPr>
        <w:tc>
          <w:tcPr>
            <w:tcW w:w="9214" w:type="dxa"/>
            <w:gridSpan w:val="2"/>
            <w:tcMar>
              <w:left w:w="0" w:type="dxa"/>
            </w:tcMar>
          </w:tcPr>
          <w:p w14:paraId="4E7CDB90" w14:textId="27CD9B38" w:rsidR="00AD3606" w:rsidRPr="00E4728B" w:rsidRDefault="00F14CA3" w:rsidP="00E4728B">
            <w:pPr>
              <w:pStyle w:val="Source"/>
              <w:framePr w:hSpace="0" w:wrap="auto" w:vAnchor="margin" w:hAnchor="text" w:xAlign="left" w:yAlign="inline"/>
            </w:pPr>
            <w:bookmarkStart w:id="8" w:name="dsource" w:colFirst="0" w:colLast="0"/>
            <w:bookmarkEnd w:id="7"/>
            <w:r>
              <w:t>Report by the Secretary-General</w:t>
            </w:r>
          </w:p>
        </w:tc>
      </w:tr>
      <w:tr w:rsidR="00AD3606" w:rsidRPr="00813E5E" w14:paraId="2340750D" w14:textId="77777777" w:rsidTr="00AD3606">
        <w:trPr>
          <w:cantSplit/>
        </w:trPr>
        <w:tc>
          <w:tcPr>
            <w:tcW w:w="9214" w:type="dxa"/>
            <w:gridSpan w:val="2"/>
            <w:tcMar>
              <w:left w:w="0" w:type="dxa"/>
            </w:tcMar>
          </w:tcPr>
          <w:p w14:paraId="47B91AA8" w14:textId="68C82A6D" w:rsidR="00AD3606" w:rsidRPr="00E4728B" w:rsidRDefault="00C93C85" w:rsidP="00E4728B">
            <w:pPr>
              <w:pStyle w:val="Subtitle"/>
              <w:framePr w:hSpace="0" w:wrap="auto" w:xAlign="left" w:yAlign="inline"/>
            </w:pPr>
            <w:bookmarkStart w:id="9" w:name="_Hlk187224703"/>
            <w:bookmarkStart w:id="10" w:name="dtitle1" w:colFirst="0" w:colLast="0"/>
            <w:bookmarkEnd w:id="8"/>
            <w:r w:rsidRPr="00C91AD1">
              <w:t>IMPLEMENTATION OF RESOLUTION 154 (REV. BUCHAREST, 2022) AND RESOLUTION 1372 (</w:t>
            </w:r>
            <w:proofErr w:type="spellStart"/>
            <w:r w:rsidRPr="00C91AD1">
              <w:t>C15</w:t>
            </w:r>
            <w:proofErr w:type="spellEnd"/>
            <w:r w:rsidRPr="00C91AD1">
              <w:t xml:space="preserve">, LAST AMENDED </w:t>
            </w:r>
            <w:proofErr w:type="spellStart"/>
            <w:r w:rsidRPr="00C91AD1">
              <w:t>C24</w:t>
            </w:r>
            <w:proofErr w:type="spellEnd"/>
            <w:r w:rsidRPr="00C91AD1">
              <w:t>)</w:t>
            </w:r>
            <w:bookmarkEnd w:id="9"/>
          </w:p>
        </w:tc>
      </w:tr>
      <w:tr w:rsidR="00AD3606" w:rsidRPr="00813E5E" w14:paraId="1F564D2D" w14:textId="77777777" w:rsidTr="00AD3606">
        <w:trPr>
          <w:cantSplit/>
        </w:trPr>
        <w:tc>
          <w:tcPr>
            <w:tcW w:w="9214" w:type="dxa"/>
            <w:gridSpan w:val="2"/>
            <w:tcBorders>
              <w:top w:val="single" w:sz="4" w:space="0" w:color="auto"/>
              <w:bottom w:val="single" w:sz="4" w:space="0" w:color="auto"/>
            </w:tcBorders>
            <w:tcMar>
              <w:left w:w="0" w:type="dxa"/>
            </w:tcMar>
          </w:tcPr>
          <w:p w14:paraId="7AD73B47" w14:textId="3A59D05A" w:rsidR="00AD3606" w:rsidRPr="00F16BAB" w:rsidRDefault="00F16BAB" w:rsidP="00F16BAB">
            <w:pPr>
              <w:spacing w:before="160"/>
              <w:rPr>
                <w:b/>
                <w:bCs/>
                <w:sz w:val="26"/>
                <w:szCs w:val="26"/>
              </w:rPr>
            </w:pPr>
            <w:r w:rsidRPr="00F16BAB">
              <w:rPr>
                <w:b/>
                <w:bCs/>
                <w:sz w:val="26"/>
                <w:szCs w:val="26"/>
              </w:rPr>
              <w:t>Purpose</w:t>
            </w:r>
          </w:p>
          <w:p w14:paraId="5BA89B79" w14:textId="3E43355E" w:rsidR="00085CC2" w:rsidRDefault="00085CC2" w:rsidP="00D202AD">
            <w:pPr>
              <w:spacing w:before="160"/>
              <w:jc w:val="both"/>
            </w:pPr>
            <w:r w:rsidRPr="00C91AD1">
              <w:t xml:space="preserve">This report provides an update to the Council Working Group on the use of the six official </w:t>
            </w:r>
            <w:r w:rsidRPr="00C91AD1">
              <w:rPr>
                <w:spacing w:val="-2"/>
              </w:rPr>
              <w:t>languages of the Union (CWG-LANG) on the implementation of Resolution 154 (Rev. Bucharest,</w:t>
            </w:r>
            <w:r w:rsidRPr="00C91AD1">
              <w:t xml:space="preserve"> 2022) regarding the use of ITU’s six official languages on an equal footing in accordance with Council Resolution 1372, as revised in 2024</w:t>
            </w:r>
            <w:r>
              <w:t>.</w:t>
            </w:r>
          </w:p>
          <w:p w14:paraId="5076D5C4" w14:textId="0607287B" w:rsidR="00AD3606" w:rsidRPr="00F14CA3" w:rsidRDefault="00AD3606" w:rsidP="00F16BAB">
            <w:pPr>
              <w:spacing w:before="160"/>
              <w:rPr>
                <w:b/>
                <w:bCs/>
                <w:sz w:val="26"/>
                <w:szCs w:val="26"/>
              </w:rPr>
            </w:pPr>
            <w:r w:rsidRPr="00F14CA3">
              <w:rPr>
                <w:b/>
                <w:bCs/>
                <w:sz w:val="26"/>
                <w:szCs w:val="26"/>
              </w:rPr>
              <w:t>Action required</w:t>
            </w:r>
          </w:p>
          <w:p w14:paraId="53A776F1" w14:textId="6FFBB4B7" w:rsidR="00891503" w:rsidRPr="00F14CA3" w:rsidRDefault="00806E3C" w:rsidP="00791FA8">
            <w:pPr>
              <w:spacing w:before="160"/>
              <w:jc w:val="both"/>
            </w:pPr>
            <w:r w:rsidRPr="00F14CA3">
              <w:t xml:space="preserve">The Council Working Group on the use of the six languages of the Union is invited to </w:t>
            </w:r>
            <w:r w:rsidR="003B69F5" w:rsidRPr="003B69F5">
              <w:rPr>
                <w:b/>
                <w:bCs/>
              </w:rPr>
              <w:t>note</w:t>
            </w:r>
            <w:r w:rsidR="003B69F5" w:rsidRPr="003B69F5">
              <w:t xml:space="preserve"> </w:t>
            </w:r>
            <w:r w:rsidR="003B69F5">
              <w:t xml:space="preserve">this document. </w:t>
            </w:r>
          </w:p>
          <w:p w14:paraId="5160EFD2" w14:textId="77777777" w:rsidR="00022925" w:rsidRDefault="00022925">
            <w:r>
              <w:t>_______________</w:t>
            </w:r>
          </w:p>
          <w:p w14:paraId="00DEE14C" w14:textId="19BD1620" w:rsidR="00AD3606" w:rsidRPr="00F14CA3" w:rsidRDefault="00AD3606" w:rsidP="00F16BAB">
            <w:pPr>
              <w:spacing w:before="160"/>
              <w:rPr>
                <w:b/>
                <w:bCs/>
                <w:sz w:val="26"/>
                <w:szCs w:val="26"/>
              </w:rPr>
            </w:pPr>
            <w:r w:rsidRPr="00F14CA3">
              <w:rPr>
                <w:b/>
                <w:bCs/>
                <w:sz w:val="26"/>
                <w:szCs w:val="26"/>
              </w:rPr>
              <w:t>References</w:t>
            </w:r>
          </w:p>
          <w:p w14:paraId="0175CD6C" w14:textId="785C4551" w:rsidR="00AD3606" w:rsidRPr="003D635C" w:rsidRDefault="00806E3C" w:rsidP="00F16BAB">
            <w:pPr>
              <w:spacing w:after="160"/>
              <w:rPr>
                <w:i/>
                <w:iCs/>
                <w:sz w:val="22"/>
                <w:szCs w:val="22"/>
              </w:rPr>
            </w:pPr>
            <w:hyperlink r:id="rId11" w:history="1">
              <w:r w:rsidRPr="00F14CA3">
                <w:rPr>
                  <w:rStyle w:val="Hyperlink"/>
                  <w:i/>
                  <w:iCs/>
                  <w:sz w:val="22"/>
                  <w:szCs w:val="22"/>
                </w:rPr>
                <w:t>CWG-Lang website</w:t>
              </w:r>
            </w:hyperlink>
            <w:r w:rsidR="00085CC2">
              <w:t xml:space="preserve">; </w:t>
            </w:r>
            <w:hyperlink r:id="rId12" w:history="1">
              <w:r w:rsidR="00085CC2" w:rsidRPr="00C91AD1">
                <w:rPr>
                  <w:rStyle w:val="Hyperlink"/>
                  <w:rFonts w:eastAsia="MS Mincho" w:cs="Arial"/>
                  <w:i/>
                  <w:iCs/>
                  <w:kern w:val="2"/>
                  <w:sz w:val="22"/>
                  <w:szCs w:val="22"/>
                  <w:lang w:eastAsia="zh-CN"/>
                  <w14:ligatures w14:val="standardContextual"/>
                </w:rPr>
                <w:t>PP Resolution 154 (Rev. Bucharest, 2022)</w:t>
              </w:r>
            </w:hyperlink>
            <w:r w:rsidR="00085CC2" w:rsidRPr="00C91AD1">
              <w:rPr>
                <w:rFonts w:eastAsia="MS Mincho" w:cs="Arial"/>
                <w:i/>
                <w:iCs/>
                <w:kern w:val="2"/>
                <w:sz w:val="22"/>
                <w:szCs w:val="22"/>
                <w:lang w:eastAsia="zh-CN"/>
                <w14:ligatures w14:val="standardContextual"/>
              </w:rPr>
              <w:t xml:space="preserve">; </w:t>
            </w:r>
            <w:hyperlink r:id="rId13" w:history="1">
              <w:r w:rsidR="00085CC2" w:rsidRPr="00C91AD1">
                <w:rPr>
                  <w:rStyle w:val="Hyperlink"/>
                  <w:rFonts w:eastAsia="MS Mincho"/>
                  <w:i/>
                  <w:iCs/>
                  <w:sz w:val="22"/>
                  <w:szCs w:val="22"/>
                </w:rPr>
                <w:t>Council Resolution 1372 (</w:t>
              </w:r>
              <w:proofErr w:type="spellStart"/>
              <w:r w:rsidR="00085CC2" w:rsidRPr="00C91AD1">
                <w:rPr>
                  <w:rStyle w:val="Hyperlink"/>
                  <w:rFonts w:eastAsia="MS Mincho"/>
                  <w:i/>
                  <w:iCs/>
                  <w:sz w:val="22"/>
                  <w:szCs w:val="22"/>
                </w:rPr>
                <w:t>C15</w:t>
              </w:r>
              <w:proofErr w:type="spellEnd"/>
              <w:r w:rsidR="00085CC2" w:rsidRPr="00C91AD1">
                <w:rPr>
                  <w:rStyle w:val="Hyperlink"/>
                  <w:rFonts w:eastAsia="MS Mincho"/>
                  <w:i/>
                  <w:iCs/>
                  <w:sz w:val="22"/>
                  <w:szCs w:val="22"/>
                </w:rPr>
                <w:t xml:space="preserve">, last amended, </w:t>
              </w:r>
              <w:proofErr w:type="spellStart"/>
              <w:r w:rsidR="00085CC2" w:rsidRPr="00C91AD1">
                <w:rPr>
                  <w:rStyle w:val="Hyperlink"/>
                  <w:rFonts w:eastAsia="MS Mincho"/>
                  <w:i/>
                  <w:iCs/>
                  <w:sz w:val="22"/>
                  <w:szCs w:val="22"/>
                </w:rPr>
                <w:t>C24</w:t>
              </w:r>
              <w:proofErr w:type="spellEnd"/>
              <w:r w:rsidR="00085CC2" w:rsidRPr="00C91AD1">
                <w:rPr>
                  <w:rStyle w:val="Hyperlink"/>
                  <w:rFonts w:eastAsia="MS Mincho"/>
                  <w:i/>
                  <w:iCs/>
                  <w:sz w:val="22"/>
                  <w:szCs w:val="22"/>
                </w:rPr>
                <w:t>)</w:t>
              </w:r>
            </w:hyperlink>
            <w:r w:rsidR="00085CC2" w:rsidRPr="00C91AD1">
              <w:rPr>
                <w:rStyle w:val="Hyperlink"/>
                <w:rFonts w:eastAsia="MS Mincho"/>
                <w:i/>
                <w:iCs/>
                <w:color w:val="auto"/>
                <w:sz w:val="22"/>
                <w:szCs w:val="22"/>
                <w:u w:val="none"/>
              </w:rPr>
              <w:t xml:space="preserve">; </w:t>
            </w:r>
            <w:hyperlink r:id="rId14" w:history="1">
              <w:r w:rsidR="00085CC2" w:rsidRPr="00C91AD1">
                <w:rPr>
                  <w:rStyle w:val="Hyperlink"/>
                  <w:rFonts w:eastAsia="MS Mincho" w:cs="Arial"/>
                  <w:i/>
                  <w:iCs/>
                  <w:kern w:val="2"/>
                  <w:sz w:val="22"/>
                  <w:szCs w:val="22"/>
                  <w:lang w:eastAsia="zh-CN"/>
                  <w14:ligatures w14:val="standardContextual"/>
                </w:rPr>
                <w:t>Guide to current and future practices in multilingualism in ITU</w:t>
              </w:r>
            </w:hyperlink>
            <w:r w:rsidR="00085CC2" w:rsidRPr="00C91AD1">
              <w:rPr>
                <w:rFonts w:eastAsia="MS Mincho" w:cs="Arial"/>
                <w:i/>
                <w:iCs/>
                <w:kern w:val="2"/>
                <w:sz w:val="22"/>
                <w:szCs w:val="22"/>
                <w:lang w:eastAsia="zh-CN"/>
                <w14:ligatures w14:val="standardContextual"/>
              </w:rPr>
              <w:t xml:space="preserve">; </w:t>
            </w:r>
            <w:hyperlink r:id="rId15" w:history="1">
              <w:r w:rsidR="00085CC2" w:rsidRPr="00C91AD1">
                <w:rPr>
                  <w:rStyle w:val="Hyperlink"/>
                  <w:rFonts w:eastAsia="MS Mincho" w:cs="Arial"/>
                  <w:i/>
                  <w:iCs/>
                  <w:kern w:val="2"/>
                  <w:sz w:val="22"/>
                  <w:szCs w:val="22"/>
                  <w:lang w:eastAsia="zh-CN"/>
                  <w14:ligatures w14:val="standardContextual"/>
                </w:rPr>
                <w:t xml:space="preserve">Document </w:t>
              </w:r>
              <w:proofErr w:type="spellStart"/>
              <w:r w:rsidR="00085CC2" w:rsidRPr="00C91AD1">
                <w:rPr>
                  <w:rStyle w:val="Hyperlink"/>
                  <w:rFonts w:eastAsia="MS Mincho" w:cs="Arial"/>
                  <w:i/>
                  <w:iCs/>
                  <w:kern w:val="2"/>
                  <w:sz w:val="22"/>
                  <w:szCs w:val="22"/>
                  <w:lang w:eastAsia="zh-CN"/>
                  <w14:ligatures w14:val="standardContextual"/>
                </w:rPr>
                <w:t>C22</w:t>
              </w:r>
              <w:proofErr w:type="spellEnd"/>
              <w:r w:rsidR="00085CC2" w:rsidRPr="00C91AD1">
                <w:rPr>
                  <w:rStyle w:val="Hyperlink"/>
                  <w:rFonts w:eastAsia="MS Mincho" w:cs="Arial"/>
                  <w:i/>
                  <w:iCs/>
                  <w:kern w:val="2"/>
                  <w:sz w:val="22"/>
                  <w:szCs w:val="22"/>
                  <w:lang w:eastAsia="zh-CN"/>
                  <w14:ligatures w14:val="standardContextual"/>
                </w:rPr>
                <w:t>/INF/7</w:t>
              </w:r>
            </w:hyperlink>
            <w:r w:rsidR="00085CC2" w:rsidRPr="00C91AD1">
              <w:rPr>
                <w:rFonts w:eastAsia="MS Mincho" w:cs="Arial"/>
                <w:i/>
                <w:iCs/>
                <w:kern w:val="2"/>
                <w:sz w:val="22"/>
                <w:szCs w:val="22"/>
                <w:lang w:eastAsia="zh-CN"/>
                <w14:ligatures w14:val="standardContextual"/>
              </w:rPr>
              <w:t xml:space="preserve">; </w:t>
            </w:r>
            <w:hyperlink r:id="rId16" w:history="1">
              <w:r w:rsidR="00085CC2" w:rsidRPr="00085CC2">
                <w:rPr>
                  <w:rStyle w:val="Hyperlink"/>
                  <w:rFonts w:eastAsia="MS Mincho" w:cs="Arial"/>
                  <w:i/>
                  <w:iCs/>
                  <w:kern w:val="2"/>
                  <w:sz w:val="22"/>
                  <w:szCs w:val="22"/>
                  <w:lang w:eastAsia="zh-CN"/>
                  <w14:ligatures w14:val="standardContextual"/>
                </w:rPr>
                <w:t>Report by the Chair of CWG</w:t>
              </w:r>
              <w:r w:rsidR="00DC4B6C">
                <w:rPr>
                  <w:rStyle w:val="Hyperlink"/>
                  <w:rFonts w:eastAsia="MS Mincho" w:cs="Arial"/>
                  <w:i/>
                  <w:iCs/>
                  <w:kern w:val="2"/>
                  <w:sz w:val="22"/>
                  <w:szCs w:val="22"/>
                  <w:lang w:eastAsia="zh-CN"/>
                  <w14:ligatures w14:val="standardContextual"/>
                </w:rPr>
                <w:t>-</w:t>
              </w:r>
              <w:r w:rsidR="00085CC2" w:rsidRPr="00085CC2">
                <w:rPr>
                  <w:rStyle w:val="Hyperlink"/>
                  <w:rFonts w:eastAsia="MS Mincho" w:cs="Arial"/>
                  <w:i/>
                  <w:iCs/>
                  <w:kern w:val="2"/>
                  <w:sz w:val="22"/>
                  <w:szCs w:val="22"/>
                  <w:lang w:eastAsia="zh-CN"/>
                  <w14:ligatures w14:val="standardContextual"/>
                </w:rPr>
                <w:t>LANG to Council on outcomes of 16</w:t>
              </w:r>
              <w:r w:rsidR="00085CC2" w:rsidRPr="00085CC2">
                <w:rPr>
                  <w:rStyle w:val="Hyperlink"/>
                  <w:rFonts w:eastAsia="MS Mincho" w:cs="Arial"/>
                  <w:i/>
                  <w:iCs/>
                  <w:kern w:val="2"/>
                  <w:sz w:val="22"/>
                  <w:szCs w:val="22"/>
                  <w:vertAlign w:val="superscript"/>
                  <w:lang w:eastAsia="zh-CN"/>
                  <w14:ligatures w14:val="standardContextual"/>
                </w:rPr>
                <w:t>th</w:t>
              </w:r>
              <w:r w:rsidR="00085CC2" w:rsidRPr="00085CC2">
                <w:rPr>
                  <w:rStyle w:val="Hyperlink"/>
                  <w:rFonts w:eastAsia="MS Mincho" w:cs="Arial"/>
                  <w:i/>
                  <w:iCs/>
                  <w:kern w:val="2"/>
                  <w:sz w:val="22"/>
                  <w:szCs w:val="22"/>
                  <w:lang w:eastAsia="zh-CN"/>
                  <w14:ligatures w14:val="standardContextual"/>
                </w:rPr>
                <w:t xml:space="preserve"> meeting</w:t>
              </w:r>
            </w:hyperlink>
          </w:p>
        </w:tc>
      </w:tr>
    </w:tbl>
    <w:p w14:paraId="4CDB8B60" w14:textId="77777777" w:rsidR="00E227F3" w:rsidRPr="00085CC2"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1" w:name="_Hlk133421428"/>
      <w:bookmarkEnd w:id="2"/>
      <w:bookmarkEnd w:id="10"/>
    </w:p>
    <w:bookmarkEnd w:id="3"/>
    <w:bookmarkEnd w:id="4"/>
    <w:p w14:paraId="1D7ED322" w14:textId="77777777" w:rsidR="0090147A" w:rsidRPr="00085CC2"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085CC2">
        <w:br w:type="page"/>
      </w:r>
    </w:p>
    <w:bookmarkEnd w:id="5"/>
    <w:bookmarkEnd w:id="11"/>
    <w:p w14:paraId="23EF0E7C" w14:textId="67D424B4" w:rsidR="00085CC2" w:rsidRPr="00C91AD1" w:rsidRDefault="00085CC2" w:rsidP="00D202AD">
      <w:pPr>
        <w:pStyle w:val="Heading1"/>
      </w:pPr>
      <w:r w:rsidRPr="00C91AD1">
        <w:rPr>
          <w:rFonts w:asciiTheme="minorHAnsi" w:eastAsiaTheme="minorEastAsia" w:hAnsiTheme="minorHAnsi"/>
          <w:kern w:val="2"/>
          <w:lang w:eastAsia="zh-CN"/>
          <w14:ligatures w14:val="standardContextual"/>
        </w:rPr>
        <w:lastRenderedPageBreak/>
        <w:t>1</w:t>
      </w:r>
      <w:r w:rsidRPr="00C91AD1">
        <w:rPr>
          <w:rFonts w:asciiTheme="minorHAnsi" w:eastAsiaTheme="minorEastAsia" w:hAnsiTheme="minorHAnsi"/>
          <w:kern w:val="2"/>
          <w:lang w:eastAsia="zh-CN"/>
          <w14:ligatures w14:val="standardContextual"/>
        </w:rPr>
        <w:tab/>
      </w:r>
      <w:r w:rsidRPr="00C91AD1">
        <w:t>Evolution of the budget for translation of documents to the six official languages since 2019</w:t>
      </w:r>
    </w:p>
    <w:p w14:paraId="250B83D7" w14:textId="2A5E195F" w:rsidR="00085CC2" w:rsidRPr="00C91AD1" w:rsidRDefault="00085CC2" w:rsidP="00085CC2">
      <w:pPr>
        <w:jc w:val="both"/>
      </w:pPr>
      <w:r w:rsidRPr="00C91AD1">
        <w:t>As requested by the Plenipotentiary Conference, budget figures for translation and interpretation services are hereby submitted (</w:t>
      </w:r>
      <w:hyperlink w:anchor="Annex1">
        <w:r w:rsidRPr="00C91AD1">
          <w:rPr>
            <w:rStyle w:val="Hyperlink"/>
            <w:rFonts w:cstheme="minorBidi"/>
          </w:rPr>
          <w:t>Annex 1</w:t>
        </w:r>
      </w:hyperlink>
      <w:r w:rsidRPr="00C91AD1">
        <w:t>, Table 1), divided into three categories: translation and associated-service budget and expenses; interpretation-service budget and expenses; and total language-service budget and expenses.</w:t>
      </w:r>
      <w:r w:rsidR="00222735">
        <w:t xml:space="preserve"> The total budget as of today remains </w:t>
      </w:r>
      <w:r w:rsidR="00332598">
        <w:t xml:space="preserve">well </w:t>
      </w:r>
      <w:r w:rsidR="00222735">
        <w:t xml:space="preserve">within the CHF </w:t>
      </w:r>
      <w:proofErr w:type="spellStart"/>
      <w:r w:rsidR="00222735">
        <w:t>85M</w:t>
      </w:r>
      <w:proofErr w:type="spellEnd"/>
      <w:r w:rsidR="00222735">
        <w:t xml:space="preserve"> cap for language services for the period 2024</w:t>
      </w:r>
      <w:r w:rsidR="00D202AD">
        <w:t>-</w:t>
      </w:r>
      <w:r w:rsidR="00222735">
        <w:t xml:space="preserve">2027 as set out in Decision 5 (Rev. Bucharest, 2022). </w:t>
      </w:r>
      <w:r w:rsidRPr="00C91AD1">
        <w:t xml:space="preserve">As requested by CWG-LANG, Annex 1, Table 2, to this document includes information on the translation volumes per language over the same period, with translation volumes reflecting the equality of treatment of all six ITU official languages. </w:t>
      </w:r>
    </w:p>
    <w:p w14:paraId="45CD8BF2" w14:textId="77777777" w:rsidR="00085CC2" w:rsidRPr="00C91AD1" w:rsidRDefault="00085CC2" w:rsidP="00D202AD">
      <w:pPr>
        <w:pStyle w:val="Heading1"/>
      </w:pPr>
      <w:r w:rsidRPr="00C91AD1">
        <w:t>2</w:t>
      </w:r>
      <w:r w:rsidRPr="00C91AD1">
        <w:tab/>
        <w:t>Procedures adopted by other international organizations inside and outside the United Nations system</w:t>
      </w:r>
    </w:p>
    <w:p w14:paraId="797EAFA2" w14:textId="75E29F3F" w:rsidR="00085CC2" w:rsidRDefault="00085CC2" w:rsidP="00085CC2">
      <w:pPr>
        <w:jc w:val="both"/>
        <w:rPr>
          <w:rFonts w:cstheme="minorHAnsi"/>
          <w:szCs w:val="24"/>
        </w:rPr>
      </w:pPr>
      <w:r w:rsidRPr="00C91AD1">
        <w:t>ITU</w:t>
      </w:r>
      <w:r w:rsidRPr="00C91AD1">
        <w:rPr>
          <w:rFonts w:cstheme="minorHAnsi"/>
          <w:szCs w:val="24"/>
        </w:rPr>
        <w:t xml:space="preserve"> participates actively in the International Annual Meeting on Language Arrangements, Documentation and Publications (</w:t>
      </w:r>
      <w:proofErr w:type="spellStart"/>
      <w:r w:rsidRPr="00C91AD1">
        <w:rPr>
          <w:rFonts w:cstheme="minorHAnsi"/>
          <w:szCs w:val="24"/>
        </w:rPr>
        <w:t>IAMLADP</w:t>
      </w:r>
      <w:proofErr w:type="spellEnd"/>
      <w:r w:rsidRPr="00C91AD1">
        <w:rPr>
          <w:rFonts w:cstheme="minorHAnsi"/>
          <w:szCs w:val="24"/>
        </w:rPr>
        <w:t>) and its working groups and task forces, including the International Annual Meeting on Computer-Assisted Translation and Terminology (</w:t>
      </w:r>
      <w:proofErr w:type="spellStart"/>
      <w:r w:rsidRPr="00C91AD1">
        <w:rPr>
          <w:rFonts w:cstheme="minorHAnsi"/>
          <w:szCs w:val="24"/>
        </w:rPr>
        <w:t>JIAMCATT</w:t>
      </w:r>
      <w:proofErr w:type="spellEnd"/>
      <w:r w:rsidRPr="00C91AD1">
        <w:rPr>
          <w:rFonts w:cstheme="minorHAnsi"/>
          <w:szCs w:val="24"/>
        </w:rPr>
        <w:t xml:space="preserve">). </w:t>
      </w:r>
    </w:p>
    <w:p w14:paraId="050A5F0A" w14:textId="31F2F4A2" w:rsidR="00156BA0" w:rsidRDefault="003F3F6C" w:rsidP="00085CC2">
      <w:pPr>
        <w:jc w:val="both"/>
        <w:rPr>
          <w:rFonts w:cstheme="minorHAnsi"/>
          <w:szCs w:val="24"/>
        </w:rPr>
      </w:pPr>
      <w:r>
        <w:rPr>
          <w:rFonts w:cstheme="minorHAnsi"/>
          <w:szCs w:val="24"/>
        </w:rPr>
        <w:t xml:space="preserve">Discussions at </w:t>
      </w:r>
      <w:proofErr w:type="spellStart"/>
      <w:r w:rsidR="00156BA0">
        <w:rPr>
          <w:rFonts w:cstheme="minorHAnsi"/>
          <w:szCs w:val="24"/>
        </w:rPr>
        <w:t>IAMLADP</w:t>
      </w:r>
      <w:proofErr w:type="spellEnd"/>
      <w:r w:rsidR="00156BA0">
        <w:rPr>
          <w:rFonts w:cstheme="minorHAnsi"/>
          <w:szCs w:val="24"/>
        </w:rPr>
        <w:t xml:space="preserve"> 2025 focused on </w:t>
      </w:r>
      <w:r>
        <w:rPr>
          <w:rFonts w:cstheme="minorHAnsi"/>
          <w:szCs w:val="24"/>
        </w:rPr>
        <w:t>the impact of technological evolution in areas such as translation, translation workflows, speech recognition and automated speech transcriptions and the need to combine language tools with human professional excellence; addressing training, flexibility, skills upgrade and diversification</w:t>
      </w:r>
      <w:r w:rsidR="00313994">
        <w:rPr>
          <w:rFonts w:cstheme="minorHAnsi"/>
          <w:szCs w:val="24"/>
        </w:rPr>
        <w:t xml:space="preserve"> needs</w:t>
      </w:r>
      <w:r>
        <w:rPr>
          <w:rFonts w:cstheme="minorHAnsi"/>
          <w:szCs w:val="24"/>
        </w:rPr>
        <w:t xml:space="preserve">; assessing and crediting new types of working; and identifying new tools and platforms. </w:t>
      </w:r>
    </w:p>
    <w:p w14:paraId="7A475A01" w14:textId="4F1EEFD8" w:rsidR="00085CC2" w:rsidRDefault="00085CC2" w:rsidP="00085CC2">
      <w:pPr>
        <w:jc w:val="both"/>
        <w:rPr>
          <w:rFonts w:cstheme="minorBidi"/>
        </w:rPr>
      </w:pPr>
      <w:r w:rsidRPr="00313994">
        <w:t>ITU</w:t>
      </w:r>
      <w:r w:rsidRPr="54171353">
        <w:rPr>
          <w:rFonts w:cstheme="minorBidi"/>
        </w:rPr>
        <w:t xml:space="preserve"> </w:t>
      </w:r>
      <w:r w:rsidR="00313994" w:rsidRPr="54171353">
        <w:rPr>
          <w:rFonts w:cstheme="minorBidi"/>
        </w:rPr>
        <w:t>continues to engage with</w:t>
      </w:r>
      <w:r w:rsidRPr="54171353">
        <w:rPr>
          <w:rFonts w:cstheme="minorBidi"/>
        </w:rPr>
        <w:t xml:space="preserve"> </w:t>
      </w:r>
      <w:proofErr w:type="spellStart"/>
      <w:r w:rsidRPr="54171353">
        <w:rPr>
          <w:rFonts w:cstheme="minorBidi"/>
        </w:rPr>
        <w:t>IAMLADP</w:t>
      </w:r>
      <w:proofErr w:type="spellEnd"/>
      <w:r w:rsidRPr="54171353">
        <w:rPr>
          <w:rFonts w:cstheme="minorBidi"/>
        </w:rPr>
        <w:t xml:space="preserve"> working groups and task forces on interpretation-specific matters; publishing and digital content; machine translation management; digital solutions for conference services and virtual meetings; accessibility of meeting services; and sustainable meetings.</w:t>
      </w:r>
      <w:r w:rsidR="00862770" w:rsidRPr="54171353">
        <w:rPr>
          <w:rFonts w:cstheme="minorBidi"/>
        </w:rPr>
        <w:t xml:space="preserve"> </w:t>
      </w:r>
    </w:p>
    <w:p w14:paraId="7136FEB6" w14:textId="38F47D08" w:rsidR="00313994" w:rsidRPr="0004581E" w:rsidRDefault="7687E630" w:rsidP="1619E3C2">
      <w:pPr>
        <w:jc w:val="both"/>
        <w:rPr>
          <w:rFonts w:asciiTheme="minorHAnsi" w:eastAsiaTheme="minorEastAsia" w:hAnsiTheme="minorHAnsi" w:cstheme="minorHAnsi"/>
          <w:color w:val="000000" w:themeColor="text1"/>
          <w:szCs w:val="24"/>
          <w:lang w:val="en-US"/>
        </w:rPr>
      </w:pPr>
      <w:r w:rsidRPr="0004581E">
        <w:rPr>
          <w:rFonts w:asciiTheme="minorHAnsi" w:eastAsiaTheme="minorEastAsia" w:hAnsiTheme="minorHAnsi" w:cstheme="minorHAnsi"/>
          <w:color w:val="000000" w:themeColor="text1"/>
          <w:szCs w:val="24"/>
          <w:lang w:val="en-US"/>
        </w:rPr>
        <w:t xml:space="preserve">In addition, ITU has also contributed to a proposal within the UN </w:t>
      </w:r>
      <w:hyperlink r:id="rId17">
        <w:r w:rsidRPr="0004581E">
          <w:rPr>
            <w:rStyle w:val="Hyperlink"/>
            <w:rFonts w:eastAsia="Segoe UI"/>
          </w:rPr>
          <w:t>High-level Committee on Management (</w:t>
        </w:r>
        <w:proofErr w:type="spellStart"/>
        <w:r w:rsidRPr="0004581E">
          <w:rPr>
            <w:rStyle w:val="Hyperlink"/>
            <w:rFonts w:eastAsia="Segoe UI"/>
          </w:rPr>
          <w:t>HLCM</w:t>
        </w:r>
        <w:proofErr w:type="spellEnd"/>
        <w:r w:rsidRPr="0004581E">
          <w:rPr>
            <w:rStyle w:val="Hyperlink"/>
            <w:rFonts w:eastAsia="Segoe UI"/>
          </w:rPr>
          <w:t>)</w:t>
        </w:r>
      </w:hyperlink>
      <w:r w:rsidRPr="0004581E">
        <w:rPr>
          <w:rFonts w:asciiTheme="minorHAnsi" w:eastAsiaTheme="minorEastAsia" w:hAnsiTheme="minorHAnsi" w:cstheme="minorHAnsi"/>
          <w:color w:val="000000" w:themeColor="text1"/>
          <w:szCs w:val="24"/>
          <w:lang w:val="en-US"/>
        </w:rPr>
        <w:t xml:space="preserve"> </w:t>
      </w:r>
      <w:r w:rsidRPr="0004581E">
        <w:rPr>
          <w:rFonts w:asciiTheme="minorHAnsi" w:eastAsiaTheme="minorEastAsia" w:hAnsiTheme="minorHAnsi" w:cstheme="minorHAnsi"/>
          <w:szCs w:val="24"/>
          <w:lang w:val="en-US"/>
        </w:rPr>
        <w:t xml:space="preserve">portfolio of far-reaching efficiency initiatives (FREI) </w:t>
      </w:r>
      <w:r w:rsidRPr="0004581E">
        <w:rPr>
          <w:rFonts w:asciiTheme="minorHAnsi" w:eastAsiaTheme="minorEastAsia" w:hAnsiTheme="minorHAnsi" w:cstheme="minorHAnsi"/>
          <w:color w:val="000000" w:themeColor="text1"/>
          <w:szCs w:val="24"/>
          <w:lang w:val="en-US"/>
        </w:rPr>
        <w:t>aimed at reducing fragmentation and costs across the UN system, enhancing reliability and promoting voluntary participation. Following a special session in February 2025 highlighting escalating needs and dwindling resources, the Committee collected over one hundred proposals, ultimately priorit</w:t>
      </w:r>
      <w:r w:rsidR="4885651A" w:rsidRPr="0004581E">
        <w:rPr>
          <w:rFonts w:asciiTheme="minorHAnsi" w:eastAsiaTheme="minorEastAsia" w:hAnsiTheme="minorHAnsi" w:cstheme="minorHAnsi"/>
          <w:color w:val="000000" w:themeColor="text1"/>
          <w:szCs w:val="24"/>
          <w:lang w:val="en-US"/>
        </w:rPr>
        <w:t>iz</w:t>
      </w:r>
      <w:r w:rsidRPr="0004581E">
        <w:rPr>
          <w:rFonts w:asciiTheme="minorHAnsi" w:eastAsiaTheme="minorEastAsia" w:hAnsiTheme="minorHAnsi" w:cstheme="minorHAnsi"/>
          <w:color w:val="000000" w:themeColor="text1"/>
          <w:szCs w:val="24"/>
          <w:lang w:val="en-US"/>
        </w:rPr>
        <w:t xml:space="preserve">ing eighteen key initiatives through rigorous discussion and coalition-building. Detailed project plans, governance frameworks, and terms of reference have been established, with implementation now underway and first results anticipated in 2026. These reforms seek to consolidate mature capabilities and foster collaboration, ensuring efficiency </w:t>
      </w:r>
      <w:proofErr w:type="gramStart"/>
      <w:r w:rsidRPr="0004581E">
        <w:rPr>
          <w:rFonts w:asciiTheme="minorHAnsi" w:eastAsiaTheme="minorEastAsia" w:hAnsiTheme="minorHAnsi" w:cstheme="minorHAnsi"/>
          <w:color w:val="000000" w:themeColor="text1"/>
          <w:szCs w:val="24"/>
          <w:lang w:val="en-US"/>
        </w:rPr>
        <w:t>supports</w:t>
      </w:r>
      <w:proofErr w:type="gramEnd"/>
      <w:r w:rsidRPr="0004581E">
        <w:rPr>
          <w:rFonts w:asciiTheme="minorHAnsi" w:eastAsiaTheme="minorEastAsia" w:hAnsiTheme="minorHAnsi" w:cstheme="minorHAnsi"/>
          <w:color w:val="000000" w:themeColor="text1"/>
          <w:szCs w:val="24"/>
          <w:lang w:val="en-US"/>
        </w:rPr>
        <w:t xml:space="preserve"> but </w:t>
      </w:r>
      <w:proofErr w:type="gramStart"/>
      <w:r w:rsidRPr="0004581E">
        <w:rPr>
          <w:rFonts w:asciiTheme="minorHAnsi" w:eastAsiaTheme="minorEastAsia" w:hAnsiTheme="minorHAnsi" w:cstheme="minorHAnsi"/>
          <w:color w:val="000000" w:themeColor="text1"/>
          <w:szCs w:val="24"/>
          <w:lang w:val="en-US"/>
        </w:rPr>
        <w:t>does</w:t>
      </w:r>
      <w:proofErr w:type="gramEnd"/>
      <w:r w:rsidRPr="0004581E">
        <w:rPr>
          <w:rFonts w:asciiTheme="minorHAnsi" w:eastAsiaTheme="minorEastAsia" w:hAnsiTheme="minorHAnsi" w:cstheme="minorHAnsi"/>
          <w:color w:val="000000" w:themeColor="text1"/>
          <w:szCs w:val="24"/>
          <w:lang w:val="en-US"/>
        </w:rPr>
        <w:t xml:space="preserve"> not replace essential investment to fulfil the UN’s mandates.</w:t>
      </w:r>
    </w:p>
    <w:p w14:paraId="1E460157" w14:textId="0692AC7F" w:rsidR="7687E630" w:rsidRPr="00791FA8" w:rsidRDefault="7687E630" w:rsidP="00F1415C">
      <w:pPr>
        <w:jc w:val="both"/>
        <w:rPr>
          <w:rFonts w:eastAsiaTheme="minorEastAsia"/>
          <w:lang w:val="en-US"/>
        </w:rPr>
      </w:pPr>
      <w:r w:rsidRPr="1619E3C2">
        <w:rPr>
          <w:rFonts w:eastAsiaTheme="minorEastAsia"/>
          <w:lang w:val="en-US"/>
        </w:rPr>
        <w:t xml:space="preserve"> ITU worked closely with the UN Department of the General Assembly and Conference Management and ICAO on the development of the </w:t>
      </w:r>
      <w:proofErr w:type="spellStart"/>
      <w:r w:rsidRPr="1619E3C2">
        <w:rPr>
          <w:rFonts w:eastAsiaTheme="minorEastAsia"/>
          <w:lang w:val="en-US"/>
        </w:rPr>
        <w:t>O2</w:t>
      </w:r>
      <w:proofErr w:type="spellEnd"/>
      <w:r w:rsidRPr="1619E3C2">
        <w:rPr>
          <w:rFonts w:eastAsiaTheme="minorEastAsia"/>
          <w:lang w:val="en-US"/>
        </w:rPr>
        <w:t xml:space="preserve"> Comm</w:t>
      </w:r>
      <w:r w:rsidRPr="00791FA8">
        <w:rPr>
          <w:rFonts w:eastAsiaTheme="minorEastAsia"/>
          <w:lang w:val="en-US"/>
        </w:rPr>
        <w:t xml:space="preserve">on Mechanism for Policy and Technical Solutions for AI-Powered Language Services initiative. This initiative proposes </w:t>
      </w:r>
      <w:proofErr w:type="gramStart"/>
      <w:r w:rsidRPr="00791FA8">
        <w:rPr>
          <w:rFonts w:eastAsiaTheme="minorEastAsia"/>
          <w:lang w:val="en-US"/>
        </w:rPr>
        <w:t>a</w:t>
      </w:r>
      <w:proofErr w:type="gramEnd"/>
      <w:r w:rsidRPr="00791FA8">
        <w:rPr>
          <w:rFonts w:eastAsiaTheme="minorEastAsia"/>
          <w:lang w:val="en-US"/>
        </w:rPr>
        <w:t xml:space="preserve"> UN-wide mechanism to coordinate AI-powered language services, aiming to reduce duplication, cut costs, and expand multilingual content. It will operate through two workstreams: one for identifying and implementing AI use cases, and another for developing shared policies on translation, interpretation, and related services. Rather than a centralized solution, the </w:t>
      </w:r>
      <w:r w:rsidRPr="00791FA8">
        <w:rPr>
          <w:rFonts w:eastAsiaTheme="minorEastAsia"/>
          <w:lang w:val="en-US"/>
        </w:rPr>
        <w:lastRenderedPageBreak/>
        <w:t xml:space="preserve">mechanism supports voluntary collaboration on specific projects— such as shared tools, vendor evaluations, and post-editing standards—tailored to each entity’s needs. It </w:t>
      </w:r>
      <w:bookmarkStart w:id="12" w:name="_Int_aJrkeItH"/>
      <w:proofErr w:type="gramStart"/>
      <w:r w:rsidRPr="00791FA8">
        <w:rPr>
          <w:rFonts w:eastAsiaTheme="minorEastAsia"/>
          <w:lang w:val="en-US"/>
        </w:rPr>
        <w:t>builds on</w:t>
      </w:r>
      <w:bookmarkEnd w:id="12"/>
      <w:proofErr w:type="gramEnd"/>
      <w:r w:rsidRPr="00791FA8">
        <w:rPr>
          <w:rFonts w:eastAsiaTheme="minorEastAsia"/>
          <w:lang w:val="en-US"/>
        </w:rPr>
        <w:t xml:space="preserve"> existing tools like </w:t>
      </w:r>
      <w:proofErr w:type="spellStart"/>
      <w:proofErr w:type="gramStart"/>
      <w:r w:rsidRPr="00791FA8">
        <w:rPr>
          <w:rFonts w:eastAsiaTheme="minorEastAsia"/>
          <w:lang w:val="en-US"/>
        </w:rPr>
        <w:t>eLUNa</w:t>
      </w:r>
      <w:proofErr w:type="spellEnd"/>
      <w:r w:rsidRPr="00791FA8">
        <w:rPr>
          <w:rFonts w:eastAsiaTheme="minorEastAsia"/>
          <w:lang w:val="en-US"/>
        </w:rPr>
        <w:t>, and</w:t>
      </w:r>
      <w:proofErr w:type="gramEnd"/>
      <w:r w:rsidRPr="00791FA8">
        <w:rPr>
          <w:rFonts w:eastAsiaTheme="minorEastAsia"/>
          <w:lang w:val="en-US"/>
        </w:rPr>
        <w:t xml:space="preserve"> WIPO and ITU’s machine translation tools, and aligns with Member States’ interest in AI for multilingualism. Initial implementation begins in 2025, with early deliverables including an inventory of tools, shared policies, and pilot use cases. The initiative targets 20–75% cost reductions in translation workflows and aims to introduce AI interpretation in at least 10% of meetings, subject to Member States approval, or for meetings where interpretation is not otherwise provided.</w:t>
      </w:r>
    </w:p>
    <w:p w14:paraId="1E54C636" w14:textId="77777777" w:rsidR="00085CC2" w:rsidRPr="00C91AD1" w:rsidRDefault="00085CC2" w:rsidP="00D202AD">
      <w:pPr>
        <w:pStyle w:val="Heading1"/>
      </w:pPr>
      <w:r w:rsidRPr="00C91AD1">
        <w:t>3</w:t>
      </w:r>
      <w:r w:rsidRPr="00C91AD1">
        <w:tab/>
        <w:t>Initiatives undertaken by the General Secretariat and the three Bureaux to increase efficiencies and cost savings in the implementation of Resolution 154 (Rev. Bucharest, 2022) of the Plenipotentiary Conference and Council Resolution 1372 (</w:t>
      </w:r>
      <w:proofErr w:type="spellStart"/>
      <w:r w:rsidRPr="00C91AD1">
        <w:t>C15</w:t>
      </w:r>
      <w:proofErr w:type="spellEnd"/>
      <w:r w:rsidRPr="00C91AD1">
        <w:t xml:space="preserve">, last amended </w:t>
      </w:r>
      <w:proofErr w:type="spellStart"/>
      <w:r w:rsidRPr="00C91AD1">
        <w:t>C24</w:t>
      </w:r>
      <w:proofErr w:type="spellEnd"/>
      <w:r w:rsidRPr="00C91AD1">
        <w:t>)</w:t>
      </w:r>
    </w:p>
    <w:p w14:paraId="3544C42F" w14:textId="77777777" w:rsidR="00085CC2" w:rsidRPr="00D202AD" w:rsidRDefault="00085CC2" w:rsidP="00D202AD">
      <w:pPr>
        <w:pStyle w:val="Heading2"/>
      </w:pPr>
      <w:r w:rsidRPr="00D202AD">
        <w:t>3.1</w:t>
      </w:r>
      <w:r w:rsidRPr="00D202AD">
        <w:tab/>
        <w:t xml:space="preserve">Implementation of measures and principles for translation and interpretation </w:t>
      </w:r>
    </w:p>
    <w:p w14:paraId="2A270C41" w14:textId="09A8BFCB" w:rsidR="00085CC2" w:rsidRPr="00C91AD1" w:rsidRDefault="00085CC2" w:rsidP="00085CC2">
      <w:pPr>
        <w:jc w:val="both"/>
        <w:rPr>
          <w:rFonts w:cstheme="minorHAnsi"/>
          <w:szCs w:val="24"/>
        </w:rPr>
      </w:pPr>
      <w:r w:rsidRPr="002F0454">
        <w:rPr>
          <w:rFonts w:cstheme="minorHAnsi"/>
          <w:szCs w:val="24"/>
        </w:rPr>
        <w:t xml:space="preserve">Document </w:t>
      </w:r>
      <w:hyperlink r:id="rId18" w:history="1">
        <w:proofErr w:type="spellStart"/>
        <w:r w:rsidRPr="002F0454">
          <w:rPr>
            <w:rStyle w:val="Hyperlink"/>
            <w:rFonts w:cstheme="minorHAnsi"/>
            <w:szCs w:val="24"/>
          </w:rPr>
          <w:t>C22</w:t>
        </w:r>
        <w:proofErr w:type="spellEnd"/>
        <w:r w:rsidRPr="002F0454">
          <w:rPr>
            <w:rStyle w:val="Hyperlink"/>
            <w:rFonts w:cstheme="minorHAnsi"/>
            <w:szCs w:val="24"/>
          </w:rPr>
          <w:t>/INF/7</w:t>
        </w:r>
      </w:hyperlink>
      <w:r w:rsidRPr="002F0454">
        <w:rPr>
          <w:rFonts w:cstheme="minorHAnsi"/>
          <w:szCs w:val="24"/>
        </w:rPr>
        <w:t xml:space="preserve"> on measures and principles for translation and interpretation in ITU, was reviewed by Sector advisory groups and the General Secretariat and updated and endorsed by the Council at its 2022 session. It has been systematically implemented by the secretariat in the delivery of translation and interpretation services for ITU conferences, assemblies, meetings, documents, webpages and publications. </w:t>
      </w:r>
      <w:r w:rsidR="002F0454" w:rsidRPr="002F0454">
        <w:rPr>
          <w:rFonts w:cstheme="minorHAnsi"/>
          <w:szCs w:val="24"/>
        </w:rPr>
        <w:t>Given the</w:t>
      </w:r>
      <w:r w:rsidRPr="002F0454">
        <w:rPr>
          <w:rFonts w:cstheme="minorHAnsi"/>
          <w:szCs w:val="24"/>
        </w:rPr>
        <w:t xml:space="preserve"> increased use of machine translation for webpag</w:t>
      </w:r>
      <w:r w:rsidR="002F0454" w:rsidRPr="002F0454">
        <w:rPr>
          <w:rFonts w:cstheme="minorHAnsi"/>
          <w:szCs w:val="24"/>
        </w:rPr>
        <w:t>es, documents and publications, the document may be</w:t>
      </w:r>
      <w:r w:rsidRPr="002F0454">
        <w:rPr>
          <w:rFonts w:cstheme="minorHAnsi"/>
          <w:szCs w:val="24"/>
        </w:rPr>
        <w:t xml:space="preserve"> reviewed by the</w:t>
      </w:r>
      <w:r w:rsidRPr="00C91AD1">
        <w:rPr>
          <w:rFonts w:cstheme="minorHAnsi"/>
          <w:szCs w:val="24"/>
        </w:rPr>
        <w:t xml:space="preserve"> secretariat and Sector advisory groups and updated accordingly for submission to a future session of CWG-LANG.</w:t>
      </w:r>
    </w:p>
    <w:p w14:paraId="07E495E8" w14:textId="61455FFC" w:rsidR="00085CC2" w:rsidRPr="00C91AD1" w:rsidRDefault="00085CC2" w:rsidP="00D202AD">
      <w:pPr>
        <w:pStyle w:val="Heading2"/>
      </w:pPr>
      <w:bookmarkStart w:id="13" w:name="_Hlk173860851"/>
      <w:bookmarkStart w:id="14" w:name="_Hlk173860764"/>
      <w:bookmarkStart w:id="15" w:name="_Hlk152347993"/>
      <w:r w:rsidRPr="00C91AD1">
        <w:t>3.</w:t>
      </w:r>
      <w:r w:rsidR="008C6322">
        <w:t>2</w:t>
      </w:r>
      <w:r w:rsidRPr="00C91AD1">
        <w:tab/>
      </w:r>
      <w:bookmarkStart w:id="16" w:name="_Hlk129877008"/>
      <w:r w:rsidRPr="00C91AD1">
        <w:t>Use of new technologies in translation services</w:t>
      </w:r>
    </w:p>
    <w:p w14:paraId="04B9D704" w14:textId="77777777" w:rsidR="00380FDC" w:rsidRDefault="00085CC2" w:rsidP="00085CC2">
      <w:pPr>
        <w:jc w:val="both"/>
        <w:rPr>
          <w:szCs w:val="24"/>
        </w:rPr>
      </w:pPr>
      <w:bookmarkStart w:id="17" w:name="_Hlk173860837"/>
      <w:bookmarkEnd w:id="13"/>
      <w:r w:rsidRPr="00380FDC">
        <w:rPr>
          <w:szCs w:val="24"/>
        </w:rPr>
        <w:t xml:space="preserve">The General Secretariat continues to develop and improve the ITU Translate neural machine translation tool in accordance with the strategy outlined in the Guide on multilingualism. </w:t>
      </w:r>
    </w:p>
    <w:p w14:paraId="67579E60" w14:textId="31C177CD" w:rsidR="00085CC2" w:rsidRPr="00380FDC" w:rsidRDefault="00290F11" w:rsidP="00085CC2">
      <w:pPr>
        <w:jc w:val="both"/>
      </w:pPr>
      <w:r>
        <w:t>Activities have including completing the t</w:t>
      </w:r>
      <w:r w:rsidR="00380FDC">
        <w:t>raining on-premises models used by internal translators</w:t>
      </w:r>
      <w:r>
        <w:t>; completing and deploying of fine-tuning the MS Azure Custom Translation model; migration of all ITU Translate APIs to the MS Azure cloud</w:t>
      </w:r>
      <w:r w:rsidR="001D1C47">
        <w:t xml:space="preserve">; and performance enhancements to handle high traffic. Large-scale deployment of ITU Translate across the sectors continues </w:t>
      </w:r>
      <w:r w:rsidR="00BA074B">
        <w:t xml:space="preserve">to </w:t>
      </w:r>
      <w:r w:rsidR="001D1C47">
        <w:t xml:space="preserve">be supported, including for all ITU-T study groups, several ITU-R groups and the entire </w:t>
      </w:r>
      <w:proofErr w:type="spellStart"/>
      <w:r w:rsidR="001D1C47">
        <w:t>WTDC</w:t>
      </w:r>
      <w:proofErr w:type="spellEnd"/>
      <w:r w:rsidR="001D1C47">
        <w:t xml:space="preserve"> website and related documents on the document management system. The ITU Translate dashboard and </w:t>
      </w:r>
      <w:hyperlink r:id="rId19">
        <w:r w:rsidR="001D1C47" w:rsidRPr="0118FE0E">
          <w:rPr>
            <w:rStyle w:val="Hyperlink"/>
          </w:rPr>
          <w:t>delegate document translation</w:t>
        </w:r>
      </w:hyperlink>
      <w:r w:rsidR="001D1C47">
        <w:t xml:space="preserve"> platforms have been updated to align with the ITU design system, accessibility requirements and mobile responsiveness</w:t>
      </w:r>
      <w:r w:rsidR="00166788">
        <w:t>; and costs are monitored and reported for all traffic sources.</w:t>
      </w:r>
    </w:p>
    <w:bookmarkEnd w:id="17"/>
    <w:p w14:paraId="28E4F524" w14:textId="73F24EAF" w:rsidR="000E22CC" w:rsidRPr="0040436C" w:rsidRDefault="000E22CC" w:rsidP="000E22CC">
      <w:pPr>
        <w:jc w:val="both"/>
        <w:rPr>
          <w:rFonts w:cstheme="minorBidi"/>
        </w:rPr>
      </w:pPr>
      <w:r w:rsidRPr="0118FE0E">
        <w:rPr>
          <w:rFonts w:cstheme="minorBidi"/>
        </w:rPr>
        <w:t xml:space="preserve">ITU translators continue to make use of ITU Translate internally for segment and document translation, alongside computer-assisted translation tools such as </w:t>
      </w:r>
      <w:proofErr w:type="spellStart"/>
      <w:r w:rsidRPr="0118FE0E">
        <w:rPr>
          <w:rFonts w:cstheme="minorBidi"/>
        </w:rPr>
        <w:t>eLUNa</w:t>
      </w:r>
      <w:proofErr w:type="spellEnd"/>
      <w:r w:rsidRPr="0118FE0E">
        <w:rPr>
          <w:rFonts w:cstheme="minorBidi"/>
        </w:rPr>
        <w:t xml:space="preserve"> and </w:t>
      </w:r>
      <w:proofErr w:type="spellStart"/>
      <w:r w:rsidRPr="0118FE0E">
        <w:rPr>
          <w:rFonts w:cstheme="minorBidi"/>
        </w:rPr>
        <w:t>UNTERM</w:t>
      </w:r>
      <w:proofErr w:type="spellEnd"/>
      <w:r w:rsidRPr="0118FE0E">
        <w:rPr>
          <w:rFonts w:cstheme="minorBidi"/>
        </w:rPr>
        <w:t xml:space="preserve">, the United Nations system terminology database. The </w:t>
      </w:r>
      <w:proofErr w:type="spellStart"/>
      <w:r w:rsidRPr="0118FE0E">
        <w:rPr>
          <w:rFonts w:cstheme="minorBidi"/>
        </w:rPr>
        <w:t>gDoc</w:t>
      </w:r>
      <w:proofErr w:type="spellEnd"/>
      <w:r w:rsidRPr="0118FE0E">
        <w:rPr>
          <w:rFonts w:cstheme="minorBidi"/>
        </w:rPr>
        <w:t xml:space="preserve"> 2.0 document workflow management application has been implemented as part of ITU’s approach to align working methods with those of other United Nations agencies and international organizations. In addition, a new document</w:t>
      </w:r>
      <w:r w:rsidRPr="0118FE0E" w:rsidDel="00040C26">
        <w:rPr>
          <w:rFonts w:cstheme="minorBidi"/>
        </w:rPr>
        <w:t xml:space="preserve"> </w:t>
      </w:r>
      <w:r w:rsidR="00040C26" w:rsidRPr="0118FE0E">
        <w:rPr>
          <w:rFonts w:cstheme="minorBidi"/>
        </w:rPr>
        <w:t xml:space="preserve">formatting </w:t>
      </w:r>
      <w:r w:rsidRPr="0118FE0E">
        <w:rPr>
          <w:rFonts w:cstheme="minorBidi"/>
        </w:rPr>
        <w:t xml:space="preserve">tool </w:t>
      </w:r>
      <w:r w:rsidR="009855C9" w:rsidRPr="0118FE0E">
        <w:rPr>
          <w:rFonts w:cstheme="minorBidi"/>
        </w:rPr>
        <w:t>is being piloted</w:t>
      </w:r>
      <w:r w:rsidRPr="0118FE0E">
        <w:rPr>
          <w:rFonts w:cstheme="minorBidi"/>
        </w:rPr>
        <w:t xml:space="preserve"> using an AI agentic approach to automatically edit and format documents translated by </w:t>
      </w:r>
      <w:proofErr w:type="spellStart"/>
      <w:r w:rsidRPr="0118FE0E">
        <w:rPr>
          <w:rFonts w:cstheme="minorBidi"/>
        </w:rPr>
        <w:t>eLUNa</w:t>
      </w:r>
      <w:proofErr w:type="spellEnd"/>
      <w:r w:rsidRPr="0118FE0E">
        <w:rPr>
          <w:rFonts w:cstheme="minorBidi"/>
        </w:rPr>
        <w:t xml:space="preserve"> in line with the </w:t>
      </w:r>
      <w:r w:rsidR="0040436C" w:rsidRPr="0118FE0E">
        <w:rPr>
          <w:rFonts w:cstheme="minorBidi"/>
        </w:rPr>
        <w:t>rules predefined by ITU translators for each language and set out in the ITU Style Guides</w:t>
      </w:r>
      <w:r w:rsidRPr="0118FE0E">
        <w:rPr>
          <w:rFonts w:cstheme="minorBidi"/>
        </w:rPr>
        <w:t>.</w:t>
      </w:r>
    </w:p>
    <w:p w14:paraId="36C1BCFF" w14:textId="754BB1D6" w:rsidR="00085CC2" w:rsidRDefault="000E22CC" w:rsidP="00085CC2">
      <w:pPr>
        <w:jc w:val="both"/>
        <w:rPr>
          <w:rFonts w:cstheme="minorHAnsi"/>
          <w:szCs w:val="24"/>
        </w:rPr>
      </w:pPr>
      <w:r w:rsidRPr="000E22CC">
        <w:rPr>
          <w:rFonts w:cstheme="minorHAnsi"/>
          <w:szCs w:val="24"/>
        </w:rPr>
        <w:lastRenderedPageBreak/>
        <w:t>Statistics and analysis on the use of ITU Translate in the year November 2024 to November 2025 are included in Annex 2 to this report.</w:t>
      </w:r>
    </w:p>
    <w:p w14:paraId="2BF5F9CB" w14:textId="20EB132F" w:rsidR="00130633" w:rsidRDefault="009E59D8" w:rsidP="00085CC2">
      <w:pPr>
        <w:jc w:val="both"/>
        <w:rPr>
          <w:rFonts w:cstheme="minorBidi"/>
        </w:rPr>
      </w:pPr>
      <w:r w:rsidRPr="6AEBE6A0">
        <w:rPr>
          <w:rFonts w:cstheme="minorBidi"/>
        </w:rPr>
        <w:t>A major update for 2026 will move ITU Translate from a neural machine translation basis to an LLM RAG basis to make use of real</w:t>
      </w:r>
      <w:r w:rsidR="009855C9" w:rsidRPr="6AEBE6A0">
        <w:rPr>
          <w:rFonts w:cstheme="minorBidi"/>
        </w:rPr>
        <w:t>-</w:t>
      </w:r>
      <w:r w:rsidRPr="6AEBE6A0">
        <w:rPr>
          <w:rFonts w:cstheme="minorBidi"/>
        </w:rPr>
        <w:t>time translation memory and save costs on training. In parallel, website translation engines will be reassessed to ensure that the response time remains suitable for real-time translation; website translation quality will be improved by addressing style change segmentation; and ITU Translate will be fully integrated into the new website project.</w:t>
      </w:r>
    </w:p>
    <w:p w14:paraId="1027C3FC" w14:textId="0D2DD8E8" w:rsidR="096BF732" w:rsidRPr="00267A7E" w:rsidRDefault="096BF732" w:rsidP="00D202AD">
      <w:pPr>
        <w:jc w:val="both"/>
        <w:rPr>
          <w:rFonts w:eastAsia="Calibri" w:cs="Calibri"/>
          <w:spacing w:val="2"/>
          <w:szCs w:val="24"/>
        </w:rPr>
      </w:pPr>
      <w:r w:rsidRPr="00267A7E">
        <w:rPr>
          <w:rFonts w:eastAsia="Calibri" w:cs="Calibri"/>
          <w:spacing w:val="2"/>
          <w:szCs w:val="24"/>
        </w:rPr>
        <w:t>The post-editing tool for ITU Translate has been updated and finalized. It provides the option for automatic post-editing of machine translations for professional translators, as well as</w:t>
      </w:r>
      <w:r w:rsidR="004A0B8C" w:rsidRPr="00267A7E">
        <w:rPr>
          <w:rFonts w:eastAsia="Calibri" w:cs="Calibri"/>
          <w:spacing w:val="2"/>
          <w:szCs w:val="24"/>
        </w:rPr>
        <w:t> </w:t>
      </w:r>
      <w:r w:rsidRPr="00267A7E">
        <w:rPr>
          <w:rFonts w:eastAsia="Calibri" w:cs="Calibri"/>
          <w:spacing w:val="2"/>
          <w:szCs w:val="24"/>
        </w:rPr>
        <w:t>enabling real-time post-editing of specific words or phrases on webpages translated by</w:t>
      </w:r>
      <w:r w:rsidR="004A0B8C" w:rsidRPr="00267A7E">
        <w:rPr>
          <w:rFonts w:eastAsia="Calibri" w:cs="Calibri"/>
          <w:spacing w:val="2"/>
          <w:szCs w:val="24"/>
        </w:rPr>
        <w:t> </w:t>
      </w:r>
      <w:r w:rsidRPr="00267A7E">
        <w:rPr>
          <w:rFonts w:eastAsia="Calibri" w:cs="Calibri"/>
          <w:spacing w:val="2"/>
          <w:szCs w:val="24"/>
        </w:rPr>
        <w:t xml:space="preserve">machine translation. The caching mechanism now enables a given post-edit to be reflected on the individual webpage or globally on the entire ITU website. Feedback from users to </w:t>
      </w:r>
      <w:hyperlink r:id="rId20" w:history="1">
        <w:proofErr w:type="spellStart"/>
        <w:r w:rsidR="004A0B8C" w:rsidRPr="00267A7E">
          <w:rPr>
            <w:rStyle w:val="Hyperlink"/>
            <w:rFonts w:eastAsia="Calibri" w:cs="Calibri"/>
            <w:spacing w:val="2"/>
            <w:szCs w:val="24"/>
          </w:rPr>
          <w:t>ling-it-support@itu.int</w:t>
        </w:r>
        <w:proofErr w:type="spellEnd"/>
      </w:hyperlink>
      <w:r w:rsidRPr="00267A7E">
        <w:rPr>
          <w:rFonts w:eastAsia="Calibri" w:cs="Calibri"/>
          <w:spacing w:val="2"/>
          <w:szCs w:val="24"/>
        </w:rPr>
        <w:t xml:space="preserve"> is addressed immediately.</w:t>
      </w:r>
    </w:p>
    <w:p w14:paraId="417C4699" w14:textId="39A58DF2" w:rsidR="00085CC2" w:rsidRPr="00C91AD1" w:rsidRDefault="00085CC2" w:rsidP="00D202AD">
      <w:pPr>
        <w:pStyle w:val="Heading2"/>
      </w:pPr>
      <w:bookmarkStart w:id="18" w:name="_Hlk213155365"/>
      <w:r w:rsidRPr="00C91AD1">
        <w:t>3.</w:t>
      </w:r>
      <w:r w:rsidR="0065384F">
        <w:t>3</w:t>
      </w:r>
      <w:r w:rsidRPr="00C91AD1">
        <w:tab/>
        <w:t>Use of new technologies in interpretation services</w:t>
      </w:r>
    </w:p>
    <w:p w14:paraId="4288906C" w14:textId="3A22FCA5" w:rsidR="009D4EA3" w:rsidRPr="00A01ECB" w:rsidRDefault="009D4EA3" w:rsidP="00492CB8">
      <w:pPr>
        <w:pStyle w:val="Headingb"/>
      </w:pPr>
      <w:r>
        <w:t>Remote Simultaneous Interpretation (RSI)</w:t>
      </w:r>
    </w:p>
    <w:p w14:paraId="4927AFA1" w14:textId="2E7BC36D" w:rsidR="009D4EA3" w:rsidRDefault="009D4EA3" w:rsidP="00791FA8">
      <w:pPr>
        <w:tabs>
          <w:tab w:val="num" w:pos="720"/>
        </w:tabs>
        <w:spacing w:line="259" w:lineRule="auto"/>
        <w:jc w:val="both"/>
      </w:pPr>
      <w:r>
        <w:t>RSI solutions</w:t>
      </w:r>
      <w:r w:rsidR="0048513E">
        <w:t xml:space="preserve"> </w:t>
      </w:r>
      <w:r>
        <w:t>have been tested</w:t>
      </w:r>
      <w:r w:rsidR="0048513E">
        <w:t xml:space="preserve"> </w:t>
      </w:r>
      <w:r>
        <w:t>extensively in recent years</w:t>
      </w:r>
      <w:r w:rsidR="1966F4DE">
        <w:t xml:space="preserve"> for</w:t>
      </w:r>
      <w:r w:rsidR="6F0D2C68">
        <w:t xml:space="preserve"> use in ITU meetings, working with RSI companies (procurement approach)&gt;</w:t>
      </w:r>
      <w:r>
        <w:t>. RSI offers</w:t>
      </w:r>
      <w:r w:rsidR="0048513E">
        <w:t xml:space="preserve"> </w:t>
      </w:r>
      <w:r>
        <w:t>a viable, cost-effective alternative to onsite simultaneous interpretation</w:t>
      </w:r>
      <w:r w:rsidR="003E58F1">
        <w:t xml:space="preserve"> when onsite interpretation is not feasible</w:t>
      </w:r>
      <w:r>
        <w:t>. RSI enables interpreters to work remotely, thereby reducing travel-related costs. Since</w:t>
      </w:r>
      <w:r w:rsidR="0048513E">
        <w:t xml:space="preserve"> </w:t>
      </w:r>
      <w:r>
        <w:t>October 2025</w:t>
      </w:r>
      <w:r w:rsidR="185FBE51">
        <w:t>, ITU has</w:t>
      </w:r>
      <w:r w:rsidR="799D2932">
        <w:t xml:space="preserve"> </w:t>
      </w:r>
      <w:r w:rsidR="44E142EB">
        <w:t>recruited</w:t>
      </w:r>
      <w:r w:rsidR="0048513E">
        <w:t xml:space="preserve"> </w:t>
      </w:r>
      <w:r>
        <w:t>local and national</w:t>
      </w:r>
      <w:r w:rsidR="0048513E">
        <w:t xml:space="preserve"> </w:t>
      </w:r>
      <w:r>
        <w:t>interpreters</w:t>
      </w:r>
      <w:r w:rsidR="0048513E">
        <w:t xml:space="preserve"> </w:t>
      </w:r>
      <w:r>
        <w:t>to work remotely on</w:t>
      </w:r>
      <w:r w:rsidR="0048513E">
        <w:t xml:space="preserve"> </w:t>
      </w:r>
      <w:r>
        <w:t>Zoom</w:t>
      </w:r>
      <w:r w:rsidR="0048513E">
        <w:t xml:space="preserve"> </w:t>
      </w:r>
      <w:r>
        <w:t>for ITU meetings</w:t>
      </w:r>
      <w:r w:rsidR="634FCD2B">
        <w:t xml:space="preserve"> on a trial basis</w:t>
      </w:r>
      <w:r>
        <w:t>.</w:t>
      </w:r>
      <w:r w:rsidR="0048513E">
        <w:t xml:space="preserve"> </w:t>
      </w:r>
      <w:r>
        <w:t>Th</w:t>
      </w:r>
      <w:r w:rsidR="2CB3E0FA">
        <w:t>e combination of recruitment and procurement approaches can be used to maximi</w:t>
      </w:r>
      <w:r w:rsidR="08A741B9">
        <w:t>se</w:t>
      </w:r>
      <w:r w:rsidR="2CB3E0FA">
        <w:t xml:space="preserve"> savings and flexibility whilst ensuring high quality</w:t>
      </w:r>
      <w:r>
        <w:t>.</w:t>
      </w:r>
      <w:r w:rsidR="0048513E">
        <w:t xml:space="preserve">  </w:t>
      </w:r>
    </w:p>
    <w:p w14:paraId="423ECDCD" w14:textId="3D5507B8" w:rsidR="009D4EA3" w:rsidRPr="00CB6F07" w:rsidRDefault="009D4EA3" w:rsidP="00791FA8">
      <w:pPr>
        <w:tabs>
          <w:tab w:val="num" w:pos="720"/>
        </w:tabs>
        <w:spacing w:line="259" w:lineRule="auto"/>
        <w:jc w:val="both"/>
        <w:rPr>
          <w:spacing w:val="-2"/>
        </w:rPr>
      </w:pPr>
      <w:r w:rsidRPr="00CB6F07">
        <w:rPr>
          <w:spacing w:val="-2"/>
        </w:rPr>
        <w:t>In addition, a</w:t>
      </w:r>
      <w:r w:rsidR="0048513E" w:rsidRPr="00CB6F07">
        <w:rPr>
          <w:spacing w:val="-2"/>
        </w:rPr>
        <w:t xml:space="preserve"> </w:t>
      </w:r>
      <w:r w:rsidRPr="00CB6F07">
        <w:rPr>
          <w:spacing w:val="-2"/>
        </w:rPr>
        <w:t>formal</w:t>
      </w:r>
      <w:r w:rsidR="0048513E" w:rsidRPr="00CB6F07">
        <w:rPr>
          <w:spacing w:val="-2"/>
        </w:rPr>
        <w:t xml:space="preserve"> </w:t>
      </w:r>
      <w:r w:rsidRPr="00CB6F07">
        <w:rPr>
          <w:spacing w:val="-2"/>
        </w:rPr>
        <w:t>proposal</w:t>
      </w:r>
      <w:r w:rsidR="0048513E" w:rsidRPr="00CB6F07">
        <w:rPr>
          <w:spacing w:val="-2"/>
        </w:rPr>
        <w:t xml:space="preserve"> </w:t>
      </w:r>
      <w:r w:rsidRPr="00CB6F07">
        <w:rPr>
          <w:spacing w:val="-2"/>
        </w:rPr>
        <w:t>for Member States</w:t>
      </w:r>
      <w:r w:rsidR="0048513E" w:rsidRPr="00CB6F07">
        <w:rPr>
          <w:spacing w:val="-2"/>
        </w:rPr>
        <w:t xml:space="preserve"> </w:t>
      </w:r>
      <w:r w:rsidRPr="00CB6F07">
        <w:rPr>
          <w:spacing w:val="-2"/>
        </w:rPr>
        <w:t>to</w:t>
      </w:r>
      <w:r w:rsidR="0048513E" w:rsidRPr="00CB6F07">
        <w:rPr>
          <w:spacing w:val="-2"/>
        </w:rPr>
        <w:t xml:space="preserve"> </w:t>
      </w:r>
      <w:r w:rsidRPr="00CB6F07">
        <w:rPr>
          <w:spacing w:val="-2"/>
        </w:rPr>
        <w:t>collaborate on the creation of a</w:t>
      </w:r>
      <w:r w:rsidR="0048513E" w:rsidRPr="00CB6F07">
        <w:rPr>
          <w:spacing w:val="-2"/>
        </w:rPr>
        <w:t xml:space="preserve"> </w:t>
      </w:r>
      <w:r w:rsidRPr="00CB6F07">
        <w:rPr>
          <w:spacing w:val="-2"/>
        </w:rPr>
        <w:t>pool of local and national interpreters</w:t>
      </w:r>
      <w:r w:rsidR="0048513E" w:rsidRPr="00CB6F07">
        <w:rPr>
          <w:spacing w:val="-2"/>
        </w:rPr>
        <w:t xml:space="preserve"> </w:t>
      </w:r>
      <w:r w:rsidR="00C81A2F" w:rsidRPr="00CB6F07">
        <w:rPr>
          <w:spacing w:val="-2"/>
        </w:rPr>
        <w:t xml:space="preserve">has been </w:t>
      </w:r>
      <w:r w:rsidR="219C6770" w:rsidRPr="00CB6F07">
        <w:rPr>
          <w:spacing w:val="-2"/>
        </w:rPr>
        <w:t>submitted to CWG-LANG (</w:t>
      </w:r>
      <w:r w:rsidR="0041781C" w:rsidRPr="00CB6F07">
        <w:rPr>
          <w:spacing w:val="-2"/>
        </w:rPr>
        <w:t>Document</w:t>
      </w:r>
      <w:r w:rsidR="00C81A2F" w:rsidRPr="00CB6F07">
        <w:rPr>
          <w:spacing w:val="-2"/>
        </w:rPr>
        <w:t xml:space="preserve"> </w:t>
      </w:r>
      <w:hyperlink r:id="rId21" w:history="1">
        <w:r w:rsidR="45EF1086" w:rsidRPr="00CB6F07">
          <w:rPr>
            <w:rStyle w:val="Hyperlink"/>
            <w:spacing w:val="-2"/>
          </w:rPr>
          <w:t>CWG-LANG-17/</w:t>
        </w:r>
        <w:r w:rsidR="00CB6F07" w:rsidRPr="00CB6F07">
          <w:rPr>
            <w:rStyle w:val="Hyperlink"/>
            <w:spacing w:val="-2"/>
          </w:rPr>
          <w:t>3</w:t>
        </w:r>
      </w:hyperlink>
      <w:r w:rsidR="177C8B3C" w:rsidRPr="00CB6F07">
        <w:rPr>
          <w:spacing w:val="-2"/>
        </w:rPr>
        <w:t>)</w:t>
      </w:r>
      <w:r w:rsidR="3B6EDE7D" w:rsidRPr="00CB6F07">
        <w:rPr>
          <w:spacing w:val="-2"/>
        </w:rPr>
        <w:t xml:space="preserve">. </w:t>
      </w:r>
      <w:r w:rsidRPr="00CB6F07">
        <w:rPr>
          <w:spacing w:val="-2"/>
        </w:rPr>
        <w:t>The</w:t>
      </w:r>
      <w:r w:rsidR="0048513E" w:rsidRPr="00CB6F07">
        <w:rPr>
          <w:spacing w:val="-2"/>
        </w:rPr>
        <w:t xml:space="preserve"> </w:t>
      </w:r>
      <w:r w:rsidRPr="00CB6F07">
        <w:rPr>
          <w:spacing w:val="-2"/>
        </w:rPr>
        <w:t>proposal</w:t>
      </w:r>
      <w:r w:rsidR="0048513E" w:rsidRPr="00CB6F07">
        <w:rPr>
          <w:spacing w:val="-2"/>
        </w:rPr>
        <w:t xml:space="preserve"> </w:t>
      </w:r>
      <w:r w:rsidR="00C81A2F" w:rsidRPr="00CB6F07">
        <w:rPr>
          <w:spacing w:val="-2"/>
        </w:rPr>
        <w:t>invites</w:t>
      </w:r>
      <w:r w:rsidRPr="00CB6F07">
        <w:rPr>
          <w:spacing w:val="-2"/>
        </w:rPr>
        <w:t xml:space="preserve"> Member States to nominate qualified local and national conference interpreters</w:t>
      </w:r>
      <w:r w:rsidR="0048513E" w:rsidRPr="00CB6F07">
        <w:rPr>
          <w:spacing w:val="-2"/>
        </w:rPr>
        <w:t xml:space="preserve"> </w:t>
      </w:r>
      <w:r w:rsidRPr="00CB6F07">
        <w:rPr>
          <w:spacing w:val="-2"/>
        </w:rPr>
        <w:t>and</w:t>
      </w:r>
      <w:r w:rsidR="0048513E" w:rsidRPr="00CB6F07">
        <w:rPr>
          <w:spacing w:val="-2"/>
        </w:rPr>
        <w:t xml:space="preserve"> </w:t>
      </w:r>
      <w:r w:rsidRPr="00CB6F07">
        <w:rPr>
          <w:spacing w:val="-2"/>
        </w:rPr>
        <w:t>se</w:t>
      </w:r>
      <w:r w:rsidR="007E2492" w:rsidRPr="00CB6F07">
        <w:rPr>
          <w:spacing w:val="-2"/>
        </w:rPr>
        <w:t>ts</w:t>
      </w:r>
      <w:r w:rsidRPr="00CB6F07">
        <w:rPr>
          <w:spacing w:val="-2"/>
        </w:rPr>
        <w:t xml:space="preserve"> out</w:t>
      </w:r>
      <w:r w:rsidR="0048513E" w:rsidRPr="00CB6F07">
        <w:rPr>
          <w:spacing w:val="-2"/>
        </w:rPr>
        <w:t xml:space="preserve"> </w:t>
      </w:r>
      <w:r w:rsidRPr="00CB6F07">
        <w:rPr>
          <w:spacing w:val="-2"/>
        </w:rPr>
        <w:t>minimum</w:t>
      </w:r>
      <w:r w:rsidR="0048513E" w:rsidRPr="00CB6F07">
        <w:rPr>
          <w:spacing w:val="-2"/>
        </w:rPr>
        <w:t xml:space="preserve"> </w:t>
      </w:r>
      <w:r w:rsidRPr="00CB6F07">
        <w:rPr>
          <w:spacing w:val="-2"/>
        </w:rPr>
        <w:t>standards</w:t>
      </w:r>
      <w:r w:rsidR="0048513E" w:rsidRPr="00CB6F07">
        <w:rPr>
          <w:spacing w:val="-2"/>
        </w:rPr>
        <w:t xml:space="preserve"> </w:t>
      </w:r>
      <w:r w:rsidRPr="00CB6F07">
        <w:rPr>
          <w:spacing w:val="-2"/>
        </w:rPr>
        <w:t>required</w:t>
      </w:r>
      <w:r w:rsidR="0048513E" w:rsidRPr="00CB6F07">
        <w:rPr>
          <w:spacing w:val="-2"/>
        </w:rPr>
        <w:t xml:space="preserve"> </w:t>
      </w:r>
      <w:r w:rsidRPr="00CB6F07">
        <w:rPr>
          <w:spacing w:val="-2"/>
        </w:rPr>
        <w:t>in line with United Nations guidelines,</w:t>
      </w:r>
      <w:r w:rsidR="0048513E" w:rsidRPr="00CB6F07">
        <w:rPr>
          <w:spacing w:val="-2"/>
        </w:rPr>
        <w:t xml:space="preserve"> </w:t>
      </w:r>
      <w:r w:rsidR="007E2492" w:rsidRPr="00CB6F07">
        <w:rPr>
          <w:spacing w:val="-2"/>
        </w:rPr>
        <w:t>including</w:t>
      </w:r>
      <w:r w:rsidRPr="00CB6F07">
        <w:rPr>
          <w:spacing w:val="-2"/>
        </w:rPr>
        <w:t xml:space="preserve"> requisite language combinations, </w:t>
      </w:r>
      <w:r w:rsidR="007E2492" w:rsidRPr="00CB6F07">
        <w:rPr>
          <w:spacing w:val="-2"/>
        </w:rPr>
        <w:t>qualifications and experience in conferen</w:t>
      </w:r>
      <w:r w:rsidRPr="00CB6F07">
        <w:rPr>
          <w:spacing w:val="-2"/>
        </w:rPr>
        <w:t>ce interpretation.</w:t>
      </w:r>
      <w:r w:rsidR="0048513E" w:rsidRPr="00CB6F07">
        <w:rPr>
          <w:spacing w:val="-2"/>
        </w:rPr>
        <w:t xml:space="preserve"> </w:t>
      </w:r>
      <w:r w:rsidRPr="00CB6F07">
        <w:rPr>
          <w:spacing w:val="-2"/>
        </w:rPr>
        <w:t>It also</w:t>
      </w:r>
      <w:r w:rsidR="0048513E" w:rsidRPr="00CB6F07">
        <w:rPr>
          <w:spacing w:val="-2"/>
        </w:rPr>
        <w:t xml:space="preserve"> </w:t>
      </w:r>
      <w:r w:rsidRPr="00CB6F07">
        <w:rPr>
          <w:spacing w:val="-2"/>
        </w:rPr>
        <w:t>includes a</w:t>
      </w:r>
      <w:r w:rsidR="0048513E" w:rsidRPr="00CB6F07">
        <w:rPr>
          <w:spacing w:val="-2"/>
        </w:rPr>
        <w:t xml:space="preserve"> </w:t>
      </w:r>
      <w:r w:rsidRPr="00CB6F07">
        <w:rPr>
          <w:spacing w:val="-2"/>
        </w:rPr>
        <w:t>call</w:t>
      </w:r>
      <w:r w:rsidR="0048513E" w:rsidRPr="00CB6F07">
        <w:rPr>
          <w:spacing w:val="-2"/>
        </w:rPr>
        <w:t xml:space="preserve"> </w:t>
      </w:r>
      <w:r w:rsidRPr="00CB6F07">
        <w:rPr>
          <w:spacing w:val="-2"/>
        </w:rPr>
        <w:t>for universities to help in the training of qualified interpreters in local communities.</w:t>
      </w:r>
      <w:r w:rsidR="0048513E" w:rsidRPr="00CB6F07">
        <w:rPr>
          <w:spacing w:val="-2"/>
        </w:rPr>
        <w:t xml:space="preserve"> </w:t>
      </w:r>
    </w:p>
    <w:p w14:paraId="44215AAB" w14:textId="7536B2EB" w:rsidR="009D4EA3" w:rsidRPr="00A01ECB" w:rsidRDefault="009D4EA3" w:rsidP="00492CB8">
      <w:pPr>
        <w:pStyle w:val="Headingb"/>
      </w:pPr>
      <w:r>
        <w:t xml:space="preserve">Artificial </w:t>
      </w:r>
      <w:r w:rsidR="00AE1DC2">
        <w:t xml:space="preserve">intelligence </w:t>
      </w:r>
      <w:r w:rsidR="6C80D5B8">
        <w:t>s</w:t>
      </w:r>
      <w:r>
        <w:t>olutions</w:t>
      </w:r>
    </w:p>
    <w:p w14:paraId="4EA021C5" w14:textId="77777777" w:rsidR="009D4EA3" w:rsidRPr="003D40CD" w:rsidRDefault="009D4EA3" w:rsidP="009D4EA3">
      <w:pPr>
        <w:tabs>
          <w:tab w:val="num" w:pos="720"/>
        </w:tabs>
        <w:jc w:val="both"/>
      </w:pPr>
      <w:r w:rsidRPr="003D40CD">
        <w:t xml:space="preserve">Cloud-based artificial intelligence (AI) interpretation solutions have been tested and are being evaluated for quality and suitability for informal ITU meetings where no professional interpretation is offered. Initial feedback indicates that the quality of interpretation is not yet sufficient for formal meetings, including those with negotiations and nuanced content. The risks of using AI-powered interpretation services have been evaluated with the involvement of the potential service providers, and mitigation measures established or proposed, in accordance with the general ITU policy on the use of AI tools, services and systems. </w:t>
      </w:r>
    </w:p>
    <w:p w14:paraId="735CDEC6" w14:textId="251DD633" w:rsidR="00085CC2" w:rsidRPr="00C91AD1" w:rsidRDefault="009D4EA3" w:rsidP="00600643">
      <w:pPr>
        <w:tabs>
          <w:tab w:val="num" w:pos="720"/>
        </w:tabs>
        <w:jc w:val="both"/>
        <w:rPr>
          <w:rFonts w:cstheme="minorHAnsi"/>
          <w:szCs w:val="24"/>
        </w:rPr>
      </w:pPr>
      <w:r w:rsidRPr="003D40CD">
        <w:t xml:space="preserve">ITU will continue to test AI-based interpretation tools and identify new opportunities, given that technologies are evolving quickly, with new digital features, tools and platforms available on a regular basis. AI interpretation tools will be evaluated for longer duration under live conditions and in multiple environments to ascertain operational viability. In addition, ITU will </w:t>
      </w:r>
      <w:r w:rsidRPr="003D40CD">
        <w:lastRenderedPageBreak/>
        <w:t xml:space="preserve">continue to collaborate with other UN organizations to share experiences in areas such as quality, data protection and technical readiness. </w:t>
      </w:r>
      <w:bookmarkEnd w:id="14"/>
      <w:bookmarkEnd w:id="18"/>
    </w:p>
    <w:p w14:paraId="563C05DB" w14:textId="1F434200" w:rsidR="00D15E63" w:rsidRPr="00C91AD1" w:rsidRDefault="00D15E63" w:rsidP="00D202AD">
      <w:pPr>
        <w:pStyle w:val="Heading2"/>
        <w:rPr>
          <w:b w:val="0"/>
          <w:bCs w:val="0"/>
        </w:rPr>
      </w:pPr>
      <w:bookmarkStart w:id="19" w:name="_Hlk151740976"/>
      <w:bookmarkEnd w:id="15"/>
      <w:r w:rsidRPr="00C91AD1">
        <w:t>3.</w:t>
      </w:r>
      <w:r w:rsidR="0065384F">
        <w:t>4</w:t>
      </w:r>
      <w:r w:rsidRPr="00C91AD1">
        <w:tab/>
        <w:t>Terminology work in ITU</w:t>
      </w:r>
    </w:p>
    <w:p w14:paraId="54FB2FCB" w14:textId="39FAEC7E" w:rsidR="00DD76DE" w:rsidRDefault="00DD76DE" w:rsidP="00DD76DE">
      <w:pPr>
        <w:tabs>
          <w:tab w:val="clear" w:pos="567"/>
          <w:tab w:val="left" w:pos="0"/>
        </w:tabs>
        <w:jc w:val="both"/>
      </w:pPr>
      <w:bookmarkStart w:id="20" w:name="_Hlk174024737"/>
      <w:bookmarkEnd w:id="19"/>
      <w:r w:rsidRPr="00C91AD1">
        <w:t>The ITU Coordination Committee for Terminology (</w:t>
      </w:r>
      <w:proofErr w:type="spellStart"/>
      <w:r w:rsidRPr="00C91AD1">
        <w:t>CCT</w:t>
      </w:r>
      <w:proofErr w:type="spellEnd"/>
      <w:r w:rsidRPr="00C91AD1">
        <w:t xml:space="preserve">) is continuing its work in harmonizing terminology and definitions within ITU, based on proposals submitted by ITU study groups </w:t>
      </w:r>
      <w:r>
        <w:t xml:space="preserve">and working parties </w:t>
      </w:r>
      <w:r w:rsidRPr="00C91AD1">
        <w:t>in English and validating their translation into the other five official languages of the Union</w:t>
      </w:r>
      <w:r>
        <w:t xml:space="preserve"> in accordance with C</w:t>
      </w:r>
      <w:r w:rsidRPr="000A0434">
        <w:t>ouncil Resolution 1386 (</w:t>
      </w:r>
      <w:proofErr w:type="spellStart"/>
      <w:r w:rsidRPr="000A0434">
        <w:t>C17</w:t>
      </w:r>
      <w:proofErr w:type="spellEnd"/>
      <w:r w:rsidRPr="000A0434">
        <w:t xml:space="preserve">, last amended </w:t>
      </w:r>
      <w:proofErr w:type="spellStart"/>
      <w:r w:rsidRPr="000A0434">
        <w:t>C25</w:t>
      </w:r>
      <w:proofErr w:type="spellEnd"/>
      <w:r w:rsidRPr="000A0434">
        <w:t>)</w:t>
      </w:r>
      <w:r>
        <w:t xml:space="preserve"> and the relevant Sector Resolutions</w:t>
      </w:r>
      <w:r w:rsidRPr="00C91AD1">
        <w:t>.</w:t>
      </w:r>
    </w:p>
    <w:p w14:paraId="4365683F" w14:textId="0614757D" w:rsidR="00DD76DE" w:rsidRDefault="00DD76DE" w:rsidP="00DD76DE">
      <w:pPr>
        <w:jc w:val="both"/>
      </w:pPr>
      <w:r>
        <w:t xml:space="preserve">The </w:t>
      </w:r>
      <w:proofErr w:type="spellStart"/>
      <w:r>
        <w:t>CCT</w:t>
      </w:r>
      <w:proofErr w:type="spellEnd"/>
      <w:r>
        <w:t xml:space="preserve"> has held seven meetings in 2025 and considered over 150 input contributions. Due to the significant number of terms and definitions received, a new mechanism to progress the work between meetings has been implemented, enabling the </w:t>
      </w:r>
      <w:proofErr w:type="spellStart"/>
      <w:r>
        <w:t>CCT</w:t>
      </w:r>
      <w:proofErr w:type="spellEnd"/>
      <w:r>
        <w:t xml:space="preserve"> secretariat to classify terms and definitions received into three categories: 1) clear and conforming to editorial guidelines; 2) clear but requiring adaption to the editorial guidelines; and 3) requiring clarification and further discussion. </w:t>
      </w:r>
    </w:p>
    <w:p w14:paraId="245D0923" w14:textId="77777777" w:rsidR="00DD76DE" w:rsidRDefault="00DD76DE" w:rsidP="00CB6F07">
      <w:pPr>
        <w:pStyle w:val="enumlev1"/>
        <w:tabs>
          <w:tab w:val="clear" w:pos="567"/>
          <w:tab w:val="left" w:pos="0"/>
        </w:tabs>
        <w:ind w:left="0" w:firstLine="0"/>
        <w:jc w:val="both"/>
      </w:pPr>
      <w:r>
        <w:t xml:space="preserve">This mechanism has yielded positive results, including more efficient meeting time management, faster validation of the terms and definitions which comply with the </w:t>
      </w:r>
      <w:r w:rsidRPr="00A0291B">
        <w:t>editorial guidelines</w:t>
      </w:r>
      <w:r>
        <w:t xml:space="preserve"> and smoother liaison with relevant Study Groups and Working Parties for editorial adjustments.</w:t>
      </w:r>
    </w:p>
    <w:p w14:paraId="20344BCC" w14:textId="520981C3" w:rsidR="00DD76DE" w:rsidRDefault="00DD76DE" w:rsidP="00DD76DE">
      <w:pPr>
        <w:jc w:val="both"/>
      </w:pPr>
      <w:r>
        <w:t>In addition, 132 terms and their definitions have been translated into the official languages of the Union through the collaboration between ITU’s Conferences and Publications Department (</w:t>
      </w:r>
      <w:proofErr w:type="spellStart"/>
      <w:r>
        <w:t>C&amp;P</w:t>
      </w:r>
      <w:proofErr w:type="spellEnd"/>
      <w:r>
        <w:t>) and its partner institutions cooperating on terminology and language-related matters (</w:t>
      </w:r>
      <w:r w:rsidRPr="00C91AD1">
        <w:t xml:space="preserve">Communication, Space and Technology Commission (CST) of Saudi Arabia, China Institute of Communications (CIC), M.I. </w:t>
      </w:r>
      <w:proofErr w:type="spellStart"/>
      <w:r w:rsidRPr="00C91AD1">
        <w:t>Krivosheev</w:t>
      </w:r>
      <w:proofErr w:type="spellEnd"/>
      <w:r w:rsidRPr="00C91AD1">
        <w:t xml:space="preserve"> </w:t>
      </w:r>
      <w:r>
        <w:t>National Research Centre for Telecommunication (</w:t>
      </w:r>
      <w:proofErr w:type="spellStart"/>
      <w:r>
        <w:t>NCRT</w:t>
      </w:r>
      <w:proofErr w:type="spellEnd"/>
      <w:r>
        <w:t>)</w:t>
      </w:r>
      <w:r w:rsidRPr="00C91AD1">
        <w:t xml:space="preserve"> of Russia, and </w:t>
      </w:r>
      <w:r w:rsidRPr="002E2967">
        <w:t xml:space="preserve">Colegio </w:t>
      </w:r>
      <w:proofErr w:type="spellStart"/>
      <w:r w:rsidRPr="002E2967">
        <w:t>Oficial</w:t>
      </w:r>
      <w:proofErr w:type="spellEnd"/>
      <w:r w:rsidRPr="002E2967">
        <w:t xml:space="preserve"> de Ingenieros de </w:t>
      </w:r>
      <w:proofErr w:type="spellStart"/>
      <w:r w:rsidRPr="002E2967">
        <w:t>Telecommunicación</w:t>
      </w:r>
      <w:proofErr w:type="spellEnd"/>
      <w:r w:rsidRPr="00C91AD1">
        <w:t xml:space="preserve"> (COIT) of Spain</w:t>
      </w:r>
      <w:r>
        <w:t>)</w:t>
      </w:r>
      <w:r w:rsidR="0B556785">
        <w:t>.</w:t>
      </w:r>
    </w:p>
    <w:p w14:paraId="762DAAF3" w14:textId="7CFB2D97" w:rsidR="00DD76DE" w:rsidRDefault="00DD76DE" w:rsidP="17AA33A2">
      <w:pPr>
        <w:jc w:val="both"/>
        <w:rPr>
          <w:rFonts w:asciiTheme="minorHAnsi" w:eastAsiaTheme="minorEastAsia" w:hAnsiTheme="minorHAnsi" w:cstheme="minorBidi"/>
        </w:rPr>
      </w:pPr>
      <w:r>
        <w:t xml:space="preserve">The </w:t>
      </w:r>
      <w:hyperlink r:id="rId22" w:anchor="/terminology">
        <w:r w:rsidRPr="17AA33A2">
          <w:rPr>
            <w:rStyle w:val="Hyperlink"/>
          </w:rPr>
          <w:t>ITU Terms and Definitions database</w:t>
        </w:r>
      </w:hyperlink>
      <w:r>
        <w:t xml:space="preserve"> has also been enhanced and presented in a more user</w:t>
      </w:r>
      <w:r w:rsidR="7849E586">
        <w:t>-</w:t>
      </w:r>
      <w:r>
        <w:t xml:space="preserve">friendly manner in </w:t>
      </w:r>
      <w:hyperlink r:id="rId23" w:anchor="/Home">
        <w:proofErr w:type="spellStart"/>
        <w:r w:rsidRPr="17AA33A2">
          <w:rPr>
            <w:rStyle w:val="Hyperlink"/>
          </w:rPr>
          <w:t>MyWorkspace</w:t>
        </w:r>
        <w:proofErr w:type="spellEnd"/>
      </w:hyperlink>
      <w:r>
        <w:t xml:space="preserve">. It also incorporates an option to filter the terms which are validated by the </w:t>
      </w:r>
      <w:proofErr w:type="spellStart"/>
      <w:r>
        <w:t>CCT</w:t>
      </w:r>
      <w:proofErr w:type="spellEnd"/>
      <w:r>
        <w:t xml:space="preserve">. </w:t>
      </w:r>
    </w:p>
    <w:p w14:paraId="168E43B0" w14:textId="5E214BCE" w:rsidR="00DD76DE" w:rsidRDefault="18F98CED" w:rsidP="00D202AD">
      <w:pPr>
        <w:jc w:val="both"/>
        <w:rPr>
          <w:rFonts w:eastAsiaTheme="minorEastAsia"/>
        </w:rPr>
      </w:pPr>
      <w:r w:rsidRPr="0118FE0E">
        <w:rPr>
          <w:rFonts w:eastAsiaTheme="minorEastAsia"/>
        </w:rPr>
        <w:t xml:space="preserve">The </w:t>
      </w:r>
      <w:proofErr w:type="spellStart"/>
      <w:r w:rsidRPr="0118FE0E">
        <w:rPr>
          <w:rFonts w:eastAsiaTheme="minorEastAsia"/>
        </w:rPr>
        <w:t>CCT</w:t>
      </w:r>
      <w:proofErr w:type="spellEnd"/>
      <w:r w:rsidRPr="0118FE0E">
        <w:rPr>
          <w:rFonts w:eastAsiaTheme="minorEastAsia"/>
        </w:rPr>
        <w:t xml:space="preserve"> website has also been updated to align with the look and feel of study group websites, and further internal technical adjustments are being made to standardize the mechanism for downloading files.</w:t>
      </w:r>
    </w:p>
    <w:p w14:paraId="43C5CF47" w14:textId="092FEFA0" w:rsidR="00DD76DE" w:rsidRDefault="00DD76DE" w:rsidP="00DD76DE">
      <w:pPr>
        <w:jc w:val="both"/>
      </w:pPr>
      <w:r>
        <w:t xml:space="preserve">The </w:t>
      </w:r>
      <w:proofErr w:type="spellStart"/>
      <w:r>
        <w:t>CCT</w:t>
      </w:r>
      <w:proofErr w:type="spellEnd"/>
      <w:r>
        <w:t xml:space="preserve"> endorsed the proposed revision of </w:t>
      </w:r>
      <w:r w:rsidRPr="00C91AD1">
        <w:t>Council Resolution 1386 on the ITU Coordination Committee for Terminology</w:t>
      </w:r>
      <w:r>
        <w:t xml:space="preserve"> as approved by the June 2025 session of Council. </w:t>
      </w:r>
      <w:hyperlink r:id="rId24">
        <w:r w:rsidRPr="0118FE0E">
          <w:rPr>
            <w:rStyle w:val="Hyperlink"/>
          </w:rPr>
          <w:t>Council Resolution 1386 (</w:t>
        </w:r>
        <w:proofErr w:type="spellStart"/>
        <w:r w:rsidRPr="0118FE0E">
          <w:rPr>
            <w:rStyle w:val="Hyperlink"/>
          </w:rPr>
          <w:t>C17</w:t>
        </w:r>
        <w:proofErr w:type="spellEnd"/>
        <w:r w:rsidRPr="0118FE0E">
          <w:rPr>
            <w:rStyle w:val="Hyperlink"/>
          </w:rPr>
          <w:t xml:space="preserve">, last amended </w:t>
        </w:r>
        <w:proofErr w:type="spellStart"/>
        <w:r w:rsidRPr="0118FE0E">
          <w:rPr>
            <w:rStyle w:val="Hyperlink"/>
          </w:rPr>
          <w:t>C25</w:t>
        </w:r>
        <w:proofErr w:type="spellEnd"/>
        <w:r w:rsidRPr="0118FE0E">
          <w:rPr>
            <w:rStyle w:val="Hyperlink"/>
          </w:rPr>
          <w:t>)</w:t>
        </w:r>
      </w:hyperlink>
      <w:r>
        <w:t xml:space="preserve"> includes a new Annex 2, which was developed in conjunction with the </w:t>
      </w:r>
      <w:proofErr w:type="spellStart"/>
      <w:r>
        <w:t>CCT</w:t>
      </w:r>
      <w:proofErr w:type="spellEnd"/>
      <w:r>
        <w:t>, that harmonizes the r</w:t>
      </w:r>
      <w:r w:rsidRPr="00E5134D">
        <w:t>esponsibilities of rapporteurs for vocabulary</w:t>
      </w:r>
      <w:r>
        <w:t xml:space="preserve"> across the three Sectors of the Union. The </w:t>
      </w:r>
      <w:proofErr w:type="spellStart"/>
      <w:r>
        <w:t>CCT</w:t>
      </w:r>
      <w:proofErr w:type="spellEnd"/>
      <w:r>
        <w:t xml:space="preserve"> also concluded the revision Recommendation </w:t>
      </w:r>
      <w:hyperlink r:id="rId25">
        <w:r w:rsidRPr="0118FE0E">
          <w:rPr>
            <w:rStyle w:val="Hyperlink"/>
          </w:rPr>
          <w:t xml:space="preserve">ITU-R </w:t>
        </w:r>
        <w:proofErr w:type="spellStart"/>
        <w:r w:rsidRPr="0118FE0E">
          <w:rPr>
            <w:rStyle w:val="Hyperlink"/>
          </w:rPr>
          <w:t>V.431</w:t>
        </w:r>
        <w:proofErr w:type="spellEnd"/>
      </w:hyperlink>
      <w:r>
        <w:t>, which was subsequently adopted and approved by the membership.</w:t>
      </w:r>
    </w:p>
    <w:p w14:paraId="1D6C68AB" w14:textId="66820181" w:rsidR="00085CC2" w:rsidRPr="00C91AD1" w:rsidRDefault="0079772A" w:rsidP="00D202AD">
      <w:pPr>
        <w:pStyle w:val="Heading2"/>
        <w:rPr>
          <w:b w:val="0"/>
          <w:bCs w:val="0"/>
        </w:rPr>
      </w:pPr>
      <w:r>
        <w:t>3</w:t>
      </w:r>
      <w:r w:rsidR="00A275D4">
        <w:t>.</w:t>
      </w:r>
      <w:r w:rsidR="0065384F">
        <w:t>5</w:t>
      </w:r>
      <w:r w:rsidR="00085CC2" w:rsidRPr="00C91AD1">
        <w:tab/>
        <w:t>Harmonization of ITU websites in the six official languages, incorporating multilingualism into communications, knowledge exchange and social media</w:t>
      </w:r>
    </w:p>
    <w:p w14:paraId="5D9DF28D" w14:textId="1EEA34BF" w:rsidR="00256D9B" w:rsidRDefault="000F3FEB" w:rsidP="00256D9B">
      <w:pPr>
        <w:jc w:val="both"/>
      </w:pPr>
      <w:bookmarkStart w:id="21" w:name="_Hlk152342995"/>
      <w:r w:rsidRPr="003250E4">
        <w:t>The New Website Project was launched following the approval of Council (</w:t>
      </w:r>
      <w:r w:rsidR="00085CC2" w:rsidRPr="003250E4">
        <w:t xml:space="preserve">Document </w:t>
      </w:r>
      <w:hyperlink r:id="rId26" w:history="1">
        <w:proofErr w:type="spellStart"/>
        <w:r w:rsidR="009D15EA" w:rsidRPr="003250E4">
          <w:rPr>
            <w:rStyle w:val="Hyperlink"/>
            <w:lang w:val="en-US"/>
          </w:rPr>
          <w:t>C24</w:t>
        </w:r>
        <w:proofErr w:type="spellEnd"/>
        <w:r w:rsidR="009D15EA" w:rsidRPr="003250E4">
          <w:rPr>
            <w:rStyle w:val="Hyperlink"/>
            <w:lang w:val="en-US"/>
          </w:rPr>
          <w:t>/53</w:t>
        </w:r>
      </w:hyperlink>
      <w:r w:rsidR="009D15EA" w:rsidRPr="003250E4">
        <w:rPr>
          <w:lang w:val="en-US"/>
        </w:rPr>
        <w:t xml:space="preserve">) with the aim of </w:t>
      </w:r>
      <w:r w:rsidR="00256D9B" w:rsidRPr="003250E4">
        <w:rPr>
          <w:rFonts w:asciiTheme="minorHAnsi" w:hAnsiTheme="minorHAnsi" w:cstheme="minorBidi"/>
          <w:color w:val="0D0D0D"/>
          <w:shd w:val="clear" w:color="auto" w:fill="FFFFFF"/>
        </w:rPr>
        <w:t xml:space="preserve">developing a modern, mobile-responsive, secure, and multilingual website, with strong search capabilities, user-friendly navigation, and consistent branding and messaging. As the project is a cross-cutting issue with financial implications, it </w:t>
      </w:r>
      <w:r w:rsidR="000521DD" w:rsidRPr="003250E4">
        <w:rPr>
          <w:rFonts w:asciiTheme="minorHAnsi" w:hAnsiTheme="minorHAnsi" w:cstheme="minorBidi"/>
          <w:color w:val="0D0D0D"/>
          <w:shd w:val="clear" w:color="auto" w:fill="FFFFFF"/>
        </w:rPr>
        <w:t>is</w:t>
      </w:r>
      <w:r w:rsidR="00256D9B" w:rsidRPr="003250E4">
        <w:rPr>
          <w:rFonts w:asciiTheme="minorHAnsi" w:hAnsiTheme="minorHAnsi" w:cstheme="minorBidi"/>
          <w:color w:val="0D0D0D"/>
          <w:shd w:val="clear" w:color="auto" w:fill="FFFFFF"/>
        </w:rPr>
        <w:t xml:space="preserve"> discussed in </w:t>
      </w:r>
      <w:r w:rsidR="00256D9B" w:rsidRPr="003250E4">
        <w:rPr>
          <w:rFonts w:asciiTheme="minorHAnsi" w:hAnsiTheme="minorHAnsi" w:cstheme="minorBidi"/>
          <w:color w:val="0D0D0D"/>
          <w:shd w:val="clear" w:color="auto" w:fill="FFFFFF"/>
        </w:rPr>
        <w:lastRenderedPageBreak/>
        <w:t>parallel at meetings of the</w:t>
      </w:r>
      <w:r w:rsidR="009F240C" w:rsidRPr="003250E4">
        <w:rPr>
          <w:rFonts w:asciiTheme="minorHAnsi" w:hAnsiTheme="minorHAnsi" w:cstheme="minorBidi"/>
          <w:color w:val="0D0D0D"/>
          <w:shd w:val="clear" w:color="auto" w:fill="FFFFFF"/>
        </w:rPr>
        <w:t xml:space="preserve"> Council and of the</w:t>
      </w:r>
      <w:r w:rsidR="00256D9B" w:rsidRPr="003250E4">
        <w:rPr>
          <w:rFonts w:asciiTheme="minorHAnsi" w:hAnsiTheme="minorHAnsi" w:cstheme="minorBidi"/>
          <w:color w:val="0D0D0D"/>
          <w:shd w:val="clear" w:color="auto" w:fill="FFFFFF"/>
        </w:rPr>
        <w:t xml:space="preserve"> Council Working Group on </w:t>
      </w:r>
      <w:r w:rsidR="00A275D4" w:rsidRPr="003250E4">
        <w:rPr>
          <w:rFonts w:asciiTheme="minorHAnsi" w:hAnsiTheme="minorHAnsi" w:cstheme="minorBidi"/>
          <w:color w:val="0D0D0D"/>
          <w:shd w:val="clear" w:color="auto" w:fill="FFFFFF"/>
        </w:rPr>
        <w:t xml:space="preserve">financial and human </w:t>
      </w:r>
      <w:r w:rsidR="00256D9B" w:rsidRPr="003250E4">
        <w:rPr>
          <w:rFonts w:asciiTheme="minorHAnsi" w:hAnsiTheme="minorHAnsi" w:cstheme="minorBidi"/>
          <w:color w:val="0D0D0D"/>
          <w:shd w:val="clear" w:color="auto" w:fill="FFFFFF"/>
        </w:rPr>
        <w:t>resources (Document</w:t>
      </w:r>
      <w:r w:rsidR="003250E4">
        <w:rPr>
          <w:rFonts w:asciiTheme="minorHAnsi" w:hAnsiTheme="minorHAnsi" w:cstheme="minorBidi"/>
          <w:color w:val="0D0D0D"/>
          <w:shd w:val="clear" w:color="auto" w:fill="FFFFFF"/>
        </w:rPr>
        <w:t>s</w:t>
      </w:r>
      <w:r w:rsidR="00256D9B" w:rsidRPr="003250E4">
        <w:rPr>
          <w:rFonts w:asciiTheme="minorHAnsi" w:hAnsiTheme="minorHAnsi" w:cstheme="minorBidi"/>
          <w:color w:val="0D0D0D"/>
          <w:shd w:val="clear" w:color="auto" w:fill="FFFFFF"/>
        </w:rPr>
        <w:t xml:space="preserve"> </w:t>
      </w:r>
      <w:hyperlink r:id="rId27" w:history="1">
        <w:r w:rsidR="00256D9B" w:rsidRPr="003250E4">
          <w:rPr>
            <w:rFonts w:eastAsia="Aptos" w:cs="Arial"/>
            <w:color w:val="0070C0"/>
            <w:kern w:val="2"/>
            <w:u w:val="single"/>
            <w:lang w:val="en-US"/>
            <w14:ligatures w14:val="standardContextual"/>
          </w:rPr>
          <w:t>CWG-FHR-21/11</w:t>
        </w:r>
      </w:hyperlink>
      <w:r w:rsidR="003250E4">
        <w:t xml:space="preserve"> and</w:t>
      </w:r>
      <w:r w:rsidR="00256D9B" w:rsidRPr="003250E4">
        <w:t xml:space="preserve"> </w:t>
      </w:r>
      <w:hyperlink r:id="rId28" w:history="1">
        <w:r w:rsidR="00256D9B" w:rsidRPr="003250E4">
          <w:rPr>
            <w:rStyle w:val="Hyperlink"/>
          </w:rPr>
          <w:t>CWG-FHR-22/</w:t>
        </w:r>
        <w:r w:rsidR="003250E4" w:rsidRPr="003250E4">
          <w:rPr>
            <w:rStyle w:val="Hyperlink"/>
          </w:rPr>
          <w:t>17</w:t>
        </w:r>
      </w:hyperlink>
      <w:r w:rsidR="00256D9B" w:rsidRPr="003250E4">
        <w:t>)</w:t>
      </w:r>
      <w:r w:rsidR="79D63F32" w:rsidRPr="003250E4">
        <w:t xml:space="preserve"> </w:t>
      </w:r>
      <w:r w:rsidR="2AC20012" w:rsidRPr="003250E4">
        <w:t xml:space="preserve">in addition to its presentation to this Council Working Group as Document </w:t>
      </w:r>
      <w:hyperlink r:id="rId29" w:history="1">
        <w:r w:rsidR="2AC20012" w:rsidRPr="003250E4">
          <w:rPr>
            <w:rStyle w:val="Hyperlink"/>
          </w:rPr>
          <w:t>CWG-LANG-17/</w:t>
        </w:r>
        <w:r w:rsidR="003250E4" w:rsidRPr="003250E4">
          <w:rPr>
            <w:rStyle w:val="Hyperlink"/>
          </w:rPr>
          <w:t>4</w:t>
        </w:r>
      </w:hyperlink>
      <w:r w:rsidR="2AC20012">
        <w:t>.</w:t>
      </w:r>
    </w:p>
    <w:p w14:paraId="0A43E42C" w14:textId="01999311" w:rsidR="00DD76DE" w:rsidRDefault="00DC099C" w:rsidP="00DD76DE">
      <w:pPr>
        <w:jc w:val="both"/>
        <w:rPr>
          <w:lang w:val="en-US"/>
        </w:rPr>
      </w:pPr>
      <w:r>
        <w:t xml:space="preserve">The project is progressing </w:t>
      </w:r>
      <w:r w:rsidR="00BD48B2">
        <w:t>in line with the planned timeline and budget</w:t>
      </w:r>
      <w:r>
        <w:t xml:space="preserve">. Following a successful Request for Proposals, a partner vendor was selected for the Information Architecture and Taxonomy (including </w:t>
      </w:r>
      <w:proofErr w:type="spellStart"/>
      <w:r>
        <w:t>UX</w:t>
      </w:r>
      <w:proofErr w:type="spellEnd"/>
      <w:r>
        <w:t xml:space="preserve">) phase and began working in September 2025. A second RFP for Website Development will take place once the requirements emerging from this first phase have been clarified. Research, analysis and a comprehensive website audit have been conducted to evaluate systemic challenges and provide actionable recommendations, including the </w:t>
      </w:r>
      <w:r w:rsidR="00E22FFB">
        <w:t xml:space="preserve">establishment </w:t>
      </w:r>
      <w:r w:rsidR="00DD76DE" w:rsidRPr="17AA33A2">
        <w:rPr>
          <w:lang w:val="en-US"/>
        </w:rPr>
        <w:t xml:space="preserve">of ITU’s first comprehensive web governance framework. The scope of the </w:t>
      </w:r>
      <w:r w:rsidRPr="17AA33A2">
        <w:rPr>
          <w:lang w:val="en-US"/>
        </w:rPr>
        <w:t>minimum viable product (MVP)</w:t>
      </w:r>
      <w:r w:rsidR="00DD76DE" w:rsidRPr="17AA33A2">
        <w:rPr>
          <w:lang w:val="en-US"/>
        </w:rPr>
        <w:t xml:space="preserve"> for delivery by PP-26 has now been defined based on findings and recommendations.</w:t>
      </w:r>
      <w:r w:rsidR="00BD48B2" w:rsidRPr="17AA33A2">
        <w:rPr>
          <w:lang w:val="en-US"/>
        </w:rPr>
        <w:t xml:space="preserve"> </w:t>
      </w:r>
    </w:p>
    <w:bookmarkEnd w:id="20"/>
    <w:bookmarkEnd w:id="21"/>
    <w:p w14:paraId="66461A53" w14:textId="03EBDF40" w:rsidR="00085CC2" w:rsidRPr="00C91AD1" w:rsidRDefault="00085CC2" w:rsidP="00D202AD">
      <w:pPr>
        <w:pStyle w:val="Heading1"/>
      </w:pPr>
      <w:r w:rsidRPr="00C91AD1">
        <w:t>4</w:t>
      </w:r>
      <w:r w:rsidRPr="00C91AD1">
        <w:tab/>
        <w:t xml:space="preserve">Additional actions following </w:t>
      </w:r>
      <w:r>
        <w:t xml:space="preserve">the </w:t>
      </w:r>
      <w:r w:rsidRPr="00C91AD1">
        <w:t>revision of Resolution 154 (Rev.</w:t>
      </w:r>
      <w:r w:rsidR="00C46D0D">
        <w:t> </w:t>
      </w:r>
      <w:r w:rsidRPr="00C91AD1">
        <w:t>Bucharest, 2022)</w:t>
      </w:r>
    </w:p>
    <w:p w14:paraId="46A3D4DC" w14:textId="22C4EC13" w:rsidR="00963E45" w:rsidRPr="00296D6F" w:rsidRDefault="00963E45" w:rsidP="00E22FFB">
      <w:pPr>
        <w:pStyle w:val="Heading2"/>
      </w:pPr>
      <w:bookmarkStart w:id="22" w:name="_Hlk126741153"/>
      <w:bookmarkStart w:id="23" w:name="_Hlk152594277"/>
      <w:bookmarkEnd w:id="16"/>
      <w:r w:rsidRPr="00296D6F">
        <w:t>4.1</w:t>
      </w:r>
      <w:r w:rsidR="00E22FFB">
        <w:tab/>
      </w:r>
      <w:r w:rsidRPr="00296D6F">
        <w:t>ITU Editing Tool</w:t>
      </w:r>
    </w:p>
    <w:p w14:paraId="1629D8FC" w14:textId="0E10C3E1" w:rsidR="00963E45" w:rsidRPr="00963E45" w:rsidRDefault="00963E45" w:rsidP="00963E45">
      <w:pPr>
        <w:jc w:val="both"/>
      </w:pPr>
      <w:r>
        <w:t>A new</w:t>
      </w:r>
      <w:r w:rsidR="007F7837">
        <w:t xml:space="preserve"> </w:t>
      </w:r>
      <w:r>
        <w:t>ITU Editing</w:t>
      </w:r>
      <w:r w:rsidR="007F7837">
        <w:t xml:space="preserve"> </w:t>
      </w:r>
      <w:r>
        <w:t>Tool</w:t>
      </w:r>
      <w:r w:rsidR="007F7837">
        <w:t xml:space="preserve"> </w:t>
      </w:r>
      <w:r>
        <w:t>has been developed to improve the quality and consistency of ITU texts in the English language by proposing improvements to a section of text in line</w:t>
      </w:r>
      <w:r w:rsidR="007F7837">
        <w:t xml:space="preserve"> </w:t>
      </w:r>
      <w:r>
        <w:t>with the</w:t>
      </w:r>
      <w:r w:rsidR="007F7837">
        <w:t xml:space="preserve"> </w:t>
      </w:r>
      <w:hyperlink r:id="rId30" w:history="1">
        <w:r w:rsidRPr="00A53FA8">
          <w:rPr>
            <w:rStyle w:val="Hyperlink"/>
          </w:rPr>
          <w:t>ITU English Language Style Guide</w:t>
        </w:r>
      </w:hyperlink>
      <w:r>
        <w:t>.</w:t>
      </w:r>
      <w:r w:rsidR="00E22FFB">
        <w:t xml:space="preserve"> </w:t>
      </w:r>
      <w:r>
        <w:t>The tool is designed to</w:t>
      </w:r>
      <w:r w:rsidR="007F7837">
        <w:t xml:space="preserve"> </w:t>
      </w:r>
      <w:r>
        <w:t>assist</w:t>
      </w:r>
      <w:r w:rsidR="007F7837">
        <w:t xml:space="preserve"> </w:t>
      </w:r>
      <w:r>
        <w:t xml:space="preserve">in drafting clear and concise ITU documents, as well as providing cleaner documents to improve the quality of </w:t>
      </w:r>
      <w:r w:rsidR="1B173EEA">
        <w:t xml:space="preserve">the output of </w:t>
      </w:r>
      <w:r>
        <w:t xml:space="preserve">ITU Translate </w:t>
      </w:r>
      <w:r w:rsidR="1C40EDBD">
        <w:t>in</w:t>
      </w:r>
      <w:r w:rsidR="0061017D">
        <w:t xml:space="preserve"> the other five languages of the Union, and </w:t>
      </w:r>
      <w:r>
        <w:t>reduce the time needed for professional editing and translating.</w:t>
      </w:r>
    </w:p>
    <w:p w14:paraId="5E7605F3" w14:textId="09A094C5" w:rsidR="00963E45" w:rsidRDefault="00963E45" w:rsidP="00963E45">
      <w:pPr>
        <w:jc w:val="both"/>
      </w:pPr>
      <w:r>
        <w:t xml:space="preserve">The ITU Editing Tool uses </w:t>
      </w:r>
      <w:proofErr w:type="spellStart"/>
      <w:r>
        <w:t>GPT</w:t>
      </w:r>
      <w:proofErr w:type="spellEnd"/>
      <w:r>
        <w:t xml:space="preserve"> 5.1 with reasoning set up</w:t>
      </w:r>
      <w:r w:rsidR="00B42760">
        <w:t xml:space="preserve"> </w:t>
      </w:r>
      <w:r>
        <w:t>to allow the user to select the most relevant balance between speed and</w:t>
      </w:r>
      <w:r w:rsidR="00B42760">
        <w:t xml:space="preserve"> </w:t>
      </w:r>
      <w:r>
        <w:t>quality</w:t>
      </w:r>
      <w:r w:rsidR="00B42760">
        <w:t xml:space="preserve"> </w:t>
      </w:r>
      <w:r>
        <w:t>(allowing the user to select, if relevant, a more robust response which takes more time).</w:t>
      </w:r>
      <w:r w:rsidR="00B42760">
        <w:t xml:space="preserve"> </w:t>
      </w:r>
      <w:r>
        <w:t>It includes options to create specific prompts,</w:t>
      </w:r>
      <w:r w:rsidR="00B42760">
        <w:t xml:space="preserve"> </w:t>
      </w:r>
      <w:r>
        <w:t>modifies</w:t>
      </w:r>
      <w:r w:rsidR="00B42760">
        <w:t xml:space="preserve"> </w:t>
      </w:r>
      <w:r>
        <w:t xml:space="preserve">tone and style for official documents or more general web and communication writing, and compresses the length of the text. Currently in Beta evaluation phase, the </w:t>
      </w:r>
      <w:hyperlink r:id="rId31" w:anchor="/">
        <w:r w:rsidRPr="17AA33A2">
          <w:rPr>
            <w:rStyle w:val="Hyperlink"/>
          </w:rPr>
          <w:t>ITU Editing Tool</w:t>
        </w:r>
      </w:hyperlink>
      <w:r>
        <w:t xml:space="preserve"> is available on a TIES-protected page</w:t>
      </w:r>
      <w:r w:rsidR="006E4E15">
        <w:t xml:space="preserve"> with the Council website</w:t>
      </w:r>
      <w:r>
        <w:t xml:space="preserve"> for testing and feedback at </w:t>
      </w:r>
      <w:hyperlink r:id="rId32">
        <w:proofErr w:type="spellStart"/>
        <w:r w:rsidR="00921998" w:rsidRPr="17AA33A2">
          <w:rPr>
            <w:rStyle w:val="Hyperlink"/>
          </w:rPr>
          <w:t>council.itu.int</w:t>
        </w:r>
        <w:proofErr w:type="spellEnd"/>
        <w:r w:rsidR="00921998" w:rsidRPr="17AA33A2">
          <w:rPr>
            <w:rStyle w:val="Hyperlink"/>
          </w:rPr>
          <w:t>/2026/en/documents/electronic-tools/</w:t>
        </w:r>
      </w:hyperlink>
      <w:r w:rsidR="00921998">
        <w:t>.</w:t>
      </w:r>
      <w:r w:rsidR="00F264E7">
        <w:t xml:space="preserve"> </w:t>
      </w:r>
      <w:r>
        <w:t>Future</w:t>
      </w:r>
      <w:r w:rsidR="00B42760">
        <w:t xml:space="preserve"> </w:t>
      </w:r>
      <w:r>
        <w:t>development plans include adding support for document editing, so that documents can be uploaded directly, and expanding to support all six official ITU languages with their respective style guides to ensure it is a versatile resource for a global audience.</w:t>
      </w:r>
    </w:p>
    <w:p w14:paraId="2074AFC9" w14:textId="4ED65522" w:rsidR="00FF74C2" w:rsidRPr="009C2905" w:rsidRDefault="009C2905" w:rsidP="00E22FFB">
      <w:pPr>
        <w:pStyle w:val="Heading2"/>
      </w:pPr>
      <w:r w:rsidRPr="54171353">
        <w:t>4.2</w:t>
      </w:r>
      <w:r w:rsidR="00E22FFB">
        <w:tab/>
      </w:r>
      <w:r w:rsidRPr="54171353">
        <w:t>In-house AI captioning project</w:t>
      </w:r>
    </w:p>
    <w:p w14:paraId="4613795A" w14:textId="1F47A8DA" w:rsidR="009C2905" w:rsidRPr="009C2905" w:rsidRDefault="009C2905" w:rsidP="009C2905">
      <w:pPr>
        <w:jc w:val="both"/>
        <w:rPr>
          <w:szCs w:val="24"/>
        </w:rPr>
      </w:pPr>
      <w:r>
        <w:rPr>
          <w:szCs w:val="24"/>
        </w:rPr>
        <w:t xml:space="preserve">The ITU IS department has completed the first phase of its in-house </w:t>
      </w:r>
      <w:r w:rsidRPr="009C2905">
        <w:rPr>
          <w:szCs w:val="24"/>
        </w:rPr>
        <w:t xml:space="preserve">AI captioning project and has piloted the solution in several meetings, including previous CWG sessions and side events, TSAG side event sessions, the ITU-R SSF Forum, </w:t>
      </w:r>
      <w:proofErr w:type="spellStart"/>
      <w:r w:rsidRPr="009C2905">
        <w:rPr>
          <w:szCs w:val="24"/>
        </w:rPr>
        <w:t>WTIS</w:t>
      </w:r>
      <w:proofErr w:type="spellEnd"/>
      <w:r w:rsidRPr="009C2905">
        <w:rPr>
          <w:szCs w:val="24"/>
        </w:rPr>
        <w:t xml:space="preserve">, </w:t>
      </w:r>
      <w:proofErr w:type="spellStart"/>
      <w:r w:rsidRPr="009C2905">
        <w:rPr>
          <w:szCs w:val="24"/>
        </w:rPr>
        <w:t>EGTI</w:t>
      </w:r>
      <w:proofErr w:type="spellEnd"/>
      <w:r w:rsidRPr="009C2905">
        <w:rPr>
          <w:szCs w:val="24"/>
        </w:rPr>
        <w:t xml:space="preserve"> and </w:t>
      </w:r>
      <w:proofErr w:type="spellStart"/>
      <w:r w:rsidRPr="009C2905">
        <w:rPr>
          <w:szCs w:val="24"/>
        </w:rPr>
        <w:t>EGH</w:t>
      </w:r>
      <w:proofErr w:type="spellEnd"/>
      <w:r w:rsidRPr="009C2905">
        <w:rPr>
          <w:szCs w:val="24"/>
        </w:rPr>
        <w:t>.</w:t>
      </w:r>
      <w:r>
        <w:rPr>
          <w:szCs w:val="24"/>
        </w:rPr>
        <w:t xml:space="preserve"> The next steps include the provision of live English captions during the next cluster of CWG meetings as a formal pilot; analysis of this pilot; progressive integration into the webcast platform (</w:t>
      </w:r>
      <w:r w:rsidRPr="009C2905">
        <w:rPr>
          <w:szCs w:val="24"/>
        </w:rPr>
        <w:t>live and archive)</w:t>
      </w:r>
      <w:r>
        <w:rPr>
          <w:szCs w:val="24"/>
        </w:rPr>
        <w:t>; and</w:t>
      </w:r>
      <w:r w:rsidRPr="009C2905">
        <w:rPr>
          <w:szCs w:val="24"/>
        </w:rPr>
        <w:t xml:space="preserve"> expan</w:t>
      </w:r>
      <w:r>
        <w:rPr>
          <w:szCs w:val="24"/>
        </w:rPr>
        <w:t>sion</w:t>
      </w:r>
      <w:r w:rsidRPr="009C2905">
        <w:rPr>
          <w:szCs w:val="24"/>
        </w:rPr>
        <w:t xml:space="preserve"> to additional meeting rooms.</w:t>
      </w:r>
    </w:p>
    <w:p w14:paraId="6A788585" w14:textId="07B8B91D" w:rsidR="009C2905" w:rsidRDefault="006C3875" w:rsidP="009C2905">
      <w:pPr>
        <w:jc w:val="both"/>
        <w:rPr>
          <w:szCs w:val="24"/>
        </w:rPr>
      </w:pPr>
      <w:r>
        <w:rPr>
          <w:szCs w:val="24"/>
        </w:rPr>
        <w:t xml:space="preserve">In-house, </w:t>
      </w:r>
      <w:r w:rsidR="009C2905" w:rsidRPr="009C2905">
        <w:rPr>
          <w:szCs w:val="24"/>
        </w:rPr>
        <w:t>AI-based language interpretation build</w:t>
      </w:r>
      <w:r>
        <w:rPr>
          <w:szCs w:val="24"/>
        </w:rPr>
        <w:t>s</w:t>
      </w:r>
      <w:r w:rsidR="009C2905" w:rsidRPr="009C2905">
        <w:rPr>
          <w:szCs w:val="24"/>
        </w:rPr>
        <w:t xml:space="preserve"> on a robust AI captioning layer</w:t>
      </w:r>
      <w:r>
        <w:rPr>
          <w:szCs w:val="24"/>
        </w:rPr>
        <w:t>. It is therefore still in an early piloting stage and will</w:t>
      </w:r>
      <w:r w:rsidR="009C2905" w:rsidRPr="009C2905">
        <w:rPr>
          <w:szCs w:val="24"/>
        </w:rPr>
        <w:t xml:space="preserve"> </w:t>
      </w:r>
      <w:r w:rsidR="00694B18">
        <w:rPr>
          <w:szCs w:val="24"/>
        </w:rPr>
        <w:t xml:space="preserve">be </w:t>
      </w:r>
      <w:r w:rsidR="009C2905" w:rsidRPr="009C2905">
        <w:rPr>
          <w:szCs w:val="24"/>
        </w:rPr>
        <w:t xml:space="preserve">tested during </w:t>
      </w:r>
      <w:proofErr w:type="spellStart"/>
      <w:r w:rsidR="009C2905" w:rsidRPr="009C2905">
        <w:rPr>
          <w:szCs w:val="24"/>
        </w:rPr>
        <w:t>Q</w:t>
      </w:r>
      <w:r w:rsidR="00694B18">
        <w:rPr>
          <w:szCs w:val="24"/>
        </w:rPr>
        <w:t>2</w:t>
      </w:r>
      <w:proofErr w:type="spellEnd"/>
      <w:r w:rsidR="00694B18">
        <w:rPr>
          <w:szCs w:val="24"/>
        </w:rPr>
        <w:t>/</w:t>
      </w:r>
      <w:proofErr w:type="spellStart"/>
      <w:r w:rsidR="009C2905" w:rsidRPr="009C2905">
        <w:rPr>
          <w:szCs w:val="24"/>
        </w:rPr>
        <w:t>Q3</w:t>
      </w:r>
      <w:proofErr w:type="spellEnd"/>
      <w:r w:rsidR="009C2905" w:rsidRPr="009C2905">
        <w:rPr>
          <w:szCs w:val="24"/>
        </w:rPr>
        <w:t xml:space="preserve"> 2026</w:t>
      </w:r>
      <w:r w:rsidR="00694B18">
        <w:rPr>
          <w:szCs w:val="24"/>
        </w:rPr>
        <w:t>.</w:t>
      </w:r>
    </w:p>
    <w:p w14:paraId="1B847AA2" w14:textId="2316949B" w:rsidR="00AC360A" w:rsidRPr="00153DBC" w:rsidRDefault="00AC360A" w:rsidP="00E22FFB">
      <w:pPr>
        <w:pStyle w:val="Heading2"/>
      </w:pPr>
      <w:r w:rsidRPr="00AC360A">
        <w:lastRenderedPageBreak/>
        <w:t>4</w:t>
      </w:r>
      <w:r w:rsidRPr="00153DBC">
        <w:t>.</w:t>
      </w:r>
      <w:r w:rsidR="00C46D0D">
        <w:t>3</w:t>
      </w:r>
      <w:r w:rsidR="00E22FFB">
        <w:tab/>
      </w:r>
      <w:r w:rsidRPr="00F61A16">
        <w:t>Publication</w:t>
      </w:r>
      <w:r w:rsidR="00153DBC" w:rsidRPr="00F61A16">
        <w:t>s</w:t>
      </w:r>
    </w:p>
    <w:p w14:paraId="760708F4" w14:textId="7B40C83F" w:rsidR="00E22FFB" w:rsidRDefault="00632655" w:rsidP="644E9E63">
      <w:pPr>
        <w:jc w:val="both"/>
      </w:pPr>
      <w:r>
        <w:t xml:space="preserve">A new ITU E-publication Tool </w:t>
      </w:r>
      <w:r w:rsidR="00C04EAB">
        <w:t xml:space="preserve">has been </w:t>
      </w:r>
      <w:r>
        <w:t>developed in</w:t>
      </w:r>
      <w:r w:rsidR="00C04EAB">
        <w:t xml:space="preserve"> </w:t>
      </w:r>
      <w:r>
        <w:t>house</w:t>
      </w:r>
      <w:r w:rsidR="00C04EAB">
        <w:t xml:space="preserve"> allowing web access to over </w:t>
      </w:r>
      <w:r w:rsidR="0069113F">
        <w:t>1</w:t>
      </w:r>
      <w:r w:rsidR="00C46D0D">
        <w:t> </w:t>
      </w:r>
      <w:r w:rsidR="00A65CB3">
        <w:t>000 ITU publications</w:t>
      </w:r>
      <w:r w:rsidR="00597181">
        <w:t>, i</w:t>
      </w:r>
      <w:r w:rsidR="00A65CB3">
        <w:t xml:space="preserve">ncluding 850 ITU-T Recommendations, </w:t>
      </w:r>
      <w:r w:rsidR="00597181">
        <w:t xml:space="preserve">as </w:t>
      </w:r>
      <w:hyperlink r:id="rId33">
        <w:r w:rsidR="00597181" w:rsidRPr="6AEBE6A0">
          <w:rPr>
            <w:rStyle w:val="Hyperlink"/>
          </w:rPr>
          <w:t>augmented e-publications</w:t>
        </w:r>
      </w:hyperlink>
      <w:r w:rsidR="00444E98">
        <w:t xml:space="preserve">. </w:t>
      </w:r>
      <w:r w:rsidR="00C04EAB">
        <w:t>The e</w:t>
      </w:r>
      <w:r w:rsidR="3BDC967B">
        <w:t>-</w:t>
      </w:r>
      <w:r w:rsidR="00C75B96">
        <w:noBreakHyphen/>
      </w:r>
      <w:r w:rsidR="00C04EAB">
        <w:t xml:space="preserve">publications are indexed by Google Analytics, greatly increasing online visibility and </w:t>
      </w:r>
      <w:r w:rsidR="00155307">
        <w:t xml:space="preserve">findability, and can be linked to ITU Translate to enable translation into all six languages. Testing is ongoing on features including AI-generated publication synopses, Search Engine Optimization keywords and audio summaries to increase accessibility and </w:t>
      </w:r>
      <w:r w:rsidR="00D63934">
        <w:t>engagement by audience segment</w:t>
      </w:r>
      <w:r w:rsidR="00155307">
        <w:t xml:space="preserve">. </w:t>
      </w:r>
      <w:r w:rsidR="77267D60">
        <w:t xml:space="preserve">E-publications </w:t>
      </w:r>
      <w:r w:rsidR="77267D60" w:rsidRPr="644E9E63">
        <w:rPr>
          <w:rFonts w:ascii="Aptos" w:eastAsia="Aptos" w:hAnsi="Aptos" w:cs="Aptos"/>
          <w:color w:val="000000" w:themeColor="text1"/>
          <w:szCs w:val="24"/>
        </w:rPr>
        <w:t xml:space="preserve">are stored in a structured database with access through APIs, facilitating seamless integration and wider distribution. </w:t>
      </w:r>
      <w:r w:rsidR="00D63934">
        <w:t>Work is ongoing in 2026 to increase the number of ITU-T Recommendations available as e-publications as well as finalizing templates and modelling to convert all ITU-R Recommendations.</w:t>
      </w:r>
      <w:r w:rsidR="4913F7C1">
        <w:t xml:space="preserve"> Translation of augmented e-publications by ITU Translate is currently limited due to budgetary considerations but may be made available subject to request. </w:t>
      </w:r>
      <w:r w:rsidR="2C8C0B87">
        <w:t xml:space="preserve"> </w:t>
      </w:r>
      <w:r w:rsidR="3CE9A28F">
        <w:t>Work is ongoing to refine machine translation with post-editing to ensure sufficient quality before making machine translation more widely available.</w:t>
      </w:r>
    </w:p>
    <w:bookmarkEnd w:id="22"/>
    <w:p w14:paraId="02B06859" w14:textId="77777777" w:rsidR="009B5A64" w:rsidRPr="00C91AD1" w:rsidRDefault="009B5A64" w:rsidP="00085CC2">
      <w:pPr>
        <w:jc w:val="both"/>
        <w:rPr>
          <w:rFonts w:cstheme="minorHAnsi"/>
          <w:szCs w:val="24"/>
        </w:rPr>
      </w:pPr>
    </w:p>
    <w:bookmarkEnd w:id="23"/>
    <w:p w14:paraId="1BB6C313" w14:textId="77777777" w:rsidR="000A5AFE" w:rsidRPr="00791FA8" w:rsidRDefault="000A5AFE">
      <w:pPr>
        <w:tabs>
          <w:tab w:val="clear" w:pos="567"/>
          <w:tab w:val="clear" w:pos="1134"/>
          <w:tab w:val="clear" w:pos="1701"/>
          <w:tab w:val="clear" w:pos="2268"/>
          <w:tab w:val="clear" w:pos="2835"/>
        </w:tabs>
        <w:overflowPunct/>
        <w:autoSpaceDE/>
        <w:autoSpaceDN/>
        <w:adjustRightInd/>
        <w:spacing w:before="0"/>
        <w:textAlignment w:val="auto"/>
        <w:rPr>
          <w:i/>
          <w:iCs/>
        </w:rPr>
      </w:pPr>
      <w:r w:rsidRPr="00791FA8">
        <w:rPr>
          <w:i/>
          <w:iCs/>
        </w:rPr>
        <w:br w:type="page"/>
      </w:r>
    </w:p>
    <w:p w14:paraId="500C837D" w14:textId="77777777" w:rsidR="002E2C6D" w:rsidRPr="00C91AD1" w:rsidRDefault="002E2C6D" w:rsidP="002E2C6D">
      <w:pPr>
        <w:pStyle w:val="AnnexNo"/>
      </w:pPr>
      <w:r w:rsidRPr="00C91AD1">
        <w:lastRenderedPageBreak/>
        <w:t>Anne</w:t>
      </w:r>
      <w:bookmarkStart w:id="24" w:name="Annex1"/>
      <w:bookmarkEnd w:id="24"/>
      <w:r w:rsidRPr="00C91AD1">
        <w:t>x 1</w:t>
      </w:r>
    </w:p>
    <w:p w14:paraId="0B1D39AA" w14:textId="77777777" w:rsidR="002E2C6D" w:rsidRPr="00C91AD1" w:rsidRDefault="002E2C6D" w:rsidP="002E2C6D">
      <w:pPr>
        <w:pStyle w:val="TableNo"/>
      </w:pPr>
      <w:r w:rsidRPr="00C91AD1">
        <w:t>Table 1</w:t>
      </w:r>
    </w:p>
    <w:p w14:paraId="7B39EDC5" w14:textId="6425B891" w:rsidR="002E2C6D" w:rsidRPr="00C91AD1" w:rsidRDefault="002E2C6D" w:rsidP="002E2C6D">
      <w:pPr>
        <w:pStyle w:val="Tabletitle"/>
      </w:pPr>
      <w:r>
        <w:t>Evolution of language-service budget and expenses (in 000 CHF), 2019-2024</w:t>
      </w:r>
    </w:p>
    <w:tbl>
      <w:tblPr>
        <w:tblW w:w="11371" w:type="dxa"/>
        <w:jc w:val="center"/>
        <w:tblLayout w:type="fixed"/>
        <w:tblLook w:val="04A0" w:firstRow="1" w:lastRow="0" w:firstColumn="1" w:lastColumn="0" w:noHBand="0" w:noVBand="1"/>
      </w:tblPr>
      <w:tblGrid>
        <w:gridCol w:w="3828"/>
        <w:gridCol w:w="1077"/>
        <w:gridCol w:w="1078"/>
        <w:gridCol w:w="1077"/>
        <w:gridCol w:w="1078"/>
        <w:gridCol w:w="1077"/>
        <w:gridCol w:w="1078"/>
        <w:gridCol w:w="1078"/>
      </w:tblGrid>
      <w:tr w:rsidR="002E2C6D" w:rsidRPr="00C91AD1" w14:paraId="06972D58" w14:textId="77777777" w:rsidTr="050EB883">
        <w:trPr>
          <w:jc w:val="center"/>
        </w:trPr>
        <w:tc>
          <w:tcPr>
            <w:tcW w:w="3828" w:type="dxa"/>
            <w:tcBorders>
              <w:top w:val="nil"/>
              <w:left w:val="nil"/>
              <w:bottom w:val="nil"/>
              <w:right w:val="nil"/>
            </w:tcBorders>
            <w:noWrap/>
            <w:vAlign w:val="bottom"/>
            <w:hideMark/>
          </w:tcPr>
          <w:p w14:paraId="7863958D" w14:textId="77777777" w:rsidR="002E2C6D" w:rsidRPr="00C91AD1" w:rsidRDefault="002E2C6D" w:rsidP="00A275D4">
            <w:pPr>
              <w:pStyle w:val="Tablehead"/>
              <w:rPr>
                <w:lang w:eastAsia="en-GB"/>
              </w:rPr>
            </w:pPr>
            <w:bookmarkStart w:id="25" w:name="_Hlk86649659"/>
          </w:p>
        </w:tc>
        <w:tc>
          <w:tcPr>
            <w:tcW w:w="107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F6D2D26" w14:textId="77777777" w:rsidR="002E2C6D" w:rsidRPr="00C91AD1" w:rsidRDefault="002E2C6D" w:rsidP="00A275D4">
            <w:pPr>
              <w:pStyle w:val="Tablehead"/>
            </w:pPr>
            <w:r w:rsidRPr="00C91AD1">
              <w:t>2019</w:t>
            </w:r>
          </w:p>
        </w:tc>
        <w:tc>
          <w:tcPr>
            <w:tcW w:w="107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A69C613" w14:textId="77777777" w:rsidR="002E2C6D" w:rsidRPr="00C91AD1" w:rsidRDefault="002E2C6D" w:rsidP="00A275D4">
            <w:pPr>
              <w:pStyle w:val="Tablehead"/>
            </w:pPr>
            <w:r w:rsidRPr="00C91AD1">
              <w:t>2020</w:t>
            </w:r>
          </w:p>
        </w:tc>
        <w:tc>
          <w:tcPr>
            <w:tcW w:w="107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6E09462" w14:textId="77777777" w:rsidR="002E2C6D" w:rsidRPr="00C91AD1" w:rsidRDefault="002E2C6D" w:rsidP="00A275D4">
            <w:pPr>
              <w:pStyle w:val="Tablehead"/>
            </w:pPr>
            <w:r w:rsidRPr="00C91AD1">
              <w:t>2021</w:t>
            </w:r>
          </w:p>
        </w:tc>
        <w:tc>
          <w:tcPr>
            <w:tcW w:w="107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0A92008" w14:textId="77777777" w:rsidR="002E2C6D" w:rsidRPr="00C91AD1" w:rsidRDefault="002E2C6D" w:rsidP="00A275D4">
            <w:pPr>
              <w:pStyle w:val="Tablehead"/>
            </w:pPr>
            <w:r w:rsidRPr="00C91AD1">
              <w:t>2022</w:t>
            </w:r>
          </w:p>
        </w:tc>
        <w:tc>
          <w:tcPr>
            <w:tcW w:w="1077" w:type="dxa"/>
            <w:tcBorders>
              <w:top w:val="single" w:sz="4" w:space="0" w:color="auto"/>
              <w:left w:val="nil"/>
              <w:bottom w:val="single" w:sz="4" w:space="0" w:color="auto"/>
              <w:right w:val="single" w:sz="4" w:space="0" w:color="auto"/>
            </w:tcBorders>
            <w:shd w:val="clear" w:color="auto" w:fill="D9D9D9" w:themeFill="background1" w:themeFillShade="D9"/>
          </w:tcPr>
          <w:p w14:paraId="233EC819" w14:textId="77777777" w:rsidR="002E2C6D" w:rsidRPr="00C91AD1" w:rsidRDefault="002E2C6D" w:rsidP="00A275D4">
            <w:pPr>
              <w:pStyle w:val="Tablehead"/>
            </w:pPr>
            <w:r w:rsidRPr="00C91AD1">
              <w:t>2023</w:t>
            </w:r>
          </w:p>
        </w:tc>
        <w:tc>
          <w:tcPr>
            <w:tcW w:w="1078" w:type="dxa"/>
            <w:tcBorders>
              <w:top w:val="single" w:sz="4" w:space="0" w:color="auto"/>
              <w:left w:val="nil"/>
              <w:bottom w:val="single" w:sz="4" w:space="0" w:color="auto"/>
              <w:right w:val="single" w:sz="4" w:space="0" w:color="auto"/>
            </w:tcBorders>
            <w:shd w:val="clear" w:color="auto" w:fill="D9D9D9" w:themeFill="background1" w:themeFillShade="D9"/>
          </w:tcPr>
          <w:p w14:paraId="3A8F1DDB" w14:textId="77777777" w:rsidR="002E2C6D" w:rsidRPr="00C91AD1" w:rsidRDefault="002E2C6D" w:rsidP="00A275D4">
            <w:pPr>
              <w:pStyle w:val="Tablehead"/>
            </w:pPr>
            <w:r w:rsidRPr="00C91AD1">
              <w:t>2024</w:t>
            </w:r>
          </w:p>
        </w:tc>
        <w:tc>
          <w:tcPr>
            <w:tcW w:w="1078" w:type="dxa"/>
            <w:tcBorders>
              <w:top w:val="single" w:sz="4" w:space="0" w:color="auto"/>
              <w:bottom w:val="single" w:sz="4" w:space="0" w:color="auto"/>
              <w:right w:val="single" w:sz="4" w:space="0" w:color="auto"/>
            </w:tcBorders>
            <w:shd w:val="clear" w:color="auto" w:fill="D9D9D9" w:themeFill="background1" w:themeFillShade="D9"/>
          </w:tcPr>
          <w:p w14:paraId="1F792BEF" w14:textId="77777777" w:rsidR="002E2C6D" w:rsidRPr="00C91AD1" w:rsidRDefault="002E2C6D" w:rsidP="00A275D4">
            <w:pPr>
              <w:pStyle w:val="Tablehead"/>
            </w:pPr>
            <w:r>
              <w:t>2025*</w:t>
            </w:r>
          </w:p>
        </w:tc>
      </w:tr>
      <w:tr w:rsidR="002E2C6D" w:rsidRPr="00C91AD1" w14:paraId="1352BFE0" w14:textId="77777777" w:rsidTr="050EB883">
        <w:trPr>
          <w:jc w:val="center"/>
        </w:trPr>
        <w:tc>
          <w:tcPr>
            <w:tcW w:w="3828" w:type="dxa"/>
            <w:tcBorders>
              <w:top w:val="single" w:sz="4" w:space="0" w:color="auto"/>
              <w:left w:val="single" w:sz="4" w:space="0" w:color="auto"/>
              <w:bottom w:val="single" w:sz="4" w:space="0" w:color="auto"/>
              <w:right w:val="single" w:sz="4" w:space="0" w:color="auto"/>
            </w:tcBorders>
            <w:noWrap/>
            <w:vAlign w:val="center"/>
            <w:hideMark/>
          </w:tcPr>
          <w:p w14:paraId="70B34150" w14:textId="77777777" w:rsidR="002E2C6D" w:rsidRPr="00C91AD1" w:rsidRDefault="002E2C6D" w:rsidP="00A275D4">
            <w:pPr>
              <w:pStyle w:val="Tabletext"/>
            </w:pPr>
            <w:r w:rsidRPr="00C91AD1">
              <w:t>Translation &amp; associated-service budget</w:t>
            </w:r>
          </w:p>
        </w:tc>
        <w:tc>
          <w:tcPr>
            <w:tcW w:w="1077" w:type="dxa"/>
            <w:tcBorders>
              <w:top w:val="single" w:sz="4" w:space="0" w:color="auto"/>
              <w:left w:val="nil"/>
              <w:bottom w:val="single" w:sz="4" w:space="0" w:color="auto"/>
              <w:right w:val="single" w:sz="4" w:space="0" w:color="auto"/>
            </w:tcBorders>
            <w:noWrap/>
            <w:vAlign w:val="center"/>
            <w:hideMark/>
          </w:tcPr>
          <w:p w14:paraId="27DD8AAE" w14:textId="77777777" w:rsidR="002E2C6D" w:rsidRPr="00C91AD1" w:rsidRDefault="002E2C6D" w:rsidP="00AE1DC2">
            <w:pPr>
              <w:pStyle w:val="Tabletext"/>
              <w:ind w:right="170"/>
              <w:jc w:val="right"/>
              <w:rPr>
                <w:lang w:eastAsia="en-GB"/>
              </w:rPr>
            </w:pPr>
            <w:r w:rsidRPr="00C91AD1">
              <w:rPr>
                <w:lang w:eastAsia="en-GB"/>
              </w:rPr>
              <w:t>14 488</w:t>
            </w:r>
          </w:p>
        </w:tc>
        <w:tc>
          <w:tcPr>
            <w:tcW w:w="1078" w:type="dxa"/>
            <w:tcBorders>
              <w:top w:val="single" w:sz="4" w:space="0" w:color="auto"/>
              <w:left w:val="nil"/>
              <w:bottom w:val="single" w:sz="4" w:space="0" w:color="auto"/>
              <w:right w:val="single" w:sz="4" w:space="0" w:color="auto"/>
            </w:tcBorders>
            <w:noWrap/>
            <w:vAlign w:val="center"/>
            <w:hideMark/>
          </w:tcPr>
          <w:p w14:paraId="791E0F59" w14:textId="77777777" w:rsidR="002E2C6D" w:rsidRPr="00C91AD1" w:rsidRDefault="002E2C6D" w:rsidP="00AE1DC2">
            <w:pPr>
              <w:pStyle w:val="Tabletext"/>
              <w:ind w:right="170"/>
              <w:jc w:val="right"/>
              <w:rPr>
                <w:lang w:eastAsia="en-GB"/>
              </w:rPr>
            </w:pPr>
            <w:r w:rsidRPr="00C91AD1">
              <w:rPr>
                <w:lang w:eastAsia="en-GB"/>
              </w:rPr>
              <w:t>13 048</w:t>
            </w:r>
          </w:p>
        </w:tc>
        <w:tc>
          <w:tcPr>
            <w:tcW w:w="1077" w:type="dxa"/>
            <w:tcBorders>
              <w:top w:val="single" w:sz="4" w:space="0" w:color="auto"/>
              <w:left w:val="nil"/>
              <w:bottom w:val="single" w:sz="4" w:space="0" w:color="auto"/>
              <w:right w:val="single" w:sz="4" w:space="0" w:color="auto"/>
            </w:tcBorders>
            <w:noWrap/>
            <w:vAlign w:val="center"/>
            <w:hideMark/>
          </w:tcPr>
          <w:p w14:paraId="113FB6E1" w14:textId="77777777" w:rsidR="002E2C6D" w:rsidRPr="00C91AD1" w:rsidRDefault="002E2C6D" w:rsidP="00AE1DC2">
            <w:pPr>
              <w:pStyle w:val="Tabletext"/>
              <w:ind w:right="170"/>
              <w:jc w:val="right"/>
              <w:rPr>
                <w:lang w:eastAsia="en-GB"/>
              </w:rPr>
            </w:pPr>
            <w:r w:rsidRPr="00C91AD1">
              <w:rPr>
                <w:lang w:eastAsia="en-GB"/>
              </w:rPr>
              <w:t>12 999</w:t>
            </w:r>
          </w:p>
        </w:tc>
        <w:tc>
          <w:tcPr>
            <w:tcW w:w="1078" w:type="dxa"/>
            <w:tcBorders>
              <w:top w:val="single" w:sz="4" w:space="0" w:color="auto"/>
              <w:left w:val="nil"/>
              <w:bottom w:val="single" w:sz="4" w:space="0" w:color="auto"/>
              <w:right w:val="single" w:sz="4" w:space="0" w:color="auto"/>
            </w:tcBorders>
            <w:noWrap/>
            <w:vAlign w:val="center"/>
            <w:hideMark/>
          </w:tcPr>
          <w:p w14:paraId="54579ECB" w14:textId="77777777" w:rsidR="002E2C6D" w:rsidRPr="00C91AD1" w:rsidRDefault="002E2C6D" w:rsidP="00AE1DC2">
            <w:pPr>
              <w:pStyle w:val="Tabletext"/>
              <w:ind w:right="170"/>
              <w:jc w:val="right"/>
              <w:rPr>
                <w:lang w:eastAsia="en-GB"/>
              </w:rPr>
            </w:pPr>
            <w:r w:rsidRPr="00C91AD1">
              <w:rPr>
                <w:lang w:eastAsia="en-GB"/>
              </w:rPr>
              <w:t>16 189</w:t>
            </w:r>
          </w:p>
        </w:tc>
        <w:tc>
          <w:tcPr>
            <w:tcW w:w="1077" w:type="dxa"/>
            <w:tcBorders>
              <w:top w:val="single" w:sz="4" w:space="0" w:color="auto"/>
              <w:left w:val="nil"/>
              <w:bottom w:val="single" w:sz="4" w:space="0" w:color="auto"/>
              <w:right w:val="single" w:sz="4" w:space="0" w:color="auto"/>
            </w:tcBorders>
          </w:tcPr>
          <w:p w14:paraId="4073AF68" w14:textId="77777777" w:rsidR="002E2C6D" w:rsidRPr="00C91AD1" w:rsidRDefault="002E2C6D" w:rsidP="00AE1DC2">
            <w:pPr>
              <w:pStyle w:val="Tabletext"/>
              <w:ind w:right="170"/>
              <w:jc w:val="right"/>
              <w:rPr>
                <w:lang w:eastAsia="en-GB"/>
              </w:rPr>
            </w:pPr>
            <w:r w:rsidRPr="00C91AD1">
              <w:rPr>
                <w:lang w:eastAsia="en-GB"/>
              </w:rPr>
              <w:t>15 485</w:t>
            </w:r>
          </w:p>
        </w:tc>
        <w:tc>
          <w:tcPr>
            <w:tcW w:w="1078" w:type="dxa"/>
            <w:tcBorders>
              <w:top w:val="single" w:sz="4" w:space="0" w:color="auto"/>
              <w:left w:val="nil"/>
              <w:bottom w:val="single" w:sz="4" w:space="0" w:color="auto"/>
              <w:right w:val="single" w:sz="4" w:space="0" w:color="auto"/>
            </w:tcBorders>
          </w:tcPr>
          <w:p w14:paraId="311D0492" w14:textId="77777777" w:rsidR="002E2C6D" w:rsidRPr="00C91AD1" w:rsidRDefault="002E2C6D" w:rsidP="00AE1DC2">
            <w:pPr>
              <w:pStyle w:val="Tabletext"/>
              <w:ind w:right="170"/>
              <w:jc w:val="right"/>
              <w:rPr>
                <w:lang w:eastAsia="en-GB"/>
              </w:rPr>
            </w:pPr>
            <w:r>
              <w:rPr>
                <w:lang w:eastAsia="en-GB"/>
              </w:rPr>
              <w:t>13 752</w:t>
            </w:r>
          </w:p>
        </w:tc>
        <w:tc>
          <w:tcPr>
            <w:tcW w:w="1078" w:type="dxa"/>
            <w:tcBorders>
              <w:top w:val="single" w:sz="4" w:space="0" w:color="auto"/>
              <w:bottom w:val="single" w:sz="4" w:space="0" w:color="auto"/>
              <w:right w:val="single" w:sz="4" w:space="0" w:color="auto"/>
            </w:tcBorders>
          </w:tcPr>
          <w:p w14:paraId="41451C12" w14:textId="77777777" w:rsidR="002E2C6D" w:rsidRDefault="002E2C6D" w:rsidP="00AE1DC2">
            <w:pPr>
              <w:pStyle w:val="Tabletext"/>
              <w:ind w:right="170"/>
              <w:jc w:val="right"/>
              <w:rPr>
                <w:lang w:eastAsia="en-GB"/>
              </w:rPr>
            </w:pPr>
            <w:r>
              <w:rPr>
                <w:lang w:eastAsia="en-GB"/>
              </w:rPr>
              <w:t>13 028</w:t>
            </w:r>
          </w:p>
        </w:tc>
      </w:tr>
      <w:tr w:rsidR="002E2C6D" w:rsidRPr="00C91AD1" w14:paraId="0AC2D396" w14:textId="77777777" w:rsidTr="050EB883">
        <w:trPr>
          <w:jc w:val="center"/>
        </w:trPr>
        <w:tc>
          <w:tcPr>
            <w:tcW w:w="3828" w:type="dxa"/>
            <w:tcBorders>
              <w:top w:val="single" w:sz="4" w:space="0" w:color="auto"/>
              <w:left w:val="single" w:sz="4" w:space="0" w:color="auto"/>
              <w:bottom w:val="single" w:sz="4" w:space="0" w:color="auto"/>
              <w:right w:val="single" w:sz="4" w:space="0" w:color="auto"/>
            </w:tcBorders>
            <w:noWrap/>
            <w:vAlign w:val="center"/>
            <w:hideMark/>
          </w:tcPr>
          <w:p w14:paraId="6897A5FA" w14:textId="77777777" w:rsidR="002E2C6D" w:rsidRPr="00C91AD1" w:rsidRDefault="002E2C6D" w:rsidP="00A275D4">
            <w:pPr>
              <w:pStyle w:val="Tabletext"/>
            </w:pPr>
            <w:r w:rsidRPr="00C91AD1">
              <w:t>Actual translation &amp; associated-service expenses</w:t>
            </w:r>
          </w:p>
        </w:tc>
        <w:tc>
          <w:tcPr>
            <w:tcW w:w="1077" w:type="dxa"/>
            <w:tcBorders>
              <w:top w:val="single" w:sz="4" w:space="0" w:color="auto"/>
              <w:left w:val="nil"/>
              <w:bottom w:val="single" w:sz="4" w:space="0" w:color="auto"/>
              <w:right w:val="single" w:sz="4" w:space="0" w:color="auto"/>
            </w:tcBorders>
            <w:noWrap/>
            <w:vAlign w:val="center"/>
            <w:hideMark/>
          </w:tcPr>
          <w:p w14:paraId="1CC74B1A" w14:textId="77777777" w:rsidR="002E2C6D" w:rsidRPr="00C91AD1" w:rsidRDefault="002E2C6D" w:rsidP="00AE1DC2">
            <w:pPr>
              <w:pStyle w:val="Tabletext"/>
              <w:ind w:right="170"/>
              <w:jc w:val="right"/>
              <w:rPr>
                <w:lang w:eastAsia="en-GB"/>
              </w:rPr>
            </w:pPr>
            <w:r w:rsidRPr="00C91AD1">
              <w:rPr>
                <w:lang w:eastAsia="en-GB"/>
              </w:rPr>
              <w:t>13 223</w:t>
            </w:r>
          </w:p>
        </w:tc>
        <w:tc>
          <w:tcPr>
            <w:tcW w:w="1078" w:type="dxa"/>
            <w:tcBorders>
              <w:top w:val="single" w:sz="4" w:space="0" w:color="auto"/>
              <w:left w:val="nil"/>
              <w:bottom w:val="single" w:sz="4" w:space="0" w:color="auto"/>
              <w:right w:val="single" w:sz="4" w:space="0" w:color="auto"/>
            </w:tcBorders>
            <w:noWrap/>
            <w:vAlign w:val="center"/>
            <w:hideMark/>
          </w:tcPr>
          <w:p w14:paraId="2498F1C6" w14:textId="77777777" w:rsidR="002E2C6D" w:rsidRPr="00C91AD1" w:rsidRDefault="002E2C6D" w:rsidP="00AE1DC2">
            <w:pPr>
              <w:pStyle w:val="Tabletext"/>
              <w:ind w:right="170"/>
              <w:jc w:val="right"/>
              <w:rPr>
                <w:lang w:eastAsia="en-GB"/>
              </w:rPr>
            </w:pPr>
            <w:r w:rsidRPr="00C91AD1">
              <w:rPr>
                <w:lang w:eastAsia="en-GB"/>
              </w:rPr>
              <w:t>12 252</w:t>
            </w:r>
          </w:p>
        </w:tc>
        <w:tc>
          <w:tcPr>
            <w:tcW w:w="1077" w:type="dxa"/>
            <w:tcBorders>
              <w:top w:val="single" w:sz="4" w:space="0" w:color="auto"/>
              <w:left w:val="nil"/>
              <w:bottom w:val="single" w:sz="4" w:space="0" w:color="auto"/>
              <w:right w:val="single" w:sz="4" w:space="0" w:color="auto"/>
            </w:tcBorders>
            <w:noWrap/>
            <w:vAlign w:val="center"/>
            <w:hideMark/>
          </w:tcPr>
          <w:p w14:paraId="1A7FFDCB" w14:textId="77777777" w:rsidR="002E2C6D" w:rsidRPr="00C91AD1" w:rsidRDefault="002E2C6D" w:rsidP="00AE1DC2">
            <w:pPr>
              <w:pStyle w:val="Tabletext"/>
              <w:ind w:right="170"/>
              <w:jc w:val="right"/>
              <w:rPr>
                <w:lang w:eastAsia="en-GB"/>
              </w:rPr>
            </w:pPr>
            <w:r w:rsidRPr="00C91AD1">
              <w:rPr>
                <w:lang w:eastAsia="en-GB"/>
              </w:rPr>
              <w:t>12 541</w:t>
            </w:r>
          </w:p>
        </w:tc>
        <w:tc>
          <w:tcPr>
            <w:tcW w:w="1078" w:type="dxa"/>
            <w:tcBorders>
              <w:top w:val="single" w:sz="4" w:space="0" w:color="auto"/>
              <w:left w:val="nil"/>
              <w:bottom w:val="single" w:sz="4" w:space="0" w:color="auto"/>
              <w:right w:val="single" w:sz="4" w:space="0" w:color="auto"/>
            </w:tcBorders>
            <w:noWrap/>
            <w:vAlign w:val="center"/>
            <w:hideMark/>
          </w:tcPr>
          <w:p w14:paraId="3B380573" w14:textId="77777777" w:rsidR="002E2C6D" w:rsidRPr="00C91AD1" w:rsidRDefault="002E2C6D" w:rsidP="00AE1DC2">
            <w:pPr>
              <w:pStyle w:val="Tabletext"/>
              <w:ind w:right="170"/>
              <w:jc w:val="right"/>
              <w:rPr>
                <w:lang w:eastAsia="en-GB"/>
              </w:rPr>
            </w:pPr>
            <w:r w:rsidRPr="00C91AD1">
              <w:rPr>
                <w:lang w:eastAsia="en-GB"/>
              </w:rPr>
              <w:t>14 706</w:t>
            </w:r>
          </w:p>
        </w:tc>
        <w:tc>
          <w:tcPr>
            <w:tcW w:w="1077" w:type="dxa"/>
            <w:tcBorders>
              <w:top w:val="single" w:sz="4" w:space="0" w:color="auto"/>
              <w:left w:val="nil"/>
              <w:bottom w:val="single" w:sz="4" w:space="0" w:color="auto"/>
              <w:right w:val="single" w:sz="4" w:space="0" w:color="auto"/>
            </w:tcBorders>
            <w:vAlign w:val="center"/>
          </w:tcPr>
          <w:p w14:paraId="6F35E929" w14:textId="77777777" w:rsidR="002E2C6D" w:rsidRPr="00C91AD1" w:rsidRDefault="002E2C6D" w:rsidP="00AE1DC2">
            <w:pPr>
              <w:pStyle w:val="Tabletext"/>
              <w:ind w:right="170"/>
              <w:jc w:val="right"/>
              <w:rPr>
                <w:lang w:eastAsia="en-GB"/>
              </w:rPr>
            </w:pPr>
            <w:r w:rsidRPr="00C91AD1">
              <w:rPr>
                <w:lang w:eastAsia="en-GB"/>
              </w:rPr>
              <w:t>13 163</w:t>
            </w:r>
          </w:p>
        </w:tc>
        <w:tc>
          <w:tcPr>
            <w:tcW w:w="1078" w:type="dxa"/>
            <w:tcBorders>
              <w:top w:val="single" w:sz="4" w:space="0" w:color="auto"/>
              <w:left w:val="nil"/>
              <w:bottom w:val="single" w:sz="4" w:space="0" w:color="auto"/>
              <w:right w:val="single" w:sz="4" w:space="0" w:color="auto"/>
            </w:tcBorders>
            <w:vAlign w:val="center"/>
          </w:tcPr>
          <w:p w14:paraId="023EC8AD" w14:textId="77777777" w:rsidR="002E2C6D" w:rsidRPr="00C91AD1" w:rsidRDefault="002E2C6D" w:rsidP="00AE1DC2">
            <w:pPr>
              <w:pStyle w:val="Tabletext"/>
              <w:ind w:right="170"/>
              <w:jc w:val="right"/>
              <w:rPr>
                <w:lang w:eastAsia="en-GB"/>
              </w:rPr>
            </w:pPr>
            <w:r>
              <w:rPr>
                <w:lang w:eastAsia="en-GB"/>
              </w:rPr>
              <w:t>11 445</w:t>
            </w:r>
          </w:p>
        </w:tc>
        <w:tc>
          <w:tcPr>
            <w:tcW w:w="1078" w:type="dxa"/>
            <w:tcBorders>
              <w:top w:val="single" w:sz="4" w:space="0" w:color="auto"/>
              <w:bottom w:val="single" w:sz="4" w:space="0" w:color="auto"/>
              <w:right w:val="single" w:sz="4" w:space="0" w:color="auto"/>
            </w:tcBorders>
            <w:vAlign w:val="center"/>
          </w:tcPr>
          <w:p w14:paraId="3DA55536" w14:textId="77777777" w:rsidR="002E2C6D" w:rsidRDefault="002E2C6D" w:rsidP="00AE1DC2">
            <w:pPr>
              <w:pStyle w:val="Tabletext"/>
              <w:ind w:right="170"/>
              <w:jc w:val="right"/>
              <w:rPr>
                <w:lang w:eastAsia="en-GB"/>
              </w:rPr>
            </w:pPr>
            <w:r>
              <w:rPr>
                <w:lang w:eastAsia="en-GB"/>
              </w:rPr>
              <w:t>11 028</w:t>
            </w:r>
          </w:p>
        </w:tc>
      </w:tr>
      <w:tr w:rsidR="002E2C6D" w:rsidRPr="00C91AD1" w14:paraId="5858DF06" w14:textId="77777777" w:rsidTr="050EB883">
        <w:trPr>
          <w:jc w:val="center"/>
        </w:trPr>
        <w:tc>
          <w:tcPr>
            <w:tcW w:w="3828" w:type="dxa"/>
            <w:tcBorders>
              <w:top w:val="single" w:sz="4" w:space="0" w:color="auto"/>
              <w:left w:val="nil"/>
              <w:bottom w:val="single" w:sz="4" w:space="0" w:color="auto"/>
            </w:tcBorders>
            <w:noWrap/>
            <w:vAlign w:val="center"/>
            <w:hideMark/>
          </w:tcPr>
          <w:p w14:paraId="6F3BD93C" w14:textId="77777777" w:rsidR="002E2C6D" w:rsidRPr="00C91AD1" w:rsidRDefault="002E2C6D" w:rsidP="00A275D4">
            <w:pPr>
              <w:pStyle w:val="Tabletext"/>
            </w:pPr>
          </w:p>
        </w:tc>
        <w:tc>
          <w:tcPr>
            <w:tcW w:w="1077" w:type="dxa"/>
            <w:tcBorders>
              <w:top w:val="single" w:sz="4" w:space="0" w:color="auto"/>
              <w:bottom w:val="single" w:sz="4" w:space="0" w:color="auto"/>
            </w:tcBorders>
            <w:noWrap/>
            <w:vAlign w:val="center"/>
            <w:hideMark/>
          </w:tcPr>
          <w:p w14:paraId="6609D864" w14:textId="77777777" w:rsidR="002E2C6D" w:rsidRPr="00C91AD1" w:rsidRDefault="002E2C6D" w:rsidP="00AE1DC2">
            <w:pPr>
              <w:pStyle w:val="Tabletext"/>
              <w:jc w:val="right"/>
              <w:rPr>
                <w:lang w:eastAsia="en-GB"/>
              </w:rPr>
            </w:pPr>
          </w:p>
        </w:tc>
        <w:tc>
          <w:tcPr>
            <w:tcW w:w="1078" w:type="dxa"/>
            <w:tcBorders>
              <w:top w:val="single" w:sz="4" w:space="0" w:color="auto"/>
              <w:bottom w:val="single" w:sz="4" w:space="0" w:color="auto"/>
            </w:tcBorders>
            <w:noWrap/>
            <w:vAlign w:val="center"/>
            <w:hideMark/>
          </w:tcPr>
          <w:p w14:paraId="22BF6F70" w14:textId="77777777" w:rsidR="002E2C6D" w:rsidRPr="00C91AD1" w:rsidRDefault="002E2C6D" w:rsidP="00AE1DC2">
            <w:pPr>
              <w:pStyle w:val="Tabletext"/>
              <w:jc w:val="right"/>
              <w:rPr>
                <w:lang w:eastAsia="en-GB"/>
              </w:rPr>
            </w:pPr>
          </w:p>
        </w:tc>
        <w:tc>
          <w:tcPr>
            <w:tcW w:w="1077" w:type="dxa"/>
            <w:tcBorders>
              <w:top w:val="single" w:sz="4" w:space="0" w:color="auto"/>
              <w:bottom w:val="single" w:sz="4" w:space="0" w:color="auto"/>
            </w:tcBorders>
            <w:noWrap/>
            <w:vAlign w:val="center"/>
            <w:hideMark/>
          </w:tcPr>
          <w:p w14:paraId="2522DFE0" w14:textId="77777777" w:rsidR="002E2C6D" w:rsidRPr="00C91AD1" w:rsidRDefault="002E2C6D" w:rsidP="00AE1DC2">
            <w:pPr>
              <w:pStyle w:val="Tabletext"/>
              <w:jc w:val="right"/>
              <w:rPr>
                <w:lang w:eastAsia="en-GB"/>
              </w:rPr>
            </w:pPr>
          </w:p>
        </w:tc>
        <w:tc>
          <w:tcPr>
            <w:tcW w:w="1078" w:type="dxa"/>
            <w:tcBorders>
              <w:top w:val="single" w:sz="4" w:space="0" w:color="auto"/>
              <w:bottom w:val="single" w:sz="4" w:space="0" w:color="auto"/>
            </w:tcBorders>
            <w:noWrap/>
            <w:vAlign w:val="center"/>
            <w:hideMark/>
          </w:tcPr>
          <w:p w14:paraId="45F35317" w14:textId="77777777" w:rsidR="002E2C6D" w:rsidRPr="00C91AD1" w:rsidRDefault="002E2C6D" w:rsidP="00AE1DC2">
            <w:pPr>
              <w:pStyle w:val="Tabletext"/>
              <w:jc w:val="right"/>
              <w:rPr>
                <w:lang w:eastAsia="en-GB"/>
              </w:rPr>
            </w:pPr>
          </w:p>
        </w:tc>
        <w:tc>
          <w:tcPr>
            <w:tcW w:w="1077" w:type="dxa"/>
            <w:tcBorders>
              <w:top w:val="single" w:sz="4" w:space="0" w:color="auto"/>
              <w:bottom w:val="single" w:sz="4" w:space="0" w:color="auto"/>
            </w:tcBorders>
          </w:tcPr>
          <w:p w14:paraId="22C77478" w14:textId="77777777" w:rsidR="002E2C6D" w:rsidRPr="00C91AD1" w:rsidRDefault="002E2C6D" w:rsidP="00AE1DC2">
            <w:pPr>
              <w:pStyle w:val="Tabletext"/>
              <w:jc w:val="right"/>
              <w:rPr>
                <w:lang w:eastAsia="en-GB"/>
              </w:rPr>
            </w:pPr>
          </w:p>
        </w:tc>
        <w:tc>
          <w:tcPr>
            <w:tcW w:w="1078" w:type="dxa"/>
            <w:tcBorders>
              <w:top w:val="single" w:sz="4" w:space="0" w:color="auto"/>
              <w:bottom w:val="single" w:sz="4" w:space="0" w:color="auto"/>
            </w:tcBorders>
          </w:tcPr>
          <w:p w14:paraId="58CBF4A3" w14:textId="77777777" w:rsidR="002E2C6D" w:rsidRPr="00C91AD1" w:rsidRDefault="002E2C6D" w:rsidP="00AE1DC2">
            <w:pPr>
              <w:pStyle w:val="Tabletext"/>
              <w:jc w:val="right"/>
              <w:rPr>
                <w:lang w:eastAsia="en-GB"/>
              </w:rPr>
            </w:pPr>
          </w:p>
        </w:tc>
        <w:tc>
          <w:tcPr>
            <w:tcW w:w="1078" w:type="dxa"/>
            <w:tcBorders>
              <w:top w:val="single" w:sz="4" w:space="0" w:color="auto"/>
              <w:bottom w:val="single" w:sz="4" w:space="0" w:color="auto"/>
            </w:tcBorders>
          </w:tcPr>
          <w:p w14:paraId="2374F146" w14:textId="77777777" w:rsidR="002E2C6D" w:rsidRPr="00C91AD1" w:rsidRDefault="002E2C6D" w:rsidP="00AE1DC2">
            <w:pPr>
              <w:pStyle w:val="Tabletext"/>
              <w:jc w:val="right"/>
              <w:rPr>
                <w:lang w:eastAsia="en-GB"/>
              </w:rPr>
            </w:pPr>
          </w:p>
        </w:tc>
      </w:tr>
      <w:tr w:rsidR="002E2C6D" w:rsidRPr="00C91AD1" w14:paraId="314F9054" w14:textId="77777777" w:rsidTr="050EB883">
        <w:trPr>
          <w:jc w:val="center"/>
        </w:trPr>
        <w:tc>
          <w:tcPr>
            <w:tcW w:w="3828" w:type="dxa"/>
            <w:tcBorders>
              <w:top w:val="single" w:sz="4" w:space="0" w:color="auto"/>
              <w:left w:val="single" w:sz="4" w:space="0" w:color="auto"/>
              <w:bottom w:val="single" w:sz="4" w:space="0" w:color="auto"/>
              <w:right w:val="single" w:sz="4" w:space="0" w:color="auto"/>
            </w:tcBorders>
            <w:noWrap/>
            <w:vAlign w:val="center"/>
            <w:hideMark/>
          </w:tcPr>
          <w:p w14:paraId="6470C5CA" w14:textId="77777777" w:rsidR="002E2C6D" w:rsidRPr="00C91AD1" w:rsidRDefault="002E2C6D" w:rsidP="00A275D4">
            <w:pPr>
              <w:pStyle w:val="Tabletext"/>
            </w:pPr>
            <w:r w:rsidRPr="00C91AD1">
              <w:t>Interpretation budget</w:t>
            </w:r>
          </w:p>
        </w:tc>
        <w:tc>
          <w:tcPr>
            <w:tcW w:w="1077" w:type="dxa"/>
            <w:tcBorders>
              <w:top w:val="single" w:sz="4" w:space="0" w:color="auto"/>
              <w:left w:val="nil"/>
              <w:bottom w:val="single" w:sz="4" w:space="0" w:color="auto"/>
              <w:right w:val="single" w:sz="4" w:space="0" w:color="auto"/>
            </w:tcBorders>
            <w:noWrap/>
            <w:vAlign w:val="center"/>
            <w:hideMark/>
          </w:tcPr>
          <w:p w14:paraId="5560C3B4" w14:textId="77777777" w:rsidR="002E2C6D" w:rsidRPr="00C91AD1" w:rsidRDefault="002E2C6D" w:rsidP="00AE1DC2">
            <w:pPr>
              <w:pStyle w:val="Tabletext"/>
              <w:ind w:right="170"/>
              <w:jc w:val="right"/>
              <w:rPr>
                <w:lang w:eastAsia="en-GB"/>
              </w:rPr>
            </w:pPr>
            <w:r w:rsidRPr="00C91AD1">
              <w:rPr>
                <w:lang w:eastAsia="en-GB"/>
              </w:rPr>
              <w:t>3 457</w:t>
            </w:r>
          </w:p>
        </w:tc>
        <w:tc>
          <w:tcPr>
            <w:tcW w:w="1078" w:type="dxa"/>
            <w:tcBorders>
              <w:top w:val="single" w:sz="4" w:space="0" w:color="auto"/>
              <w:left w:val="nil"/>
              <w:bottom w:val="single" w:sz="4" w:space="0" w:color="auto"/>
              <w:right w:val="single" w:sz="4" w:space="0" w:color="auto"/>
            </w:tcBorders>
            <w:noWrap/>
            <w:vAlign w:val="center"/>
            <w:hideMark/>
          </w:tcPr>
          <w:p w14:paraId="7C40AAC0" w14:textId="77777777" w:rsidR="002E2C6D" w:rsidRPr="00C91AD1" w:rsidRDefault="002E2C6D" w:rsidP="00AE1DC2">
            <w:pPr>
              <w:pStyle w:val="Tabletext"/>
              <w:ind w:right="170"/>
              <w:jc w:val="right"/>
              <w:rPr>
                <w:lang w:eastAsia="en-GB"/>
              </w:rPr>
            </w:pPr>
            <w:r w:rsidRPr="00C91AD1">
              <w:rPr>
                <w:lang w:eastAsia="en-GB"/>
              </w:rPr>
              <w:t>1 408</w:t>
            </w:r>
          </w:p>
        </w:tc>
        <w:tc>
          <w:tcPr>
            <w:tcW w:w="1077" w:type="dxa"/>
            <w:tcBorders>
              <w:top w:val="single" w:sz="4" w:space="0" w:color="auto"/>
              <w:left w:val="nil"/>
              <w:bottom w:val="single" w:sz="4" w:space="0" w:color="auto"/>
              <w:right w:val="single" w:sz="4" w:space="0" w:color="auto"/>
            </w:tcBorders>
            <w:noWrap/>
            <w:vAlign w:val="center"/>
            <w:hideMark/>
          </w:tcPr>
          <w:p w14:paraId="57E38A33" w14:textId="77777777" w:rsidR="002E2C6D" w:rsidRPr="00C91AD1" w:rsidRDefault="002E2C6D" w:rsidP="00AE1DC2">
            <w:pPr>
              <w:pStyle w:val="Tabletext"/>
              <w:ind w:right="170"/>
              <w:jc w:val="right"/>
              <w:rPr>
                <w:lang w:eastAsia="en-GB"/>
              </w:rPr>
            </w:pPr>
            <w:r w:rsidRPr="00C91AD1">
              <w:rPr>
                <w:lang w:eastAsia="en-GB"/>
              </w:rPr>
              <w:t>1 392</w:t>
            </w:r>
          </w:p>
        </w:tc>
        <w:tc>
          <w:tcPr>
            <w:tcW w:w="1078" w:type="dxa"/>
            <w:tcBorders>
              <w:top w:val="single" w:sz="4" w:space="0" w:color="auto"/>
              <w:left w:val="nil"/>
              <w:bottom w:val="single" w:sz="4" w:space="0" w:color="auto"/>
              <w:right w:val="single" w:sz="4" w:space="0" w:color="auto"/>
            </w:tcBorders>
            <w:noWrap/>
            <w:vAlign w:val="center"/>
            <w:hideMark/>
          </w:tcPr>
          <w:p w14:paraId="4F39A982" w14:textId="77777777" w:rsidR="002E2C6D" w:rsidRPr="00C91AD1" w:rsidRDefault="002E2C6D" w:rsidP="00AE1DC2">
            <w:pPr>
              <w:pStyle w:val="Tabletext"/>
              <w:ind w:right="170"/>
              <w:jc w:val="right"/>
              <w:rPr>
                <w:lang w:eastAsia="en-GB"/>
              </w:rPr>
            </w:pPr>
            <w:r w:rsidRPr="00C91AD1">
              <w:rPr>
                <w:lang w:eastAsia="en-GB"/>
              </w:rPr>
              <w:t>2 910</w:t>
            </w:r>
          </w:p>
        </w:tc>
        <w:tc>
          <w:tcPr>
            <w:tcW w:w="1077" w:type="dxa"/>
            <w:tcBorders>
              <w:top w:val="single" w:sz="4" w:space="0" w:color="auto"/>
              <w:left w:val="nil"/>
              <w:bottom w:val="single" w:sz="4" w:space="0" w:color="auto"/>
              <w:right w:val="single" w:sz="4" w:space="0" w:color="auto"/>
            </w:tcBorders>
          </w:tcPr>
          <w:p w14:paraId="7228B80A" w14:textId="77777777" w:rsidR="002E2C6D" w:rsidRPr="00C91AD1" w:rsidRDefault="002E2C6D" w:rsidP="00AE1DC2">
            <w:pPr>
              <w:pStyle w:val="Tabletext"/>
              <w:ind w:right="170"/>
              <w:jc w:val="right"/>
              <w:rPr>
                <w:lang w:eastAsia="en-GB"/>
              </w:rPr>
            </w:pPr>
            <w:r w:rsidRPr="00C91AD1">
              <w:rPr>
                <w:lang w:eastAsia="en-GB"/>
              </w:rPr>
              <w:t>2 842</w:t>
            </w:r>
          </w:p>
        </w:tc>
        <w:tc>
          <w:tcPr>
            <w:tcW w:w="1078" w:type="dxa"/>
            <w:tcBorders>
              <w:top w:val="single" w:sz="4" w:space="0" w:color="auto"/>
              <w:left w:val="nil"/>
              <w:bottom w:val="single" w:sz="4" w:space="0" w:color="auto"/>
              <w:right w:val="single" w:sz="4" w:space="0" w:color="auto"/>
            </w:tcBorders>
          </w:tcPr>
          <w:p w14:paraId="1F295357" w14:textId="77777777" w:rsidR="002E2C6D" w:rsidRPr="00C91AD1" w:rsidRDefault="002E2C6D" w:rsidP="00AE1DC2">
            <w:pPr>
              <w:pStyle w:val="Tabletext"/>
              <w:ind w:right="170"/>
              <w:jc w:val="right"/>
              <w:rPr>
                <w:lang w:eastAsia="en-GB"/>
              </w:rPr>
            </w:pPr>
            <w:r>
              <w:rPr>
                <w:lang w:eastAsia="en-GB"/>
              </w:rPr>
              <w:t>1 529</w:t>
            </w:r>
          </w:p>
        </w:tc>
        <w:tc>
          <w:tcPr>
            <w:tcW w:w="1078" w:type="dxa"/>
            <w:tcBorders>
              <w:top w:val="single" w:sz="4" w:space="0" w:color="auto"/>
              <w:bottom w:val="single" w:sz="4" w:space="0" w:color="auto"/>
              <w:right w:val="single" w:sz="4" w:space="0" w:color="auto"/>
            </w:tcBorders>
          </w:tcPr>
          <w:p w14:paraId="0F6F0640" w14:textId="77777777" w:rsidR="002E2C6D" w:rsidRDefault="002E2C6D" w:rsidP="00AE1DC2">
            <w:pPr>
              <w:pStyle w:val="Tabletext"/>
              <w:ind w:right="170"/>
              <w:jc w:val="right"/>
              <w:rPr>
                <w:lang w:eastAsia="en-GB"/>
              </w:rPr>
            </w:pPr>
            <w:r>
              <w:rPr>
                <w:lang w:eastAsia="en-GB"/>
              </w:rPr>
              <w:t>1 575</w:t>
            </w:r>
          </w:p>
        </w:tc>
      </w:tr>
      <w:tr w:rsidR="002E2C6D" w:rsidRPr="00C91AD1" w14:paraId="36903132" w14:textId="77777777" w:rsidTr="050EB883">
        <w:trPr>
          <w:jc w:val="center"/>
        </w:trPr>
        <w:tc>
          <w:tcPr>
            <w:tcW w:w="3828" w:type="dxa"/>
            <w:tcBorders>
              <w:top w:val="single" w:sz="4" w:space="0" w:color="auto"/>
              <w:left w:val="single" w:sz="4" w:space="0" w:color="auto"/>
              <w:bottom w:val="single" w:sz="4" w:space="0" w:color="auto"/>
              <w:right w:val="single" w:sz="4" w:space="0" w:color="auto"/>
            </w:tcBorders>
            <w:noWrap/>
            <w:vAlign w:val="center"/>
            <w:hideMark/>
          </w:tcPr>
          <w:p w14:paraId="5460C081" w14:textId="77777777" w:rsidR="002E2C6D" w:rsidRPr="00C91AD1" w:rsidRDefault="002E2C6D" w:rsidP="00A275D4">
            <w:pPr>
              <w:pStyle w:val="Tabletext"/>
            </w:pPr>
            <w:r w:rsidRPr="00C91AD1">
              <w:t>Actual interpretation expenses</w:t>
            </w:r>
          </w:p>
        </w:tc>
        <w:tc>
          <w:tcPr>
            <w:tcW w:w="1077" w:type="dxa"/>
            <w:tcBorders>
              <w:top w:val="single" w:sz="4" w:space="0" w:color="auto"/>
              <w:left w:val="nil"/>
              <w:bottom w:val="single" w:sz="4" w:space="0" w:color="auto"/>
              <w:right w:val="single" w:sz="4" w:space="0" w:color="auto"/>
            </w:tcBorders>
            <w:noWrap/>
            <w:vAlign w:val="center"/>
            <w:hideMark/>
          </w:tcPr>
          <w:p w14:paraId="1EC5F479" w14:textId="77777777" w:rsidR="002E2C6D" w:rsidRPr="00C91AD1" w:rsidRDefault="002E2C6D" w:rsidP="00AE1DC2">
            <w:pPr>
              <w:pStyle w:val="Tabletext"/>
              <w:ind w:right="170"/>
              <w:jc w:val="right"/>
              <w:rPr>
                <w:lang w:eastAsia="en-GB"/>
              </w:rPr>
            </w:pPr>
            <w:r w:rsidRPr="00C91AD1">
              <w:rPr>
                <w:lang w:eastAsia="en-GB"/>
              </w:rPr>
              <w:t>2 698</w:t>
            </w:r>
          </w:p>
        </w:tc>
        <w:tc>
          <w:tcPr>
            <w:tcW w:w="1078" w:type="dxa"/>
            <w:tcBorders>
              <w:top w:val="single" w:sz="4" w:space="0" w:color="auto"/>
              <w:left w:val="nil"/>
              <w:bottom w:val="single" w:sz="4" w:space="0" w:color="auto"/>
              <w:right w:val="single" w:sz="4" w:space="0" w:color="auto"/>
            </w:tcBorders>
            <w:noWrap/>
            <w:vAlign w:val="center"/>
            <w:hideMark/>
          </w:tcPr>
          <w:p w14:paraId="2B40971B" w14:textId="77777777" w:rsidR="002E2C6D" w:rsidRPr="00C91AD1" w:rsidRDefault="002E2C6D" w:rsidP="00AE1DC2">
            <w:pPr>
              <w:pStyle w:val="Tabletext"/>
              <w:ind w:right="170"/>
              <w:jc w:val="right"/>
              <w:rPr>
                <w:lang w:eastAsia="en-GB"/>
              </w:rPr>
            </w:pPr>
            <w:r w:rsidRPr="00C91AD1">
              <w:rPr>
                <w:lang w:eastAsia="en-GB"/>
              </w:rPr>
              <w:t>1 338</w:t>
            </w:r>
          </w:p>
        </w:tc>
        <w:tc>
          <w:tcPr>
            <w:tcW w:w="1077" w:type="dxa"/>
            <w:tcBorders>
              <w:top w:val="single" w:sz="4" w:space="0" w:color="auto"/>
              <w:left w:val="nil"/>
              <w:bottom w:val="single" w:sz="4" w:space="0" w:color="auto"/>
              <w:right w:val="single" w:sz="4" w:space="0" w:color="auto"/>
            </w:tcBorders>
            <w:noWrap/>
            <w:vAlign w:val="center"/>
            <w:hideMark/>
          </w:tcPr>
          <w:p w14:paraId="67F1B5C8" w14:textId="77777777" w:rsidR="002E2C6D" w:rsidRPr="00C91AD1" w:rsidRDefault="002E2C6D" w:rsidP="00AE1DC2">
            <w:pPr>
              <w:pStyle w:val="Tabletext"/>
              <w:ind w:right="170"/>
              <w:jc w:val="right"/>
              <w:rPr>
                <w:lang w:eastAsia="en-GB"/>
              </w:rPr>
            </w:pPr>
            <w:r w:rsidRPr="00C91AD1">
              <w:rPr>
                <w:lang w:eastAsia="en-GB"/>
              </w:rPr>
              <w:t>1 522</w:t>
            </w:r>
          </w:p>
        </w:tc>
        <w:tc>
          <w:tcPr>
            <w:tcW w:w="1078" w:type="dxa"/>
            <w:tcBorders>
              <w:top w:val="single" w:sz="4" w:space="0" w:color="auto"/>
              <w:left w:val="nil"/>
              <w:bottom w:val="single" w:sz="4" w:space="0" w:color="auto"/>
              <w:right w:val="single" w:sz="4" w:space="0" w:color="auto"/>
            </w:tcBorders>
            <w:noWrap/>
            <w:vAlign w:val="center"/>
            <w:hideMark/>
          </w:tcPr>
          <w:p w14:paraId="3ED7A4BB" w14:textId="77777777" w:rsidR="002E2C6D" w:rsidRPr="00C91AD1" w:rsidRDefault="002E2C6D" w:rsidP="00AE1DC2">
            <w:pPr>
              <w:pStyle w:val="Tabletext"/>
              <w:ind w:right="170"/>
              <w:jc w:val="right"/>
              <w:rPr>
                <w:lang w:eastAsia="en-GB"/>
              </w:rPr>
            </w:pPr>
            <w:r w:rsidRPr="00C91AD1">
              <w:rPr>
                <w:lang w:eastAsia="en-GB"/>
              </w:rPr>
              <w:t>1 957</w:t>
            </w:r>
          </w:p>
        </w:tc>
        <w:tc>
          <w:tcPr>
            <w:tcW w:w="1077" w:type="dxa"/>
            <w:tcBorders>
              <w:top w:val="single" w:sz="4" w:space="0" w:color="auto"/>
              <w:left w:val="nil"/>
              <w:bottom w:val="single" w:sz="4" w:space="0" w:color="auto"/>
              <w:right w:val="single" w:sz="4" w:space="0" w:color="auto"/>
            </w:tcBorders>
          </w:tcPr>
          <w:p w14:paraId="71D76310" w14:textId="77777777" w:rsidR="002E2C6D" w:rsidRPr="00C91AD1" w:rsidRDefault="002E2C6D" w:rsidP="00AE1DC2">
            <w:pPr>
              <w:pStyle w:val="Tabletext"/>
              <w:ind w:right="170"/>
              <w:jc w:val="right"/>
              <w:rPr>
                <w:lang w:eastAsia="en-GB"/>
              </w:rPr>
            </w:pPr>
            <w:r w:rsidRPr="00C91AD1">
              <w:rPr>
                <w:lang w:eastAsia="en-GB"/>
              </w:rPr>
              <w:t>2 149</w:t>
            </w:r>
          </w:p>
        </w:tc>
        <w:tc>
          <w:tcPr>
            <w:tcW w:w="1078" w:type="dxa"/>
            <w:tcBorders>
              <w:top w:val="single" w:sz="4" w:space="0" w:color="auto"/>
              <w:left w:val="nil"/>
              <w:bottom w:val="single" w:sz="4" w:space="0" w:color="auto"/>
              <w:right w:val="single" w:sz="4" w:space="0" w:color="auto"/>
            </w:tcBorders>
          </w:tcPr>
          <w:p w14:paraId="6F004170" w14:textId="77777777" w:rsidR="002E2C6D" w:rsidRPr="00C91AD1" w:rsidRDefault="002E2C6D" w:rsidP="00AE1DC2">
            <w:pPr>
              <w:pStyle w:val="Tabletext"/>
              <w:ind w:right="170"/>
              <w:jc w:val="right"/>
              <w:rPr>
                <w:lang w:eastAsia="en-GB"/>
              </w:rPr>
            </w:pPr>
            <w:r>
              <w:rPr>
                <w:lang w:eastAsia="en-GB"/>
              </w:rPr>
              <w:t>1 248</w:t>
            </w:r>
          </w:p>
        </w:tc>
        <w:tc>
          <w:tcPr>
            <w:tcW w:w="1078" w:type="dxa"/>
            <w:tcBorders>
              <w:top w:val="single" w:sz="4" w:space="0" w:color="auto"/>
              <w:bottom w:val="single" w:sz="4" w:space="0" w:color="auto"/>
              <w:right w:val="single" w:sz="4" w:space="0" w:color="auto"/>
            </w:tcBorders>
          </w:tcPr>
          <w:p w14:paraId="77DB63CA" w14:textId="77777777" w:rsidR="002E2C6D" w:rsidRDefault="002E2C6D" w:rsidP="00AE1DC2">
            <w:pPr>
              <w:pStyle w:val="Tabletext"/>
              <w:ind w:right="170"/>
              <w:jc w:val="right"/>
              <w:rPr>
                <w:lang w:eastAsia="en-GB"/>
              </w:rPr>
            </w:pPr>
            <w:r>
              <w:rPr>
                <w:lang w:eastAsia="en-GB"/>
              </w:rPr>
              <w:t>1 233</w:t>
            </w:r>
          </w:p>
        </w:tc>
      </w:tr>
      <w:tr w:rsidR="002E2C6D" w:rsidRPr="00C91AD1" w14:paraId="35527774" w14:textId="77777777" w:rsidTr="050EB883">
        <w:trPr>
          <w:jc w:val="center"/>
        </w:trPr>
        <w:tc>
          <w:tcPr>
            <w:tcW w:w="3828" w:type="dxa"/>
            <w:tcBorders>
              <w:top w:val="single" w:sz="4" w:space="0" w:color="auto"/>
              <w:left w:val="nil"/>
              <w:bottom w:val="single" w:sz="4" w:space="0" w:color="auto"/>
            </w:tcBorders>
            <w:noWrap/>
            <w:vAlign w:val="center"/>
            <w:hideMark/>
          </w:tcPr>
          <w:p w14:paraId="54BC2BE5" w14:textId="77777777" w:rsidR="002E2C6D" w:rsidRPr="00C91AD1" w:rsidRDefault="002E2C6D" w:rsidP="00A275D4">
            <w:pPr>
              <w:pStyle w:val="Tabletext"/>
            </w:pPr>
          </w:p>
        </w:tc>
        <w:tc>
          <w:tcPr>
            <w:tcW w:w="1077" w:type="dxa"/>
            <w:tcBorders>
              <w:top w:val="single" w:sz="4" w:space="0" w:color="auto"/>
              <w:bottom w:val="single" w:sz="4" w:space="0" w:color="auto"/>
            </w:tcBorders>
            <w:noWrap/>
            <w:vAlign w:val="center"/>
            <w:hideMark/>
          </w:tcPr>
          <w:p w14:paraId="51ECDD23" w14:textId="77777777" w:rsidR="002E2C6D" w:rsidRPr="00C91AD1" w:rsidRDefault="002E2C6D" w:rsidP="00AE1DC2">
            <w:pPr>
              <w:pStyle w:val="Tabletext"/>
              <w:jc w:val="right"/>
              <w:rPr>
                <w:lang w:eastAsia="en-GB"/>
              </w:rPr>
            </w:pPr>
          </w:p>
        </w:tc>
        <w:tc>
          <w:tcPr>
            <w:tcW w:w="1078" w:type="dxa"/>
            <w:tcBorders>
              <w:top w:val="single" w:sz="4" w:space="0" w:color="auto"/>
              <w:bottom w:val="single" w:sz="4" w:space="0" w:color="auto"/>
            </w:tcBorders>
            <w:noWrap/>
            <w:vAlign w:val="center"/>
            <w:hideMark/>
          </w:tcPr>
          <w:p w14:paraId="06EC659B" w14:textId="77777777" w:rsidR="002E2C6D" w:rsidRPr="00C91AD1" w:rsidRDefault="002E2C6D" w:rsidP="00AE1DC2">
            <w:pPr>
              <w:pStyle w:val="Tabletext"/>
              <w:jc w:val="right"/>
              <w:rPr>
                <w:lang w:eastAsia="en-GB"/>
              </w:rPr>
            </w:pPr>
          </w:p>
        </w:tc>
        <w:tc>
          <w:tcPr>
            <w:tcW w:w="1077" w:type="dxa"/>
            <w:tcBorders>
              <w:top w:val="single" w:sz="4" w:space="0" w:color="auto"/>
              <w:bottom w:val="single" w:sz="4" w:space="0" w:color="auto"/>
            </w:tcBorders>
            <w:noWrap/>
            <w:vAlign w:val="center"/>
            <w:hideMark/>
          </w:tcPr>
          <w:p w14:paraId="36028F46" w14:textId="77777777" w:rsidR="002E2C6D" w:rsidRPr="00C91AD1" w:rsidRDefault="002E2C6D" w:rsidP="00AE1DC2">
            <w:pPr>
              <w:pStyle w:val="Tabletext"/>
              <w:jc w:val="right"/>
              <w:rPr>
                <w:lang w:eastAsia="en-GB"/>
              </w:rPr>
            </w:pPr>
          </w:p>
        </w:tc>
        <w:tc>
          <w:tcPr>
            <w:tcW w:w="1078" w:type="dxa"/>
            <w:tcBorders>
              <w:top w:val="single" w:sz="4" w:space="0" w:color="auto"/>
              <w:bottom w:val="single" w:sz="4" w:space="0" w:color="auto"/>
            </w:tcBorders>
            <w:noWrap/>
            <w:vAlign w:val="center"/>
            <w:hideMark/>
          </w:tcPr>
          <w:p w14:paraId="1B3F5177" w14:textId="77777777" w:rsidR="002E2C6D" w:rsidRPr="00C91AD1" w:rsidRDefault="002E2C6D" w:rsidP="00AE1DC2">
            <w:pPr>
              <w:pStyle w:val="Tabletext"/>
              <w:jc w:val="right"/>
              <w:rPr>
                <w:lang w:eastAsia="en-GB"/>
              </w:rPr>
            </w:pPr>
          </w:p>
        </w:tc>
        <w:tc>
          <w:tcPr>
            <w:tcW w:w="1077" w:type="dxa"/>
            <w:tcBorders>
              <w:top w:val="single" w:sz="4" w:space="0" w:color="auto"/>
              <w:bottom w:val="single" w:sz="4" w:space="0" w:color="auto"/>
            </w:tcBorders>
          </w:tcPr>
          <w:p w14:paraId="6724FE52" w14:textId="77777777" w:rsidR="002E2C6D" w:rsidRPr="00C91AD1" w:rsidRDefault="002E2C6D" w:rsidP="00AE1DC2">
            <w:pPr>
              <w:pStyle w:val="Tabletext"/>
              <w:jc w:val="right"/>
              <w:rPr>
                <w:lang w:eastAsia="en-GB"/>
              </w:rPr>
            </w:pPr>
          </w:p>
        </w:tc>
        <w:tc>
          <w:tcPr>
            <w:tcW w:w="1078" w:type="dxa"/>
            <w:tcBorders>
              <w:top w:val="single" w:sz="4" w:space="0" w:color="auto"/>
              <w:bottom w:val="single" w:sz="4" w:space="0" w:color="auto"/>
            </w:tcBorders>
          </w:tcPr>
          <w:p w14:paraId="113D838E" w14:textId="77777777" w:rsidR="002E2C6D" w:rsidRPr="00C91AD1" w:rsidRDefault="002E2C6D" w:rsidP="00AE1DC2">
            <w:pPr>
              <w:pStyle w:val="Tabletext"/>
              <w:jc w:val="right"/>
              <w:rPr>
                <w:lang w:eastAsia="en-GB"/>
              </w:rPr>
            </w:pPr>
          </w:p>
        </w:tc>
        <w:tc>
          <w:tcPr>
            <w:tcW w:w="1078" w:type="dxa"/>
            <w:tcBorders>
              <w:top w:val="single" w:sz="4" w:space="0" w:color="auto"/>
              <w:bottom w:val="single" w:sz="4" w:space="0" w:color="auto"/>
            </w:tcBorders>
          </w:tcPr>
          <w:p w14:paraId="7FECAA69" w14:textId="77777777" w:rsidR="002E2C6D" w:rsidRPr="00C91AD1" w:rsidRDefault="002E2C6D" w:rsidP="00AE1DC2">
            <w:pPr>
              <w:pStyle w:val="Tabletext"/>
              <w:jc w:val="right"/>
              <w:rPr>
                <w:lang w:eastAsia="en-GB"/>
              </w:rPr>
            </w:pPr>
          </w:p>
        </w:tc>
      </w:tr>
      <w:tr w:rsidR="002E2C6D" w:rsidRPr="00C91AD1" w14:paraId="31C94AD8" w14:textId="77777777" w:rsidTr="050EB883">
        <w:trPr>
          <w:jc w:val="center"/>
        </w:trPr>
        <w:tc>
          <w:tcPr>
            <w:tcW w:w="3828" w:type="dxa"/>
            <w:tcBorders>
              <w:top w:val="single" w:sz="4" w:space="0" w:color="auto"/>
              <w:left w:val="single" w:sz="4" w:space="0" w:color="auto"/>
              <w:bottom w:val="single" w:sz="4" w:space="0" w:color="auto"/>
              <w:right w:val="single" w:sz="4" w:space="0" w:color="auto"/>
            </w:tcBorders>
            <w:noWrap/>
            <w:vAlign w:val="center"/>
            <w:hideMark/>
          </w:tcPr>
          <w:p w14:paraId="37BD79FA" w14:textId="77777777" w:rsidR="002E2C6D" w:rsidRPr="00C91AD1" w:rsidRDefault="002E2C6D" w:rsidP="00A275D4">
            <w:pPr>
              <w:pStyle w:val="Tabletext"/>
            </w:pPr>
            <w:r w:rsidRPr="00C91AD1">
              <w:t>Total language-service budget</w:t>
            </w:r>
          </w:p>
        </w:tc>
        <w:tc>
          <w:tcPr>
            <w:tcW w:w="1077" w:type="dxa"/>
            <w:tcBorders>
              <w:top w:val="single" w:sz="4" w:space="0" w:color="auto"/>
              <w:left w:val="nil"/>
              <w:bottom w:val="single" w:sz="4" w:space="0" w:color="auto"/>
              <w:right w:val="single" w:sz="4" w:space="0" w:color="auto"/>
            </w:tcBorders>
            <w:noWrap/>
            <w:vAlign w:val="center"/>
            <w:hideMark/>
          </w:tcPr>
          <w:p w14:paraId="7AFD47AE" w14:textId="77777777" w:rsidR="002E2C6D" w:rsidRPr="00C91AD1" w:rsidRDefault="002E2C6D" w:rsidP="00AE1DC2">
            <w:pPr>
              <w:pStyle w:val="Tabletext"/>
              <w:ind w:right="170"/>
              <w:jc w:val="right"/>
              <w:rPr>
                <w:lang w:eastAsia="en-GB"/>
              </w:rPr>
            </w:pPr>
            <w:r w:rsidRPr="00C91AD1">
              <w:rPr>
                <w:lang w:eastAsia="en-GB"/>
              </w:rPr>
              <w:t>17 944</w:t>
            </w:r>
          </w:p>
        </w:tc>
        <w:tc>
          <w:tcPr>
            <w:tcW w:w="1078" w:type="dxa"/>
            <w:tcBorders>
              <w:top w:val="single" w:sz="4" w:space="0" w:color="auto"/>
              <w:left w:val="nil"/>
              <w:bottom w:val="single" w:sz="4" w:space="0" w:color="auto"/>
              <w:right w:val="single" w:sz="4" w:space="0" w:color="auto"/>
            </w:tcBorders>
            <w:noWrap/>
            <w:vAlign w:val="center"/>
            <w:hideMark/>
          </w:tcPr>
          <w:p w14:paraId="61B3D293" w14:textId="77777777" w:rsidR="002E2C6D" w:rsidRPr="00C91AD1" w:rsidRDefault="002E2C6D" w:rsidP="00AE1DC2">
            <w:pPr>
              <w:pStyle w:val="Tabletext"/>
              <w:ind w:right="170"/>
              <w:jc w:val="right"/>
              <w:rPr>
                <w:lang w:eastAsia="en-GB"/>
              </w:rPr>
            </w:pPr>
            <w:r w:rsidRPr="00C91AD1">
              <w:rPr>
                <w:lang w:eastAsia="en-GB"/>
              </w:rPr>
              <w:t>14 455</w:t>
            </w:r>
          </w:p>
        </w:tc>
        <w:tc>
          <w:tcPr>
            <w:tcW w:w="1077" w:type="dxa"/>
            <w:tcBorders>
              <w:top w:val="single" w:sz="4" w:space="0" w:color="auto"/>
              <w:left w:val="nil"/>
              <w:bottom w:val="single" w:sz="4" w:space="0" w:color="auto"/>
              <w:right w:val="single" w:sz="4" w:space="0" w:color="auto"/>
            </w:tcBorders>
            <w:noWrap/>
            <w:vAlign w:val="center"/>
            <w:hideMark/>
          </w:tcPr>
          <w:p w14:paraId="4AA22EB0" w14:textId="77777777" w:rsidR="002E2C6D" w:rsidRPr="00C91AD1" w:rsidRDefault="002E2C6D" w:rsidP="00AE1DC2">
            <w:pPr>
              <w:pStyle w:val="Tabletext"/>
              <w:ind w:right="170"/>
              <w:jc w:val="right"/>
              <w:rPr>
                <w:lang w:eastAsia="en-GB"/>
              </w:rPr>
            </w:pPr>
            <w:r w:rsidRPr="00C91AD1">
              <w:rPr>
                <w:lang w:eastAsia="en-GB"/>
              </w:rPr>
              <w:t>14 390</w:t>
            </w:r>
          </w:p>
        </w:tc>
        <w:tc>
          <w:tcPr>
            <w:tcW w:w="1078" w:type="dxa"/>
            <w:tcBorders>
              <w:top w:val="single" w:sz="4" w:space="0" w:color="auto"/>
              <w:left w:val="nil"/>
              <w:bottom w:val="single" w:sz="4" w:space="0" w:color="auto"/>
              <w:right w:val="single" w:sz="4" w:space="0" w:color="auto"/>
            </w:tcBorders>
            <w:noWrap/>
            <w:vAlign w:val="center"/>
            <w:hideMark/>
          </w:tcPr>
          <w:p w14:paraId="4AE5F53F" w14:textId="77777777" w:rsidR="002E2C6D" w:rsidRPr="00C91AD1" w:rsidRDefault="002E2C6D" w:rsidP="00AE1DC2">
            <w:pPr>
              <w:pStyle w:val="Tabletext"/>
              <w:ind w:right="170"/>
              <w:jc w:val="right"/>
              <w:rPr>
                <w:lang w:eastAsia="en-GB"/>
              </w:rPr>
            </w:pPr>
            <w:r w:rsidRPr="00C91AD1">
              <w:rPr>
                <w:lang w:eastAsia="en-GB"/>
              </w:rPr>
              <w:t>19 099</w:t>
            </w:r>
          </w:p>
        </w:tc>
        <w:tc>
          <w:tcPr>
            <w:tcW w:w="1077" w:type="dxa"/>
            <w:tcBorders>
              <w:top w:val="single" w:sz="4" w:space="0" w:color="auto"/>
              <w:left w:val="nil"/>
              <w:bottom w:val="single" w:sz="4" w:space="0" w:color="auto"/>
              <w:right w:val="single" w:sz="4" w:space="0" w:color="auto"/>
            </w:tcBorders>
          </w:tcPr>
          <w:p w14:paraId="72FE4D85" w14:textId="77777777" w:rsidR="002E2C6D" w:rsidRPr="00C91AD1" w:rsidRDefault="002E2C6D" w:rsidP="00AE1DC2">
            <w:pPr>
              <w:pStyle w:val="Tabletext"/>
              <w:ind w:right="170"/>
              <w:jc w:val="right"/>
              <w:rPr>
                <w:lang w:eastAsia="en-GB"/>
              </w:rPr>
            </w:pPr>
            <w:r w:rsidRPr="00C91AD1">
              <w:rPr>
                <w:lang w:eastAsia="en-GB"/>
              </w:rPr>
              <w:t>18 327</w:t>
            </w:r>
          </w:p>
        </w:tc>
        <w:tc>
          <w:tcPr>
            <w:tcW w:w="1078" w:type="dxa"/>
            <w:tcBorders>
              <w:top w:val="single" w:sz="4" w:space="0" w:color="auto"/>
              <w:left w:val="nil"/>
              <w:bottom w:val="single" w:sz="4" w:space="0" w:color="auto"/>
              <w:right w:val="single" w:sz="4" w:space="0" w:color="auto"/>
            </w:tcBorders>
          </w:tcPr>
          <w:p w14:paraId="20F0ED24" w14:textId="77777777" w:rsidR="002E2C6D" w:rsidRPr="00C91AD1" w:rsidRDefault="002E2C6D" w:rsidP="00AE1DC2">
            <w:pPr>
              <w:pStyle w:val="Tabletext"/>
              <w:ind w:right="170"/>
              <w:jc w:val="right"/>
              <w:rPr>
                <w:lang w:eastAsia="en-GB"/>
              </w:rPr>
            </w:pPr>
            <w:r>
              <w:rPr>
                <w:lang w:eastAsia="en-GB"/>
              </w:rPr>
              <w:t>15 281</w:t>
            </w:r>
          </w:p>
        </w:tc>
        <w:tc>
          <w:tcPr>
            <w:tcW w:w="1078" w:type="dxa"/>
            <w:tcBorders>
              <w:top w:val="single" w:sz="4" w:space="0" w:color="auto"/>
              <w:bottom w:val="single" w:sz="4" w:space="0" w:color="auto"/>
              <w:right w:val="single" w:sz="4" w:space="0" w:color="auto"/>
            </w:tcBorders>
          </w:tcPr>
          <w:p w14:paraId="55C64170" w14:textId="77777777" w:rsidR="002E2C6D" w:rsidRDefault="002E2C6D" w:rsidP="00AE1DC2">
            <w:pPr>
              <w:pStyle w:val="Tabletext"/>
              <w:ind w:right="170"/>
              <w:jc w:val="right"/>
              <w:rPr>
                <w:lang w:eastAsia="en-GB"/>
              </w:rPr>
            </w:pPr>
            <w:r>
              <w:rPr>
                <w:lang w:eastAsia="en-GB"/>
              </w:rPr>
              <w:t>14 604</w:t>
            </w:r>
          </w:p>
        </w:tc>
      </w:tr>
      <w:tr w:rsidR="002E2C6D" w:rsidRPr="00C91AD1" w14:paraId="10CD1D62" w14:textId="77777777" w:rsidTr="050EB883">
        <w:trPr>
          <w:jc w:val="center"/>
        </w:trPr>
        <w:tc>
          <w:tcPr>
            <w:tcW w:w="3828" w:type="dxa"/>
            <w:tcBorders>
              <w:top w:val="single" w:sz="4" w:space="0" w:color="auto"/>
              <w:left w:val="single" w:sz="4" w:space="0" w:color="auto"/>
              <w:bottom w:val="single" w:sz="4" w:space="0" w:color="auto"/>
              <w:right w:val="single" w:sz="4" w:space="0" w:color="auto"/>
            </w:tcBorders>
            <w:noWrap/>
            <w:vAlign w:val="center"/>
            <w:hideMark/>
          </w:tcPr>
          <w:p w14:paraId="1248FC31" w14:textId="77777777" w:rsidR="002E2C6D" w:rsidRPr="00C91AD1" w:rsidRDefault="002E2C6D" w:rsidP="00A275D4">
            <w:pPr>
              <w:pStyle w:val="Tabletext"/>
            </w:pPr>
            <w:r w:rsidRPr="00C91AD1">
              <w:t>Total actual language-service expenses</w:t>
            </w:r>
          </w:p>
        </w:tc>
        <w:tc>
          <w:tcPr>
            <w:tcW w:w="1077" w:type="dxa"/>
            <w:tcBorders>
              <w:top w:val="single" w:sz="4" w:space="0" w:color="auto"/>
              <w:left w:val="nil"/>
              <w:bottom w:val="single" w:sz="4" w:space="0" w:color="auto"/>
              <w:right w:val="single" w:sz="4" w:space="0" w:color="auto"/>
            </w:tcBorders>
            <w:noWrap/>
            <w:vAlign w:val="center"/>
            <w:hideMark/>
          </w:tcPr>
          <w:p w14:paraId="14FF8E5D" w14:textId="77777777" w:rsidR="002E2C6D" w:rsidRPr="00C91AD1" w:rsidRDefault="002E2C6D" w:rsidP="00AE1DC2">
            <w:pPr>
              <w:pStyle w:val="Tabletext"/>
              <w:ind w:right="170"/>
              <w:jc w:val="right"/>
              <w:rPr>
                <w:lang w:eastAsia="en-GB"/>
              </w:rPr>
            </w:pPr>
            <w:r w:rsidRPr="00C91AD1">
              <w:rPr>
                <w:lang w:eastAsia="en-GB"/>
              </w:rPr>
              <w:t>15 922</w:t>
            </w:r>
          </w:p>
        </w:tc>
        <w:tc>
          <w:tcPr>
            <w:tcW w:w="1078" w:type="dxa"/>
            <w:tcBorders>
              <w:top w:val="single" w:sz="4" w:space="0" w:color="auto"/>
              <w:left w:val="nil"/>
              <w:bottom w:val="single" w:sz="4" w:space="0" w:color="auto"/>
              <w:right w:val="single" w:sz="4" w:space="0" w:color="auto"/>
            </w:tcBorders>
            <w:noWrap/>
            <w:vAlign w:val="center"/>
            <w:hideMark/>
          </w:tcPr>
          <w:p w14:paraId="2B053FDB" w14:textId="77777777" w:rsidR="002E2C6D" w:rsidRPr="00C91AD1" w:rsidRDefault="002E2C6D" w:rsidP="00AE1DC2">
            <w:pPr>
              <w:pStyle w:val="Tabletext"/>
              <w:ind w:right="170"/>
              <w:jc w:val="right"/>
              <w:rPr>
                <w:lang w:eastAsia="en-GB"/>
              </w:rPr>
            </w:pPr>
            <w:r w:rsidRPr="00C91AD1">
              <w:rPr>
                <w:lang w:eastAsia="en-GB"/>
              </w:rPr>
              <w:t>13 589</w:t>
            </w:r>
          </w:p>
        </w:tc>
        <w:tc>
          <w:tcPr>
            <w:tcW w:w="1077" w:type="dxa"/>
            <w:tcBorders>
              <w:top w:val="single" w:sz="4" w:space="0" w:color="auto"/>
              <w:left w:val="nil"/>
              <w:bottom w:val="single" w:sz="4" w:space="0" w:color="auto"/>
              <w:right w:val="single" w:sz="4" w:space="0" w:color="auto"/>
            </w:tcBorders>
            <w:noWrap/>
            <w:vAlign w:val="center"/>
            <w:hideMark/>
          </w:tcPr>
          <w:p w14:paraId="036F85A3" w14:textId="77777777" w:rsidR="002E2C6D" w:rsidRPr="00C91AD1" w:rsidRDefault="002E2C6D" w:rsidP="00AE1DC2">
            <w:pPr>
              <w:pStyle w:val="Tabletext"/>
              <w:ind w:right="170"/>
              <w:jc w:val="right"/>
              <w:rPr>
                <w:lang w:eastAsia="en-GB"/>
              </w:rPr>
            </w:pPr>
            <w:r w:rsidRPr="00C91AD1">
              <w:rPr>
                <w:lang w:eastAsia="en-GB"/>
              </w:rPr>
              <w:t>14 063</w:t>
            </w:r>
          </w:p>
        </w:tc>
        <w:tc>
          <w:tcPr>
            <w:tcW w:w="1078" w:type="dxa"/>
            <w:tcBorders>
              <w:top w:val="single" w:sz="4" w:space="0" w:color="auto"/>
              <w:left w:val="nil"/>
              <w:bottom w:val="single" w:sz="4" w:space="0" w:color="auto"/>
              <w:right w:val="single" w:sz="4" w:space="0" w:color="auto"/>
            </w:tcBorders>
            <w:noWrap/>
            <w:vAlign w:val="center"/>
            <w:hideMark/>
          </w:tcPr>
          <w:p w14:paraId="68665FDB" w14:textId="77777777" w:rsidR="002E2C6D" w:rsidRPr="00C91AD1" w:rsidRDefault="002E2C6D" w:rsidP="00AE1DC2">
            <w:pPr>
              <w:pStyle w:val="Tabletext"/>
              <w:ind w:right="170"/>
              <w:jc w:val="right"/>
              <w:rPr>
                <w:lang w:eastAsia="en-GB"/>
              </w:rPr>
            </w:pPr>
            <w:r w:rsidRPr="00C91AD1">
              <w:rPr>
                <w:lang w:eastAsia="en-GB"/>
              </w:rPr>
              <w:t>16 663</w:t>
            </w:r>
          </w:p>
        </w:tc>
        <w:tc>
          <w:tcPr>
            <w:tcW w:w="1077" w:type="dxa"/>
            <w:tcBorders>
              <w:top w:val="single" w:sz="4" w:space="0" w:color="auto"/>
              <w:left w:val="nil"/>
              <w:bottom w:val="single" w:sz="4" w:space="0" w:color="auto"/>
              <w:right w:val="single" w:sz="4" w:space="0" w:color="auto"/>
            </w:tcBorders>
          </w:tcPr>
          <w:p w14:paraId="3A7843C1" w14:textId="77777777" w:rsidR="002E2C6D" w:rsidRPr="00C91AD1" w:rsidRDefault="002E2C6D" w:rsidP="00AE1DC2">
            <w:pPr>
              <w:pStyle w:val="Tabletext"/>
              <w:ind w:right="170"/>
              <w:jc w:val="right"/>
              <w:rPr>
                <w:lang w:eastAsia="en-GB"/>
              </w:rPr>
            </w:pPr>
            <w:r w:rsidRPr="00C91AD1">
              <w:rPr>
                <w:lang w:eastAsia="en-GB"/>
              </w:rPr>
              <w:t>15 312</w:t>
            </w:r>
          </w:p>
        </w:tc>
        <w:tc>
          <w:tcPr>
            <w:tcW w:w="1078" w:type="dxa"/>
            <w:tcBorders>
              <w:top w:val="single" w:sz="4" w:space="0" w:color="auto"/>
              <w:left w:val="nil"/>
              <w:bottom w:val="single" w:sz="4" w:space="0" w:color="auto"/>
              <w:right w:val="single" w:sz="4" w:space="0" w:color="auto"/>
            </w:tcBorders>
          </w:tcPr>
          <w:p w14:paraId="32CC0BDF" w14:textId="77777777" w:rsidR="002E2C6D" w:rsidRPr="00C91AD1" w:rsidRDefault="002E2C6D" w:rsidP="00AE1DC2">
            <w:pPr>
              <w:pStyle w:val="Tabletext"/>
              <w:ind w:right="170"/>
              <w:jc w:val="right"/>
              <w:rPr>
                <w:lang w:eastAsia="en-GB"/>
              </w:rPr>
            </w:pPr>
            <w:r>
              <w:rPr>
                <w:lang w:eastAsia="en-GB"/>
              </w:rPr>
              <w:t>12 693</w:t>
            </w:r>
          </w:p>
        </w:tc>
        <w:tc>
          <w:tcPr>
            <w:tcW w:w="1078" w:type="dxa"/>
            <w:tcBorders>
              <w:top w:val="single" w:sz="4" w:space="0" w:color="auto"/>
              <w:bottom w:val="single" w:sz="4" w:space="0" w:color="auto"/>
              <w:right w:val="single" w:sz="4" w:space="0" w:color="auto"/>
            </w:tcBorders>
          </w:tcPr>
          <w:p w14:paraId="58F02BCC" w14:textId="77777777" w:rsidR="002E2C6D" w:rsidRDefault="002E2C6D" w:rsidP="00AE1DC2">
            <w:pPr>
              <w:pStyle w:val="Tabletext"/>
              <w:ind w:right="170"/>
              <w:jc w:val="right"/>
              <w:rPr>
                <w:lang w:eastAsia="en-GB"/>
              </w:rPr>
            </w:pPr>
            <w:r>
              <w:rPr>
                <w:lang w:eastAsia="en-GB"/>
              </w:rPr>
              <w:t>12 261</w:t>
            </w:r>
          </w:p>
        </w:tc>
      </w:tr>
      <w:tr w:rsidR="002E2C6D" w:rsidRPr="003166A1" w14:paraId="664560B9" w14:textId="77777777" w:rsidTr="050EB883">
        <w:trPr>
          <w:jc w:val="center"/>
        </w:trPr>
        <w:tc>
          <w:tcPr>
            <w:tcW w:w="3828" w:type="dxa"/>
            <w:tcBorders>
              <w:top w:val="nil"/>
              <w:left w:val="single" w:sz="4" w:space="0" w:color="auto"/>
              <w:bottom w:val="single" w:sz="4" w:space="0" w:color="auto"/>
              <w:right w:val="single" w:sz="4" w:space="0" w:color="auto"/>
            </w:tcBorders>
            <w:noWrap/>
            <w:vAlign w:val="center"/>
            <w:hideMark/>
          </w:tcPr>
          <w:p w14:paraId="27ECFE23" w14:textId="77777777" w:rsidR="002E2C6D" w:rsidRPr="003166A1" w:rsidRDefault="002E2C6D" w:rsidP="00A275D4">
            <w:pPr>
              <w:pStyle w:val="Tabletext"/>
            </w:pPr>
            <w:r w:rsidRPr="003166A1">
              <w:t>Savings</w:t>
            </w:r>
          </w:p>
        </w:tc>
        <w:tc>
          <w:tcPr>
            <w:tcW w:w="1077" w:type="dxa"/>
            <w:tcBorders>
              <w:top w:val="nil"/>
              <w:left w:val="nil"/>
              <w:bottom w:val="single" w:sz="4" w:space="0" w:color="auto"/>
              <w:right w:val="single" w:sz="4" w:space="0" w:color="auto"/>
            </w:tcBorders>
            <w:noWrap/>
            <w:vAlign w:val="center"/>
            <w:hideMark/>
          </w:tcPr>
          <w:p w14:paraId="49DE4DC5" w14:textId="77777777" w:rsidR="002E2C6D" w:rsidRPr="003166A1" w:rsidRDefault="002E2C6D" w:rsidP="00AE1DC2">
            <w:pPr>
              <w:pStyle w:val="Tabletext"/>
              <w:ind w:right="170"/>
              <w:jc w:val="right"/>
              <w:rPr>
                <w:lang w:eastAsia="en-GB"/>
              </w:rPr>
            </w:pPr>
            <w:r w:rsidRPr="003166A1">
              <w:rPr>
                <w:lang w:eastAsia="en-GB"/>
              </w:rPr>
              <w:t>2 023</w:t>
            </w:r>
          </w:p>
        </w:tc>
        <w:tc>
          <w:tcPr>
            <w:tcW w:w="1078" w:type="dxa"/>
            <w:tcBorders>
              <w:top w:val="nil"/>
              <w:left w:val="nil"/>
              <w:bottom w:val="single" w:sz="4" w:space="0" w:color="auto"/>
              <w:right w:val="single" w:sz="4" w:space="0" w:color="auto"/>
            </w:tcBorders>
            <w:noWrap/>
            <w:vAlign w:val="center"/>
            <w:hideMark/>
          </w:tcPr>
          <w:p w14:paraId="705A5C39" w14:textId="77777777" w:rsidR="002E2C6D" w:rsidRPr="003166A1" w:rsidRDefault="002E2C6D" w:rsidP="00AE1DC2">
            <w:pPr>
              <w:pStyle w:val="Tabletext"/>
              <w:ind w:right="170"/>
              <w:jc w:val="right"/>
              <w:rPr>
                <w:lang w:eastAsia="en-GB"/>
              </w:rPr>
            </w:pPr>
            <w:r w:rsidRPr="003166A1">
              <w:rPr>
                <w:lang w:eastAsia="en-GB"/>
              </w:rPr>
              <w:t>866</w:t>
            </w:r>
          </w:p>
        </w:tc>
        <w:tc>
          <w:tcPr>
            <w:tcW w:w="1077" w:type="dxa"/>
            <w:tcBorders>
              <w:top w:val="nil"/>
              <w:left w:val="nil"/>
              <w:bottom w:val="single" w:sz="4" w:space="0" w:color="auto"/>
              <w:right w:val="single" w:sz="4" w:space="0" w:color="auto"/>
            </w:tcBorders>
            <w:noWrap/>
            <w:vAlign w:val="center"/>
            <w:hideMark/>
          </w:tcPr>
          <w:p w14:paraId="5590F8DB" w14:textId="77777777" w:rsidR="002E2C6D" w:rsidRPr="003166A1" w:rsidRDefault="002E2C6D" w:rsidP="00AE1DC2">
            <w:pPr>
              <w:pStyle w:val="Tabletext"/>
              <w:ind w:right="170"/>
              <w:jc w:val="right"/>
              <w:rPr>
                <w:lang w:eastAsia="en-GB"/>
              </w:rPr>
            </w:pPr>
            <w:r w:rsidRPr="003166A1">
              <w:rPr>
                <w:lang w:eastAsia="en-GB"/>
              </w:rPr>
              <w:t>328</w:t>
            </w:r>
          </w:p>
        </w:tc>
        <w:tc>
          <w:tcPr>
            <w:tcW w:w="1078" w:type="dxa"/>
            <w:tcBorders>
              <w:top w:val="nil"/>
              <w:left w:val="nil"/>
              <w:bottom w:val="single" w:sz="4" w:space="0" w:color="auto"/>
              <w:right w:val="single" w:sz="4" w:space="0" w:color="auto"/>
            </w:tcBorders>
            <w:noWrap/>
            <w:vAlign w:val="center"/>
            <w:hideMark/>
          </w:tcPr>
          <w:p w14:paraId="35A7D708" w14:textId="77777777" w:rsidR="002E2C6D" w:rsidRPr="003166A1" w:rsidRDefault="002E2C6D" w:rsidP="00AE1DC2">
            <w:pPr>
              <w:pStyle w:val="Tabletext"/>
              <w:ind w:right="170"/>
              <w:jc w:val="right"/>
              <w:rPr>
                <w:lang w:eastAsia="en-GB"/>
              </w:rPr>
            </w:pPr>
            <w:r w:rsidRPr="003166A1">
              <w:rPr>
                <w:lang w:eastAsia="en-GB"/>
              </w:rPr>
              <w:t>2 436</w:t>
            </w:r>
            <w:bookmarkEnd w:id="25"/>
          </w:p>
        </w:tc>
        <w:tc>
          <w:tcPr>
            <w:tcW w:w="1077" w:type="dxa"/>
            <w:tcBorders>
              <w:top w:val="nil"/>
              <w:left w:val="nil"/>
              <w:bottom w:val="single" w:sz="4" w:space="0" w:color="auto"/>
              <w:right w:val="single" w:sz="4" w:space="0" w:color="auto"/>
            </w:tcBorders>
          </w:tcPr>
          <w:p w14:paraId="02F10FD9" w14:textId="77777777" w:rsidR="002E2C6D" w:rsidRPr="003166A1" w:rsidRDefault="002E2C6D" w:rsidP="00AE1DC2">
            <w:pPr>
              <w:pStyle w:val="Tabletext"/>
              <w:ind w:right="170"/>
              <w:jc w:val="right"/>
              <w:rPr>
                <w:lang w:eastAsia="en-GB"/>
              </w:rPr>
            </w:pPr>
            <w:r w:rsidRPr="003166A1">
              <w:rPr>
                <w:lang w:eastAsia="en-GB"/>
              </w:rPr>
              <w:t>3 015</w:t>
            </w:r>
          </w:p>
        </w:tc>
        <w:tc>
          <w:tcPr>
            <w:tcW w:w="1078" w:type="dxa"/>
            <w:tcBorders>
              <w:top w:val="nil"/>
              <w:left w:val="nil"/>
              <w:bottom w:val="single" w:sz="4" w:space="0" w:color="auto"/>
              <w:right w:val="single" w:sz="4" w:space="0" w:color="auto"/>
            </w:tcBorders>
          </w:tcPr>
          <w:p w14:paraId="74F9A550" w14:textId="77777777" w:rsidR="002E2C6D" w:rsidRPr="003166A1" w:rsidRDefault="002E2C6D" w:rsidP="00AE1DC2">
            <w:pPr>
              <w:pStyle w:val="Tabletext"/>
              <w:ind w:right="170"/>
              <w:jc w:val="right"/>
              <w:rPr>
                <w:lang w:eastAsia="en-GB"/>
              </w:rPr>
            </w:pPr>
            <w:r w:rsidRPr="003166A1">
              <w:rPr>
                <w:lang w:eastAsia="en-GB"/>
              </w:rPr>
              <w:t>2 588</w:t>
            </w:r>
          </w:p>
        </w:tc>
        <w:tc>
          <w:tcPr>
            <w:tcW w:w="1078" w:type="dxa"/>
            <w:tcBorders>
              <w:top w:val="single" w:sz="4" w:space="0" w:color="auto"/>
              <w:bottom w:val="single" w:sz="4" w:space="0" w:color="auto"/>
              <w:right w:val="single" w:sz="4" w:space="0" w:color="auto"/>
            </w:tcBorders>
          </w:tcPr>
          <w:p w14:paraId="2847D1B9" w14:textId="77777777" w:rsidR="002E2C6D" w:rsidRPr="003166A1" w:rsidRDefault="002E2C6D" w:rsidP="00AE1DC2">
            <w:pPr>
              <w:pStyle w:val="Tabletext"/>
              <w:ind w:right="170"/>
              <w:jc w:val="right"/>
              <w:rPr>
                <w:lang w:eastAsia="en-GB"/>
              </w:rPr>
            </w:pPr>
            <w:r>
              <w:rPr>
                <w:lang w:eastAsia="en-GB"/>
              </w:rPr>
              <w:t>2 342</w:t>
            </w:r>
          </w:p>
        </w:tc>
      </w:tr>
      <w:tr w:rsidR="00B42760" w:rsidRPr="003166A1" w14:paraId="4F504A47" w14:textId="77777777" w:rsidTr="050EB883">
        <w:trPr>
          <w:jc w:val="center"/>
        </w:trPr>
        <w:tc>
          <w:tcPr>
            <w:tcW w:w="11371" w:type="dxa"/>
            <w:gridSpan w:val="8"/>
            <w:tcBorders>
              <w:top w:val="single" w:sz="4" w:space="0" w:color="auto"/>
            </w:tcBorders>
            <w:noWrap/>
            <w:vAlign w:val="center"/>
          </w:tcPr>
          <w:p w14:paraId="091FAAF6" w14:textId="51B0BD19" w:rsidR="00B42760" w:rsidRPr="00B42760" w:rsidRDefault="00B42760" w:rsidP="00A275D4">
            <w:pPr>
              <w:pStyle w:val="Tablelegend"/>
            </w:pPr>
            <w:r w:rsidRPr="00B42760">
              <w:t>*</w:t>
            </w:r>
            <w:r>
              <w:t xml:space="preserve"> </w:t>
            </w:r>
            <w:r w:rsidRPr="00B42760">
              <w:t>Data as of 10.11.2025</w:t>
            </w:r>
            <w:r>
              <w:t>.</w:t>
            </w:r>
          </w:p>
          <w:p w14:paraId="7C6BD17B" w14:textId="1EEE5DC9" w:rsidR="00B42760" w:rsidRDefault="00B42760" w:rsidP="00A275D4">
            <w:pPr>
              <w:pStyle w:val="Tablelegend"/>
              <w:rPr>
                <w:rFonts w:cstheme="minorHAnsi"/>
                <w:b/>
                <w:bCs/>
                <w:color w:val="000000"/>
                <w:lang w:eastAsia="en-GB"/>
              </w:rPr>
            </w:pPr>
            <w:r w:rsidRPr="00B42760">
              <w:t>Note that 2022 is considered an exceptional year as three major conferences (</w:t>
            </w:r>
            <w:proofErr w:type="spellStart"/>
            <w:r w:rsidRPr="00B42760">
              <w:t>WTSA</w:t>
            </w:r>
            <w:proofErr w:type="spellEnd"/>
            <w:r w:rsidRPr="00B42760">
              <w:t xml:space="preserve">, </w:t>
            </w:r>
            <w:proofErr w:type="spellStart"/>
            <w:r w:rsidRPr="00B42760">
              <w:t>WTDC</w:t>
            </w:r>
            <w:proofErr w:type="spellEnd"/>
            <w:r w:rsidRPr="00B42760">
              <w:t xml:space="preserve">, </w:t>
            </w:r>
            <w:proofErr w:type="spellStart"/>
            <w:r w:rsidRPr="00B42760">
              <w:t>PP22</w:t>
            </w:r>
            <w:proofErr w:type="spellEnd"/>
            <w:r w:rsidRPr="00B42760">
              <w:t>) were held following the disruption caused by the COVID-19 pandemic in 2020 and 2021.</w:t>
            </w:r>
          </w:p>
        </w:tc>
      </w:tr>
    </w:tbl>
    <w:p w14:paraId="27EA0C00" w14:textId="77777777" w:rsidR="002E2C6D" w:rsidRPr="00C91AD1" w:rsidRDefault="002E2C6D" w:rsidP="00E22FFB">
      <w:pPr>
        <w:pStyle w:val="FigureNo"/>
      </w:pPr>
      <w:bookmarkStart w:id="26" w:name="_Hlk134084190"/>
      <w:r w:rsidRPr="00C91AD1">
        <w:t>Figure 1</w:t>
      </w:r>
    </w:p>
    <w:p w14:paraId="58DB2714" w14:textId="77777777" w:rsidR="002E2C6D" w:rsidRPr="00C91AD1" w:rsidRDefault="002E2C6D" w:rsidP="00E22FFB">
      <w:pPr>
        <w:pStyle w:val="Figuretitle"/>
      </w:pPr>
      <w:r w:rsidRPr="00C91AD1">
        <w:t>Evolution of language-service budget and expenses (</w:t>
      </w:r>
      <w:r w:rsidRPr="00E22FFB">
        <w:t>in</w:t>
      </w:r>
      <w:r w:rsidRPr="00C91AD1">
        <w:t xml:space="preserve"> 000 CHF), 2019-2024</w:t>
      </w:r>
    </w:p>
    <w:p w14:paraId="6A770441" w14:textId="77777777" w:rsidR="002E2C6D" w:rsidRPr="00492CB8" w:rsidRDefault="002E2C6D" w:rsidP="00492CB8">
      <w:pPr>
        <w:pStyle w:val="Figure"/>
      </w:pPr>
      <w:r w:rsidRPr="00492CB8">
        <mc:AlternateContent>
          <mc:Choice Requires="wpg">
            <w:drawing>
              <wp:inline distT="0" distB="0" distL="0" distR="0" wp14:anchorId="3B679788" wp14:editId="00C4BB53">
                <wp:extent cx="5800320" cy="1966671"/>
                <wp:effectExtent l="0" t="0" r="10160" b="14605"/>
                <wp:docPr id="3" name="Group 3"/>
                <wp:cNvGraphicFramePr/>
                <a:graphic xmlns:a="http://schemas.openxmlformats.org/drawingml/2006/main">
                  <a:graphicData uri="http://schemas.microsoft.com/office/word/2010/wordprocessingGroup">
                    <wpg:wgp>
                      <wpg:cNvGrpSpPr/>
                      <wpg:grpSpPr>
                        <a:xfrm>
                          <a:off x="0" y="0"/>
                          <a:ext cx="5800320" cy="1966671"/>
                          <a:chOff x="64890" y="0"/>
                          <a:chExt cx="6197600" cy="2317071"/>
                        </a:xfrm>
                      </wpg:grpSpPr>
                      <wpg:graphicFrame>
                        <wpg:cNvPr id="4" name="Chart 4"/>
                        <wpg:cNvFrPr/>
                        <wpg:xfrm>
                          <a:off x="64890" y="199981"/>
                          <a:ext cx="3098800" cy="2117090"/>
                        </wpg:xfrm>
                        <a:graphic>
                          <a:graphicData uri="http://schemas.openxmlformats.org/drawingml/2006/chart">
                            <c:chart xmlns:c="http://schemas.openxmlformats.org/drawingml/2006/chart" xmlns:r="http://schemas.openxmlformats.org/officeDocument/2006/relationships" r:id="rId34"/>
                          </a:graphicData>
                        </a:graphic>
                      </wpg:graphicFrame>
                      <wpg:graphicFrame>
                        <wpg:cNvPr id="6" name="Chart 6"/>
                        <wpg:cNvFrPr/>
                        <wpg:xfrm>
                          <a:off x="3163690" y="0"/>
                          <a:ext cx="3098800" cy="2124710"/>
                        </wpg:xfrm>
                        <a:graphic>
                          <a:graphicData uri="http://schemas.openxmlformats.org/drawingml/2006/chart">
                            <c:chart xmlns:c="http://schemas.openxmlformats.org/drawingml/2006/chart" xmlns:r="http://schemas.openxmlformats.org/officeDocument/2006/relationships" r:id="rId35"/>
                          </a:graphicData>
                        </a:graphic>
                      </wpg:graphicFrame>
                    </wpg:wgp>
                  </a:graphicData>
                </a:graphic>
              </wp:inline>
            </w:drawing>
          </mc:Choice>
          <mc:Fallback>
            <w:pict>
              <v:group w14:anchorId="46B8E197" id="Group 3" o:spid="_x0000_s1026" style="width:456.7pt;height:154.85pt;mso-position-horizontal-relative:char;mso-position-vertical-relative:line" coordorigin="648" coordsize="61976,23170" o:gfxdata="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4" o:spid="_x0000_s1027" type="#_x0000_t75" style="position:absolute;left:583;top:1939;width:31135;height:2133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">
                  <v:imagedata r:id="rId36" o:title=""/>
                  <o:lock v:ext="edit" aspectratio="f"/>
                </v:shape>
                <v:shape id="Chart 6" o:spid="_x0000_s1028" type="#_x0000_t75" style="position:absolute;left:31588;top:-71;width:31069;height:2140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">
                  <v:imagedata r:id="rId37" o:title=""/>
                  <o:lock v:ext="edit" aspectratio="f"/>
                </v:shape>
                <w10:anchorlock/>
              </v:group>
              <o:OLEObject Type="Embed" ProgID="Excel.Chart.8" ShapeID="Chart 4" DrawAspect="Content" ObjectID="_1826905043" r:id="rId38">
                <o:FieldCodes>\s</o:FieldCodes>
              </o:OLEObject>
              <o:OLEObject Type="Embed" ProgID="Excel.Chart.8" ShapeID="Chart 6" DrawAspect="Content" ObjectID="_1826905044" r:id="rId39">
                <o:FieldCodes>\s</o:FieldCodes>
              </o:OLEObject>
            </w:pict>
          </mc:Fallback>
        </mc:AlternateContent>
      </w:r>
    </w:p>
    <w:p w14:paraId="34D94A95" w14:textId="5EC2EDDF" w:rsidR="002E2C6D" w:rsidRPr="00C91AD1" w:rsidRDefault="072054B0" w:rsidP="050EB883">
      <w:pPr>
        <w:pStyle w:val="FigureNo"/>
      </w:pPr>
      <w:r>
        <w:lastRenderedPageBreak/>
        <w:t>Figure 2</w:t>
      </w:r>
    </w:p>
    <w:p w14:paraId="0C45D333" w14:textId="0619DD47" w:rsidR="002E2C6D" w:rsidRPr="00C91AD1" w:rsidRDefault="2B6AAB71" w:rsidP="050EB883">
      <w:r>
        <w:rPr>
          <w:noProof/>
        </w:rPr>
        <w:drawing>
          <wp:inline distT="0" distB="0" distL="0" distR="0" wp14:anchorId="3C44E1EE" wp14:editId="017E363D">
            <wp:extent cx="5499069" cy="3212870"/>
            <wp:effectExtent l="0" t="0" r="0" b="0"/>
            <wp:docPr id="97560126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601268" name="Picture 975601268"/>
                    <pic:cNvPicPr/>
                  </pic:nvPicPr>
                  <pic:blipFill>
                    <a:blip r:embed="rId40">
                      <a:extLst>
                        <a:ext uri="{28A0092B-C50C-407E-A947-70E740481C1C}">
                          <a14:useLocalDpi xmlns:a14="http://schemas.microsoft.com/office/drawing/2010/main"/>
                        </a:ext>
                      </a:extLst>
                    </a:blip>
                    <a:stretch>
                      <a:fillRect/>
                    </a:stretch>
                  </pic:blipFill>
                  <pic:spPr>
                    <a:xfrm>
                      <a:off x="0" y="0"/>
                      <a:ext cx="5499069" cy="3212870"/>
                    </a:xfrm>
                    <a:prstGeom prst="rect">
                      <a:avLst/>
                    </a:prstGeom>
                  </pic:spPr>
                </pic:pic>
              </a:graphicData>
            </a:graphic>
          </wp:inline>
        </w:drawing>
      </w:r>
    </w:p>
    <w:p w14:paraId="72EB1138" w14:textId="756154C6" w:rsidR="002E2C6D" w:rsidRPr="00C91AD1" w:rsidRDefault="002E2C6D" w:rsidP="002E2C6D">
      <w:pPr>
        <w:pStyle w:val="TableNo"/>
      </w:pPr>
      <w:bookmarkStart w:id="27" w:name="_Hlk134084314"/>
      <w:bookmarkEnd w:id="26"/>
      <w:r>
        <w:t>Table 2</w:t>
      </w:r>
    </w:p>
    <w:p w14:paraId="3F0088DB" w14:textId="77777777" w:rsidR="002E2C6D" w:rsidRPr="00C91AD1" w:rsidRDefault="002E2C6D" w:rsidP="002E2C6D">
      <w:pPr>
        <w:pStyle w:val="Tabletitle"/>
      </w:pPr>
      <w:r w:rsidRPr="00C91AD1">
        <w:t>Evolution of translation volumes per language (pages)</w:t>
      </w:r>
      <w:r>
        <w:rPr>
          <w:rStyle w:val="FootnoteReference"/>
        </w:rPr>
        <w:footnoteReference w:id="1"/>
      </w:r>
      <w:r>
        <w:t xml:space="preserve">, </w:t>
      </w:r>
      <w:r w:rsidRPr="00C91AD1">
        <w:t>2019-202</w:t>
      </w:r>
      <w:r>
        <w:t>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58"/>
        <w:gridCol w:w="1138"/>
        <w:gridCol w:w="1138"/>
        <w:gridCol w:w="1138"/>
        <w:gridCol w:w="1095"/>
        <w:gridCol w:w="1062"/>
        <w:gridCol w:w="1062"/>
        <w:gridCol w:w="970"/>
      </w:tblGrid>
      <w:tr w:rsidR="002E2C6D" w:rsidRPr="00C913A2" w14:paraId="78FB85B3" w14:textId="77777777" w:rsidTr="00644DAE">
        <w:trPr>
          <w:jc w:val="center"/>
        </w:trPr>
        <w:tc>
          <w:tcPr>
            <w:tcW w:w="1458" w:type="dxa"/>
            <w:vMerge w:val="restart"/>
            <w:shd w:val="clear" w:color="auto" w:fill="D9D9D9" w:themeFill="background1" w:themeFillShade="D9"/>
            <w:tcMar>
              <w:top w:w="0" w:type="dxa"/>
              <w:left w:w="108" w:type="dxa"/>
              <w:bottom w:w="0" w:type="dxa"/>
              <w:right w:w="108" w:type="dxa"/>
            </w:tcMar>
            <w:vAlign w:val="center"/>
          </w:tcPr>
          <w:p w14:paraId="128F089C" w14:textId="77777777" w:rsidR="002E2C6D" w:rsidRPr="00C913A2" w:rsidRDefault="002E2C6D" w:rsidP="00A275D4">
            <w:pPr>
              <w:pStyle w:val="Tablehead"/>
            </w:pPr>
            <w:r w:rsidRPr="00C913A2">
              <w:t>Language</w:t>
            </w:r>
          </w:p>
        </w:tc>
        <w:tc>
          <w:tcPr>
            <w:tcW w:w="7603" w:type="dxa"/>
            <w:gridSpan w:val="7"/>
            <w:shd w:val="clear" w:color="auto" w:fill="D9D9D9" w:themeFill="background1" w:themeFillShade="D9"/>
            <w:tcMar>
              <w:top w:w="0" w:type="dxa"/>
              <w:left w:w="108" w:type="dxa"/>
              <w:bottom w:w="0" w:type="dxa"/>
              <w:right w:w="108" w:type="dxa"/>
            </w:tcMar>
            <w:vAlign w:val="center"/>
          </w:tcPr>
          <w:p w14:paraId="144A145A" w14:textId="1A3DE281" w:rsidR="002E2C6D" w:rsidRPr="00C913A2" w:rsidRDefault="002E2C6D" w:rsidP="00A275D4">
            <w:pPr>
              <w:pStyle w:val="Tablehead"/>
            </w:pPr>
            <w:r w:rsidRPr="00C913A2">
              <w:t xml:space="preserve">Translation volumes/year </w:t>
            </w:r>
            <w:r w:rsidR="00C67622">
              <w:br/>
            </w:r>
            <w:r w:rsidRPr="00C913A2">
              <w:t>(pages)</w:t>
            </w:r>
          </w:p>
        </w:tc>
      </w:tr>
      <w:tr w:rsidR="002E2C6D" w:rsidRPr="00C913A2" w14:paraId="464DECC6" w14:textId="77777777" w:rsidTr="00644DAE">
        <w:trPr>
          <w:jc w:val="center"/>
        </w:trPr>
        <w:tc>
          <w:tcPr>
            <w:tcW w:w="1458" w:type="dxa"/>
            <w:vMerge/>
            <w:shd w:val="clear" w:color="auto" w:fill="D9D9D9" w:themeFill="background1" w:themeFillShade="D9"/>
            <w:tcMar>
              <w:top w:w="0" w:type="dxa"/>
              <w:left w:w="108" w:type="dxa"/>
              <w:bottom w:w="0" w:type="dxa"/>
              <w:right w:w="108" w:type="dxa"/>
            </w:tcMar>
            <w:vAlign w:val="center"/>
          </w:tcPr>
          <w:p w14:paraId="64452F64" w14:textId="77777777" w:rsidR="002E2C6D" w:rsidRPr="00C913A2" w:rsidRDefault="002E2C6D" w:rsidP="00A275D4">
            <w:pPr>
              <w:pStyle w:val="Tablehead"/>
            </w:pPr>
          </w:p>
        </w:tc>
        <w:tc>
          <w:tcPr>
            <w:tcW w:w="1138" w:type="dxa"/>
            <w:shd w:val="clear" w:color="auto" w:fill="D9D9D9" w:themeFill="background1" w:themeFillShade="D9"/>
            <w:tcMar>
              <w:top w:w="0" w:type="dxa"/>
              <w:left w:w="108" w:type="dxa"/>
              <w:bottom w:w="0" w:type="dxa"/>
              <w:right w:w="108" w:type="dxa"/>
            </w:tcMar>
            <w:vAlign w:val="center"/>
          </w:tcPr>
          <w:p w14:paraId="4D3809D6" w14:textId="77777777" w:rsidR="002E2C6D" w:rsidRPr="00C913A2" w:rsidRDefault="002E2C6D" w:rsidP="00A275D4">
            <w:pPr>
              <w:pStyle w:val="Tablehead"/>
            </w:pPr>
            <w:r w:rsidRPr="00C913A2">
              <w:t>2019</w:t>
            </w:r>
          </w:p>
        </w:tc>
        <w:tc>
          <w:tcPr>
            <w:tcW w:w="1138" w:type="dxa"/>
            <w:shd w:val="clear" w:color="auto" w:fill="D9D9D9" w:themeFill="background1" w:themeFillShade="D9"/>
            <w:tcMar>
              <w:top w:w="0" w:type="dxa"/>
              <w:left w:w="108" w:type="dxa"/>
              <w:bottom w:w="0" w:type="dxa"/>
              <w:right w:w="108" w:type="dxa"/>
            </w:tcMar>
            <w:vAlign w:val="center"/>
          </w:tcPr>
          <w:p w14:paraId="79DE2FE7" w14:textId="77777777" w:rsidR="002E2C6D" w:rsidRPr="00C913A2" w:rsidRDefault="002E2C6D" w:rsidP="00A275D4">
            <w:pPr>
              <w:pStyle w:val="Tablehead"/>
            </w:pPr>
            <w:r w:rsidRPr="00C913A2">
              <w:t>2020</w:t>
            </w:r>
          </w:p>
        </w:tc>
        <w:tc>
          <w:tcPr>
            <w:tcW w:w="1138" w:type="dxa"/>
            <w:shd w:val="clear" w:color="auto" w:fill="D9D9D9" w:themeFill="background1" w:themeFillShade="D9"/>
            <w:tcMar>
              <w:top w:w="0" w:type="dxa"/>
              <w:left w:w="108" w:type="dxa"/>
              <w:bottom w:w="0" w:type="dxa"/>
              <w:right w:w="108" w:type="dxa"/>
            </w:tcMar>
            <w:vAlign w:val="center"/>
          </w:tcPr>
          <w:p w14:paraId="5BE0B6F7" w14:textId="77777777" w:rsidR="002E2C6D" w:rsidRPr="00C913A2" w:rsidRDefault="002E2C6D" w:rsidP="00A275D4">
            <w:pPr>
              <w:pStyle w:val="Tablehead"/>
            </w:pPr>
            <w:r w:rsidRPr="00C913A2">
              <w:t>2021</w:t>
            </w:r>
          </w:p>
        </w:tc>
        <w:tc>
          <w:tcPr>
            <w:tcW w:w="1095" w:type="dxa"/>
            <w:shd w:val="clear" w:color="auto" w:fill="D9D9D9" w:themeFill="background1" w:themeFillShade="D9"/>
            <w:vAlign w:val="center"/>
          </w:tcPr>
          <w:p w14:paraId="56D7F9EC" w14:textId="77777777" w:rsidR="002E2C6D" w:rsidRPr="00C913A2" w:rsidRDefault="002E2C6D" w:rsidP="00A275D4">
            <w:pPr>
              <w:pStyle w:val="Tablehead"/>
            </w:pPr>
            <w:r w:rsidRPr="00C913A2">
              <w:t>2022</w:t>
            </w:r>
          </w:p>
        </w:tc>
        <w:tc>
          <w:tcPr>
            <w:tcW w:w="1062" w:type="dxa"/>
            <w:shd w:val="clear" w:color="auto" w:fill="D9D9D9" w:themeFill="background1" w:themeFillShade="D9"/>
          </w:tcPr>
          <w:p w14:paraId="369BA48F" w14:textId="77777777" w:rsidR="002E2C6D" w:rsidRPr="00C913A2" w:rsidRDefault="002E2C6D" w:rsidP="00A275D4">
            <w:pPr>
              <w:pStyle w:val="Tablehead"/>
            </w:pPr>
            <w:r w:rsidRPr="00C913A2">
              <w:t>2023</w:t>
            </w:r>
          </w:p>
        </w:tc>
        <w:tc>
          <w:tcPr>
            <w:tcW w:w="1062" w:type="dxa"/>
            <w:shd w:val="clear" w:color="auto" w:fill="D9D9D9" w:themeFill="background1" w:themeFillShade="D9"/>
          </w:tcPr>
          <w:p w14:paraId="0C04C2EA" w14:textId="77777777" w:rsidR="002E2C6D" w:rsidRPr="00C913A2" w:rsidRDefault="002E2C6D" w:rsidP="00A275D4">
            <w:pPr>
              <w:pStyle w:val="Tablehead"/>
            </w:pPr>
            <w:r w:rsidRPr="00C913A2">
              <w:t>2024</w:t>
            </w:r>
          </w:p>
        </w:tc>
        <w:tc>
          <w:tcPr>
            <w:tcW w:w="970" w:type="dxa"/>
            <w:shd w:val="clear" w:color="auto" w:fill="D9D9D9" w:themeFill="background1" w:themeFillShade="D9"/>
          </w:tcPr>
          <w:p w14:paraId="2DB650FE" w14:textId="77777777" w:rsidR="002E2C6D" w:rsidRPr="00C913A2" w:rsidRDefault="002E2C6D" w:rsidP="00A275D4">
            <w:pPr>
              <w:pStyle w:val="Tablehead"/>
            </w:pPr>
            <w:r>
              <w:t>2025*</w:t>
            </w:r>
          </w:p>
        </w:tc>
      </w:tr>
      <w:tr w:rsidR="002E2C6D" w:rsidRPr="00B42760" w14:paraId="29DD8037" w14:textId="77777777" w:rsidTr="00644DAE">
        <w:trPr>
          <w:jc w:val="center"/>
        </w:trPr>
        <w:tc>
          <w:tcPr>
            <w:tcW w:w="1458" w:type="dxa"/>
            <w:tcMar>
              <w:top w:w="0" w:type="dxa"/>
              <w:left w:w="108" w:type="dxa"/>
              <w:bottom w:w="0" w:type="dxa"/>
              <w:right w:w="108" w:type="dxa"/>
            </w:tcMar>
            <w:vAlign w:val="center"/>
            <w:hideMark/>
          </w:tcPr>
          <w:p w14:paraId="3681533A" w14:textId="77777777" w:rsidR="002E2C6D" w:rsidRPr="00B42760" w:rsidRDefault="002E2C6D" w:rsidP="00A275D4">
            <w:pPr>
              <w:pStyle w:val="Tabletext"/>
            </w:pPr>
            <w:r w:rsidRPr="00B42760">
              <w:t>Arabic</w:t>
            </w:r>
          </w:p>
        </w:tc>
        <w:tc>
          <w:tcPr>
            <w:tcW w:w="1138" w:type="dxa"/>
            <w:tcMar>
              <w:top w:w="0" w:type="dxa"/>
              <w:left w:w="108" w:type="dxa"/>
              <w:bottom w:w="0" w:type="dxa"/>
              <w:right w:w="108" w:type="dxa"/>
            </w:tcMar>
            <w:vAlign w:val="center"/>
            <w:hideMark/>
          </w:tcPr>
          <w:p w14:paraId="1A62B61C" w14:textId="77777777" w:rsidR="002E2C6D" w:rsidRPr="00B42760" w:rsidRDefault="002E2C6D" w:rsidP="00C67622">
            <w:pPr>
              <w:pStyle w:val="Tabletext"/>
              <w:ind w:right="227"/>
              <w:jc w:val="right"/>
            </w:pPr>
            <w:r w:rsidRPr="00B42760">
              <w:t>8 892</w:t>
            </w:r>
          </w:p>
        </w:tc>
        <w:tc>
          <w:tcPr>
            <w:tcW w:w="1138" w:type="dxa"/>
            <w:tcMar>
              <w:top w:w="0" w:type="dxa"/>
              <w:left w:w="108" w:type="dxa"/>
              <w:bottom w:w="0" w:type="dxa"/>
              <w:right w:w="108" w:type="dxa"/>
            </w:tcMar>
            <w:vAlign w:val="center"/>
            <w:hideMark/>
          </w:tcPr>
          <w:p w14:paraId="57F10213" w14:textId="77777777" w:rsidR="002E2C6D" w:rsidRPr="00B42760" w:rsidRDefault="002E2C6D" w:rsidP="00C67622">
            <w:pPr>
              <w:pStyle w:val="Tabletext"/>
              <w:ind w:right="227"/>
              <w:jc w:val="right"/>
            </w:pPr>
            <w:r w:rsidRPr="00B42760">
              <w:t>8 400</w:t>
            </w:r>
          </w:p>
        </w:tc>
        <w:tc>
          <w:tcPr>
            <w:tcW w:w="1138" w:type="dxa"/>
            <w:tcMar>
              <w:top w:w="0" w:type="dxa"/>
              <w:left w:w="108" w:type="dxa"/>
              <w:bottom w:w="0" w:type="dxa"/>
              <w:right w:w="108" w:type="dxa"/>
            </w:tcMar>
            <w:vAlign w:val="center"/>
            <w:hideMark/>
          </w:tcPr>
          <w:p w14:paraId="53E96BB1" w14:textId="77777777" w:rsidR="002E2C6D" w:rsidRPr="00B42760" w:rsidRDefault="002E2C6D" w:rsidP="00C67622">
            <w:pPr>
              <w:pStyle w:val="Tabletext"/>
              <w:ind w:right="227"/>
              <w:jc w:val="right"/>
            </w:pPr>
            <w:r w:rsidRPr="00B42760">
              <w:t>7 843</w:t>
            </w:r>
          </w:p>
        </w:tc>
        <w:tc>
          <w:tcPr>
            <w:tcW w:w="1095" w:type="dxa"/>
            <w:vAlign w:val="center"/>
          </w:tcPr>
          <w:p w14:paraId="3CD54882" w14:textId="77777777" w:rsidR="002E2C6D" w:rsidRPr="00B42760" w:rsidRDefault="002E2C6D" w:rsidP="00C67622">
            <w:pPr>
              <w:pStyle w:val="Tabletext"/>
              <w:ind w:right="227"/>
              <w:jc w:val="right"/>
            </w:pPr>
            <w:r w:rsidRPr="00B42760">
              <w:t>8 962</w:t>
            </w:r>
          </w:p>
        </w:tc>
        <w:tc>
          <w:tcPr>
            <w:tcW w:w="1062" w:type="dxa"/>
          </w:tcPr>
          <w:p w14:paraId="5D4B6995" w14:textId="77777777" w:rsidR="002E2C6D" w:rsidRPr="00B42760" w:rsidRDefault="002E2C6D" w:rsidP="00C67622">
            <w:pPr>
              <w:pStyle w:val="Tabletext"/>
              <w:ind w:right="227"/>
              <w:jc w:val="right"/>
            </w:pPr>
            <w:r w:rsidRPr="00B42760">
              <w:t>10 316</w:t>
            </w:r>
          </w:p>
        </w:tc>
        <w:tc>
          <w:tcPr>
            <w:tcW w:w="1062" w:type="dxa"/>
            <w:vAlign w:val="bottom"/>
          </w:tcPr>
          <w:p w14:paraId="311E6879" w14:textId="77777777" w:rsidR="002E2C6D" w:rsidRPr="00B42760" w:rsidRDefault="002E2C6D" w:rsidP="00C67622">
            <w:pPr>
              <w:pStyle w:val="Tabletext"/>
              <w:ind w:right="227"/>
              <w:jc w:val="right"/>
            </w:pPr>
            <w:r w:rsidRPr="00B42760">
              <w:t>8 246</w:t>
            </w:r>
          </w:p>
        </w:tc>
        <w:tc>
          <w:tcPr>
            <w:tcW w:w="970" w:type="dxa"/>
          </w:tcPr>
          <w:p w14:paraId="769AC0A5" w14:textId="77777777" w:rsidR="002E2C6D" w:rsidRPr="00B42760" w:rsidRDefault="002E2C6D" w:rsidP="00C67622">
            <w:pPr>
              <w:pStyle w:val="Tabletext"/>
              <w:ind w:right="227"/>
              <w:jc w:val="right"/>
            </w:pPr>
            <w:r w:rsidRPr="00B42760">
              <w:t>7 155</w:t>
            </w:r>
          </w:p>
        </w:tc>
      </w:tr>
      <w:tr w:rsidR="002E2C6D" w:rsidRPr="00B42760" w14:paraId="5911E628" w14:textId="77777777" w:rsidTr="00644DAE">
        <w:trPr>
          <w:jc w:val="center"/>
        </w:trPr>
        <w:tc>
          <w:tcPr>
            <w:tcW w:w="1458" w:type="dxa"/>
            <w:tcMar>
              <w:top w:w="0" w:type="dxa"/>
              <w:left w:w="108" w:type="dxa"/>
              <w:bottom w:w="0" w:type="dxa"/>
              <w:right w:w="108" w:type="dxa"/>
            </w:tcMar>
            <w:vAlign w:val="center"/>
            <w:hideMark/>
          </w:tcPr>
          <w:p w14:paraId="318C84A4" w14:textId="77777777" w:rsidR="002E2C6D" w:rsidRPr="00B42760" w:rsidRDefault="002E2C6D" w:rsidP="00A275D4">
            <w:pPr>
              <w:pStyle w:val="Tabletext"/>
            </w:pPr>
            <w:r w:rsidRPr="00B42760">
              <w:t>Chinese</w:t>
            </w:r>
          </w:p>
        </w:tc>
        <w:tc>
          <w:tcPr>
            <w:tcW w:w="1138" w:type="dxa"/>
            <w:tcMar>
              <w:top w:w="0" w:type="dxa"/>
              <w:left w:w="108" w:type="dxa"/>
              <w:bottom w:w="0" w:type="dxa"/>
              <w:right w:w="108" w:type="dxa"/>
            </w:tcMar>
            <w:vAlign w:val="center"/>
            <w:hideMark/>
          </w:tcPr>
          <w:p w14:paraId="76C94611" w14:textId="77777777" w:rsidR="002E2C6D" w:rsidRPr="00B42760" w:rsidRDefault="002E2C6D" w:rsidP="00C67622">
            <w:pPr>
              <w:pStyle w:val="Tabletext"/>
              <w:ind w:right="227"/>
              <w:jc w:val="right"/>
            </w:pPr>
            <w:r w:rsidRPr="00B42760">
              <w:t>9 030</w:t>
            </w:r>
          </w:p>
        </w:tc>
        <w:tc>
          <w:tcPr>
            <w:tcW w:w="1138" w:type="dxa"/>
            <w:tcMar>
              <w:top w:w="0" w:type="dxa"/>
              <w:left w:w="108" w:type="dxa"/>
              <w:bottom w:w="0" w:type="dxa"/>
              <w:right w:w="108" w:type="dxa"/>
            </w:tcMar>
            <w:vAlign w:val="center"/>
            <w:hideMark/>
          </w:tcPr>
          <w:p w14:paraId="2291E6C0" w14:textId="77777777" w:rsidR="002E2C6D" w:rsidRPr="00B42760" w:rsidRDefault="002E2C6D" w:rsidP="00C67622">
            <w:pPr>
              <w:pStyle w:val="Tabletext"/>
              <w:ind w:right="227"/>
              <w:jc w:val="right"/>
            </w:pPr>
            <w:r w:rsidRPr="00B42760">
              <w:t>8 818</w:t>
            </w:r>
          </w:p>
        </w:tc>
        <w:tc>
          <w:tcPr>
            <w:tcW w:w="1138" w:type="dxa"/>
            <w:tcMar>
              <w:top w:w="0" w:type="dxa"/>
              <w:left w:w="108" w:type="dxa"/>
              <w:bottom w:w="0" w:type="dxa"/>
              <w:right w:w="108" w:type="dxa"/>
            </w:tcMar>
            <w:vAlign w:val="center"/>
            <w:hideMark/>
          </w:tcPr>
          <w:p w14:paraId="524E0EDE" w14:textId="77777777" w:rsidR="002E2C6D" w:rsidRPr="00B42760" w:rsidRDefault="002E2C6D" w:rsidP="00C67622">
            <w:pPr>
              <w:pStyle w:val="Tabletext"/>
              <w:ind w:right="227"/>
              <w:jc w:val="right"/>
            </w:pPr>
            <w:r w:rsidRPr="00B42760">
              <w:t>7 717</w:t>
            </w:r>
          </w:p>
        </w:tc>
        <w:tc>
          <w:tcPr>
            <w:tcW w:w="1095" w:type="dxa"/>
            <w:vAlign w:val="center"/>
          </w:tcPr>
          <w:p w14:paraId="179D408E" w14:textId="77777777" w:rsidR="002E2C6D" w:rsidRPr="00B42760" w:rsidRDefault="002E2C6D" w:rsidP="00C67622">
            <w:pPr>
              <w:pStyle w:val="Tabletext"/>
              <w:ind w:right="227"/>
              <w:jc w:val="right"/>
            </w:pPr>
            <w:r w:rsidRPr="00B42760">
              <w:t>9 240</w:t>
            </w:r>
          </w:p>
        </w:tc>
        <w:tc>
          <w:tcPr>
            <w:tcW w:w="1062" w:type="dxa"/>
          </w:tcPr>
          <w:p w14:paraId="06C23C44" w14:textId="77777777" w:rsidR="002E2C6D" w:rsidRPr="00B42760" w:rsidRDefault="002E2C6D" w:rsidP="00C67622">
            <w:pPr>
              <w:pStyle w:val="Tabletext"/>
              <w:ind w:right="227"/>
              <w:jc w:val="right"/>
            </w:pPr>
            <w:r w:rsidRPr="00B42760">
              <w:t>9 680</w:t>
            </w:r>
          </w:p>
        </w:tc>
        <w:tc>
          <w:tcPr>
            <w:tcW w:w="1062" w:type="dxa"/>
            <w:vAlign w:val="bottom"/>
          </w:tcPr>
          <w:p w14:paraId="648EA46A" w14:textId="77777777" w:rsidR="002E2C6D" w:rsidRPr="00B42760" w:rsidRDefault="002E2C6D" w:rsidP="00C67622">
            <w:pPr>
              <w:pStyle w:val="Tabletext"/>
              <w:ind w:right="227"/>
              <w:jc w:val="right"/>
            </w:pPr>
            <w:r w:rsidRPr="00B42760">
              <w:t>9 030</w:t>
            </w:r>
          </w:p>
        </w:tc>
        <w:tc>
          <w:tcPr>
            <w:tcW w:w="970" w:type="dxa"/>
          </w:tcPr>
          <w:p w14:paraId="4F465AB0" w14:textId="77777777" w:rsidR="002E2C6D" w:rsidRPr="00B42760" w:rsidRDefault="002E2C6D" w:rsidP="00C67622">
            <w:pPr>
              <w:pStyle w:val="Tabletext"/>
              <w:ind w:right="227"/>
              <w:jc w:val="right"/>
            </w:pPr>
            <w:r w:rsidRPr="00B42760">
              <w:t>7 595</w:t>
            </w:r>
          </w:p>
        </w:tc>
      </w:tr>
      <w:tr w:rsidR="002E2C6D" w:rsidRPr="00B42760" w14:paraId="5CAAF82B" w14:textId="77777777" w:rsidTr="00644DAE">
        <w:trPr>
          <w:jc w:val="center"/>
        </w:trPr>
        <w:tc>
          <w:tcPr>
            <w:tcW w:w="1458" w:type="dxa"/>
            <w:tcMar>
              <w:top w:w="0" w:type="dxa"/>
              <w:left w:w="108" w:type="dxa"/>
              <w:bottom w:w="0" w:type="dxa"/>
              <w:right w:w="108" w:type="dxa"/>
            </w:tcMar>
            <w:vAlign w:val="center"/>
            <w:hideMark/>
          </w:tcPr>
          <w:p w14:paraId="1EB76CAB" w14:textId="77777777" w:rsidR="002E2C6D" w:rsidRPr="00B42760" w:rsidRDefault="002E2C6D" w:rsidP="00A275D4">
            <w:pPr>
              <w:pStyle w:val="Tabletext"/>
            </w:pPr>
            <w:r w:rsidRPr="00B42760">
              <w:t>English</w:t>
            </w:r>
          </w:p>
        </w:tc>
        <w:tc>
          <w:tcPr>
            <w:tcW w:w="1138" w:type="dxa"/>
            <w:tcMar>
              <w:top w:w="0" w:type="dxa"/>
              <w:left w:w="108" w:type="dxa"/>
              <w:bottom w:w="0" w:type="dxa"/>
              <w:right w:w="108" w:type="dxa"/>
            </w:tcMar>
            <w:vAlign w:val="center"/>
            <w:hideMark/>
          </w:tcPr>
          <w:p w14:paraId="7DD09151" w14:textId="77777777" w:rsidR="002E2C6D" w:rsidRPr="00B42760" w:rsidRDefault="002E2C6D" w:rsidP="00C67622">
            <w:pPr>
              <w:pStyle w:val="Tabletext"/>
              <w:ind w:right="227"/>
              <w:jc w:val="right"/>
            </w:pPr>
            <w:r w:rsidRPr="00B42760">
              <w:t>2 044</w:t>
            </w:r>
          </w:p>
        </w:tc>
        <w:tc>
          <w:tcPr>
            <w:tcW w:w="1138" w:type="dxa"/>
            <w:tcMar>
              <w:top w:w="0" w:type="dxa"/>
              <w:left w:w="108" w:type="dxa"/>
              <w:bottom w:w="0" w:type="dxa"/>
              <w:right w:w="108" w:type="dxa"/>
            </w:tcMar>
            <w:vAlign w:val="center"/>
            <w:hideMark/>
          </w:tcPr>
          <w:p w14:paraId="4563CF48" w14:textId="77777777" w:rsidR="002E2C6D" w:rsidRPr="00B42760" w:rsidRDefault="002E2C6D" w:rsidP="00C67622">
            <w:pPr>
              <w:pStyle w:val="Tabletext"/>
              <w:ind w:right="227"/>
              <w:jc w:val="right"/>
            </w:pPr>
            <w:r w:rsidRPr="00B42760">
              <w:t>1 827</w:t>
            </w:r>
          </w:p>
        </w:tc>
        <w:tc>
          <w:tcPr>
            <w:tcW w:w="1138" w:type="dxa"/>
            <w:tcMar>
              <w:top w:w="0" w:type="dxa"/>
              <w:left w:w="108" w:type="dxa"/>
              <w:bottom w:w="0" w:type="dxa"/>
              <w:right w:w="108" w:type="dxa"/>
            </w:tcMar>
            <w:vAlign w:val="center"/>
            <w:hideMark/>
          </w:tcPr>
          <w:p w14:paraId="2113C491" w14:textId="77777777" w:rsidR="002E2C6D" w:rsidRPr="00B42760" w:rsidRDefault="002E2C6D" w:rsidP="00C67622">
            <w:pPr>
              <w:pStyle w:val="Tabletext"/>
              <w:ind w:right="227"/>
              <w:jc w:val="right"/>
            </w:pPr>
            <w:r w:rsidRPr="00B42760">
              <w:t>1 608</w:t>
            </w:r>
          </w:p>
        </w:tc>
        <w:tc>
          <w:tcPr>
            <w:tcW w:w="1095" w:type="dxa"/>
            <w:vAlign w:val="center"/>
          </w:tcPr>
          <w:p w14:paraId="0E68A620" w14:textId="77777777" w:rsidR="002E2C6D" w:rsidRPr="00B42760" w:rsidRDefault="002E2C6D" w:rsidP="00C67622">
            <w:pPr>
              <w:pStyle w:val="Tabletext"/>
              <w:ind w:right="227"/>
              <w:jc w:val="right"/>
            </w:pPr>
            <w:r w:rsidRPr="00B42760">
              <w:t>1 339</w:t>
            </w:r>
          </w:p>
        </w:tc>
        <w:tc>
          <w:tcPr>
            <w:tcW w:w="1062" w:type="dxa"/>
          </w:tcPr>
          <w:p w14:paraId="5FB9DCFC" w14:textId="77777777" w:rsidR="002E2C6D" w:rsidRPr="00B42760" w:rsidRDefault="002E2C6D" w:rsidP="00C67622">
            <w:pPr>
              <w:pStyle w:val="Tabletext"/>
              <w:ind w:right="227"/>
              <w:jc w:val="right"/>
            </w:pPr>
            <w:r w:rsidRPr="00B42760">
              <w:t>1 651</w:t>
            </w:r>
          </w:p>
        </w:tc>
        <w:tc>
          <w:tcPr>
            <w:tcW w:w="1062" w:type="dxa"/>
            <w:vAlign w:val="bottom"/>
          </w:tcPr>
          <w:p w14:paraId="785F94B2" w14:textId="77777777" w:rsidR="002E2C6D" w:rsidRPr="00B42760" w:rsidRDefault="002E2C6D" w:rsidP="00C67622">
            <w:pPr>
              <w:pStyle w:val="Tabletext"/>
              <w:ind w:right="227"/>
              <w:jc w:val="right"/>
            </w:pPr>
            <w:r w:rsidRPr="00B42760">
              <w:t>1 354</w:t>
            </w:r>
          </w:p>
        </w:tc>
        <w:tc>
          <w:tcPr>
            <w:tcW w:w="970" w:type="dxa"/>
          </w:tcPr>
          <w:p w14:paraId="05D8791D" w14:textId="77777777" w:rsidR="002E2C6D" w:rsidRPr="00B42760" w:rsidRDefault="002E2C6D" w:rsidP="00C67622">
            <w:pPr>
              <w:pStyle w:val="Tabletext"/>
              <w:ind w:right="227"/>
              <w:jc w:val="right"/>
            </w:pPr>
            <w:r w:rsidRPr="00B42760">
              <w:t>932</w:t>
            </w:r>
          </w:p>
        </w:tc>
      </w:tr>
      <w:tr w:rsidR="002E2C6D" w:rsidRPr="00B42760" w14:paraId="67485B0A" w14:textId="77777777" w:rsidTr="00644DAE">
        <w:trPr>
          <w:jc w:val="center"/>
        </w:trPr>
        <w:tc>
          <w:tcPr>
            <w:tcW w:w="1458" w:type="dxa"/>
            <w:tcMar>
              <w:top w:w="0" w:type="dxa"/>
              <w:left w:w="108" w:type="dxa"/>
              <w:bottom w:w="0" w:type="dxa"/>
              <w:right w:w="108" w:type="dxa"/>
            </w:tcMar>
            <w:vAlign w:val="center"/>
            <w:hideMark/>
          </w:tcPr>
          <w:p w14:paraId="25FF7106" w14:textId="77777777" w:rsidR="002E2C6D" w:rsidRPr="00B42760" w:rsidRDefault="002E2C6D" w:rsidP="00A275D4">
            <w:pPr>
              <w:pStyle w:val="Tabletext"/>
            </w:pPr>
            <w:r w:rsidRPr="00B42760">
              <w:t>French</w:t>
            </w:r>
          </w:p>
        </w:tc>
        <w:tc>
          <w:tcPr>
            <w:tcW w:w="1138" w:type="dxa"/>
            <w:tcMar>
              <w:top w:w="0" w:type="dxa"/>
              <w:left w:w="108" w:type="dxa"/>
              <w:bottom w:w="0" w:type="dxa"/>
              <w:right w:w="108" w:type="dxa"/>
            </w:tcMar>
            <w:vAlign w:val="center"/>
            <w:hideMark/>
          </w:tcPr>
          <w:p w14:paraId="539FC021" w14:textId="77777777" w:rsidR="002E2C6D" w:rsidRPr="00B42760" w:rsidRDefault="002E2C6D" w:rsidP="00C67622">
            <w:pPr>
              <w:pStyle w:val="Tabletext"/>
              <w:ind w:right="227"/>
              <w:jc w:val="right"/>
            </w:pPr>
            <w:r w:rsidRPr="00B42760">
              <w:t>10 173</w:t>
            </w:r>
          </w:p>
        </w:tc>
        <w:tc>
          <w:tcPr>
            <w:tcW w:w="1138" w:type="dxa"/>
            <w:tcMar>
              <w:top w:w="0" w:type="dxa"/>
              <w:left w:w="108" w:type="dxa"/>
              <w:bottom w:w="0" w:type="dxa"/>
              <w:right w:w="108" w:type="dxa"/>
            </w:tcMar>
            <w:vAlign w:val="center"/>
            <w:hideMark/>
          </w:tcPr>
          <w:p w14:paraId="329AA0BC" w14:textId="77777777" w:rsidR="002E2C6D" w:rsidRPr="00B42760" w:rsidRDefault="002E2C6D" w:rsidP="00C67622">
            <w:pPr>
              <w:pStyle w:val="Tabletext"/>
              <w:ind w:right="227"/>
              <w:jc w:val="right"/>
            </w:pPr>
            <w:r w:rsidRPr="00B42760">
              <w:t>8 811</w:t>
            </w:r>
          </w:p>
        </w:tc>
        <w:tc>
          <w:tcPr>
            <w:tcW w:w="1138" w:type="dxa"/>
            <w:tcMar>
              <w:top w:w="0" w:type="dxa"/>
              <w:left w:w="108" w:type="dxa"/>
              <w:bottom w:w="0" w:type="dxa"/>
              <w:right w:w="108" w:type="dxa"/>
            </w:tcMar>
            <w:vAlign w:val="center"/>
            <w:hideMark/>
          </w:tcPr>
          <w:p w14:paraId="7115119A" w14:textId="77777777" w:rsidR="002E2C6D" w:rsidRPr="00B42760" w:rsidRDefault="002E2C6D" w:rsidP="00C67622">
            <w:pPr>
              <w:pStyle w:val="Tabletext"/>
              <w:ind w:right="227"/>
              <w:jc w:val="right"/>
            </w:pPr>
            <w:r w:rsidRPr="00B42760">
              <w:t>8 531</w:t>
            </w:r>
          </w:p>
        </w:tc>
        <w:tc>
          <w:tcPr>
            <w:tcW w:w="1095" w:type="dxa"/>
            <w:vAlign w:val="center"/>
          </w:tcPr>
          <w:p w14:paraId="505141D2" w14:textId="77777777" w:rsidR="002E2C6D" w:rsidRPr="00B42760" w:rsidRDefault="002E2C6D" w:rsidP="00C67622">
            <w:pPr>
              <w:pStyle w:val="Tabletext"/>
              <w:ind w:right="227"/>
              <w:jc w:val="right"/>
            </w:pPr>
            <w:r w:rsidRPr="00B42760">
              <w:t>9 800</w:t>
            </w:r>
          </w:p>
        </w:tc>
        <w:tc>
          <w:tcPr>
            <w:tcW w:w="1062" w:type="dxa"/>
          </w:tcPr>
          <w:p w14:paraId="5856FF50" w14:textId="77777777" w:rsidR="002E2C6D" w:rsidRPr="00B42760" w:rsidRDefault="002E2C6D" w:rsidP="00C67622">
            <w:pPr>
              <w:pStyle w:val="Tabletext"/>
              <w:ind w:right="227"/>
              <w:jc w:val="right"/>
            </w:pPr>
            <w:r w:rsidRPr="00B42760">
              <w:t>10 601</w:t>
            </w:r>
          </w:p>
        </w:tc>
        <w:tc>
          <w:tcPr>
            <w:tcW w:w="1062" w:type="dxa"/>
            <w:vAlign w:val="bottom"/>
          </w:tcPr>
          <w:p w14:paraId="1C8D7ABA" w14:textId="77777777" w:rsidR="002E2C6D" w:rsidRPr="00B42760" w:rsidRDefault="002E2C6D" w:rsidP="00C67622">
            <w:pPr>
              <w:pStyle w:val="Tabletext"/>
              <w:ind w:right="227"/>
              <w:jc w:val="right"/>
            </w:pPr>
            <w:r w:rsidRPr="00B42760">
              <w:t>8 424</w:t>
            </w:r>
          </w:p>
        </w:tc>
        <w:tc>
          <w:tcPr>
            <w:tcW w:w="970" w:type="dxa"/>
          </w:tcPr>
          <w:p w14:paraId="7AAA032A" w14:textId="77777777" w:rsidR="002E2C6D" w:rsidRPr="00B42760" w:rsidRDefault="002E2C6D" w:rsidP="00C67622">
            <w:pPr>
              <w:pStyle w:val="Tabletext"/>
              <w:ind w:right="227"/>
              <w:jc w:val="right"/>
            </w:pPr>
            <w:r w:rsidRPr="00B42760">
              <w:t>7 411</w:t>
            </w:r>
          </w:p>
        </w:tc>
      </w:tr>
      <w:tr w:rsidR="002E2C6D" w:rsidRPr="00B42760" w14:paraId="5AE4A822" w14:textId="77777777" w:rsidTr="00644DAE">
        <w:trPr>
          <w:jc w:val="center"/>
        </w:trPr>
        <w:tc>
          <w:tcPr>
            <w:tcW w:w="1458" w:type="dxa"/>
            <w:tcMar>
              <w:top w:w="0" w:type="dxa"/>
              <w:left w:w="108" w:type="dxa"/>
              <w:bottom w:w="0" w:type="dxa"/>
              <w:right w:w="108" w:type="dxa"/>
            </w:tcMar>
            <w:vAlign w:val="center"/>
            <w:hideMark/>
          </w:tcPr>
          <w:p w14:paraId="5DD98757" w14:textId="77777777" w:rsidR="002E2C6D" w:rsidRPr="00B42760" w:rsidRDefault="002E2C6D" w:rsidP="00A275D4">
            <w:pPr>
              <w:pStyle w:val="Tabletext"/>
            </w:pPr>
            <w:r w:rsidRPr="00B42760">
              <w:t>Russian</w:t>
            </w:r>
          </w:p>
        </w:tc>
        <w:tc>
          <w:tcPr>
            <w:tcW w:w="1138" w:type="dxa"/>
            <w:tcMar>
              <w:top w:w="0" w:type="dxa"/>
              <w:left w:w="108" w:type="dxa"/>
              <w:bottom w:w="0" w:type="dxa"/>
              <w:right w:w="108" w:type="dxa"/>
            </w:tcMar>
            <w:vAlign w:val="center"/>
            <w:hideMark/>
          </w:tcPr>
          <w:p w14:paraId="7D2A0658" w14:textId="77777777" w:rsidR="002E2C6D" w:rsidRPr="00B42760" w:rsidRDefault="002E2C6D" w:rsidP="00C67622">
            <w:pPr>
              <w:pStyle w:val="Tabletext"/>
              <w:ind w:right="227"/>
              <w:jc w:val="right"/>
            </w:pPr>
            <w:r w:rsidRPr="00B42760">
              <w:t>8 706</w:t>
            </w:r>
          </w:p>
        </w:tc>
        <w:tc>
          <w:tcPr>
            <w:tcW w:w="1138" w:type="dxa"/>
            <w:tcMar>
              <w:top w:w="0" w:type="dxa"/>
              <w:left w:w="108" w:type="dxa"/>
              <w:bottom w:w="0" w:type="dxa"/>
              <w:right w:w="108" w:type="dxa"/>
            </w:tcMar>
            <w:vAlign w:val="center"/>
            <w:hideMark/>
          </w:tcPr>
          <w:p w14:paraId="504253D5" w14:textId="77777777" w:rsidR="002E2C6D" w:rsidRPr="00B42760" w:rsidRDefault="002E2C6D" w:rsidP="00C67622">
            <w:pPr>
              <w:pStyle w:val="Tabletext"/>
              <w:ind w:right="227"/>
              <w:jc w:val="right"/>
            </w:pPr>
            <w:r w:rsidRPr="00B42760">
              <w:t>8 463</w:t>
            </w:r>
          </w:p>
        </w:tc>
        <w:tc>
          <w:tcPr>
            <w:tcW w:w="1138" w:type="dxa"/>
            <w:tcMar>
              <w:top w:w="0" w:type="dxa"/>
              <w:left w:w="108" w:type="dxa"/>
              <w:bottom w:w="0" w:type="dxa"/>
              <w:right w:w="108" w:type="dxa"/>
            </w:tcMar>
            <w:vAlign w:val="center"/>
            <w:hideMark/>
          </w:tcPr>
          <w:p w14:paraId="1B96E195" w14:textId="77777777" w:rsidR="002E2C6D" w:rsidRPr="00B42760" w:rsidRDefault="002E2C6D" w:rsidP="00C67622">
            <w:pPr>
              <w:pStyle w:val="Tabletext"/>
              <w:ind w:right="227"/>
              <w:jc w:val="right"/>
            </w:pPr>
            <w:r w:rsidRPr="00B42760">
              <w:t>7 501</w:t>
            </w:r>
          </w:p>
        </w:tc>
        <w:tc>
          <w:tcPr>
            <w:tcW w:w="1095" w:type="dxa"/>
            <w:vAlign w:val="center"/>
          </w:tcPr>
          <w:p w14:paraId="0658C462" w14:textId="77777777" w:rsidR="002E2C6D" w:rsidRPr="00B42760" w:rsidRDefault="002E2C6D" w:rsidP="00C67622">
            <w:pPr>
              <w:pStyle w:val="Tabletext"/>
              <w:ind w:right="227"/>
              <w:jc w:val="right"/>
            </w:pPr>
            <w:r w:rsidRPr="00B42760">
              <w:t>8 202</w:t>
            </w:r>
          </w:p>
        </w:tc>
        <w:tc>
          <w:tcPr>
            <w:tcW w:w="1062" w:type="dxa"/>
          </w:tcPr>
          <w:p w14:paraId="1672A05F" w14:textId="77777777" w:rsidR="002E2C6D" w:rsidRPr="00B42760" w:rsidRDefault="002E2C6D" w:rsidP="00C67622">
            <w:pPr>
              <w:pStyle w:val="Tabletext"/>
              <w:ind w:right="227"/>
              <w:jc w:val="right"/>
            </w:pPr>
            <w:r w:rsidRPr="00B42760">
              <w:t>9 691</w:t>
            </w:r>
          </w:p>
        </w:tc>
        <w:tc>
          <w:tcPr>
            <w:tcW w:w="1062" w:type="dxa"/>
            <w:vAlign w:val="bottom"/>
          </w:tcPr>
          <w:p w14:paraId="467F1BE7" w14:textId="77777777" w:rsidR="002E2C6D" w:rsidRPr="00B42760" w:rsidRDefault="002E2C6D" w:rsidP="00C67622">
            <w:pPr>
              <w:pStyle w:val="Tabletext"/>
              <w:ind w:right="227"/>
              <w:jc w:val="right"/>
            </w:pPr>
            <w:r w:rsidRPr="00B42760">
              <w:t>7 955</w:t>
            </w:r>
          </w:p>
        </w:tc>
        <w:tc>
          <w:tcPr>
            <w:tcW w:w="970" w:type="dxa"/>
          </w:tcPr>
          <w:p w14:paraId="155E3A06" w14:textId="77777777" w:rsidR="002E2C6D" w:rsidRPr="00B42760" w:rsidRDefault="002E2C6D" w:rsidP="00C67622">
            <w:pPr>
              <w:pStyle w:val="Tabletext"/>
              <w:ind w:right="227"/>
              <w:jc w:val="right"/>
            </w:pPr>
            <w:r w:rsidRPr="00B42760">
              <w:t>6 523</w:t>
            </w:r>
          </w:p>
        </w:tc>
      </w:tr>
      <w:tr w:rsidR="002E2C6D" w:rsidRPr="00B42760" w14:paraId="2959F381" w14:textId="77777777" w:rsidTr="00644DAE">
        <w:trPr>
          <w:jc w:val="center"/>
        </w:trPr>
        <w:tc>
          <w:tcPr>
            <w:tcW w:w="1458" w:type="dxa"/>
            <w:tcMar>
              <w:top w:w="0" w:type="dxa"/>
              <w:left w:w="108" w:type="dxa"/>
              <w:bottom w:w="0" w:type="dxa"/>
              <w:right w:w="108" w:type="dxa"/>
            </w:tcMar>
            <w:vAlign w:val="center"/>
          </w:tcPr>
          <w:p w14:paraId="111303C9" w14:textId="77777777" w:rsidR="002E2C6D" w:rsidRPr="00B42760" w:rsidRDefault="002E2C6D" w:rsidP="00A275D4">
            <w:pPr>
              <w:pStyle w:val="Tabletext"/>
            </w:pPr>
            <w:r w:rsidRPr="00B42760">
              <w:t>Spanish</w:t>
            </w:r>
          </w:p>
        </w:tc>
        <w:tc>
          <w:tcPr>
            <w:tcW w:w="1138" w:type="dxa"/>
            <w:tcMar>
              <w:top w:w="0" w:type="dxa"/>
              <w:left w:w="108" w:type="dxa"/>
              <w:bottom w:w="0" w:type="dxa"/>
              <w:right w:w="108" w:type="dxa"/>
            </w:tcMar>
            <w:vAlign w:val="center"/>
          </w:tcPr>
          <w:p w14:paraId="2184EAEC" w14:textId="77777777" w:rsidR="002E2C6D" w:rsidRPr="00B42760" w:rsidRDefault="002E2C6D" w:rsidP="00C67622">
            <w:pPr>
              <w:pStyle w:val="Tabletext"/>
              <w:ind w:right="227"/>
              <w:jc w:val="right"/>
            </w:pPr>
            <w:r w:rsidRPr="00B42760">
              <w:t>8 928</w:t>
            </w:r>
          </w:p>
        </w:tc>
        <w:tc>
          <w:tcPr>
            <w:tcW w:w="1138" w:type="dxa"/>
            <w:tcMar>
              <w:top w:w="0" w:type="dxa"/>
              <w:left w:w="108" w:type="dxa"/>
              <w:bottom w:w="0" w:type="dxa"/>
              <w:right w:w="108" w:type="dxa"/>
            </w:tcMar>
            <w:vAlign w:val="center"/>
          </w:tcPr>
          <w:p w14:paraId="03351C5B" w14:textId="77777777" w:rsidR="002E2C6D" w:rsidRPr="00B42760" w:rsidRDefault="002E2C6D" w:rsidP="00C67622">
            <w:pPr>
              <w:pStyle w:val="Tabletext"/>
              <w:ind w:right="227"/>
              <w:jc w:val="right"/>
            </w:pPr>
            <w:r w:rsidRPr="00B42760">
              <w:t>8 215</w:t>
            </w:r>
          </w:p>
        </w:tc>
        <w:tc>
          <w:tcPr>
            <w:tcW w:w="1138" w:type="dxa"/>
            <w:tcMar>
              <w:top w:w="0" w:type="dxa"/>
              <w:left w:w="108" w:type="dxa"/>
              <w:bottom w:w="0" w:type="dxa"/>
              <w:right w:w="108" w:type="dxa"/>
            </w:tcMar>
            <w:vAlign w:val="center"/>
          </w:tcPr>
          <w:p w14:paraId="278D8083" w14:textId="77777777" w:rsidR="002E2C6D" w:rsidRPr="00B42760" w:rsidRDefault="002E2C6D" w:rsidP="00C67622">
            <w:pPr>
              <w:pStyle w:val="Tabletext"/>
              <w:ind w:right="227"/>
              <w:jc w:val="right"/>
            </w:pPr>
            <w:r w:rsidRPr="00B42760">
              <w:t>8 072</w:t>
            </w:r>
          </w:p>
        </w:tc>
        <w:tc>
          <w:tcPr>
            <w:tcW w:w="1095" w:type="dxa"/>
            <w:vAlign w:val="center"/>
          </w:tcPr>
          <w:p w14:paraId="7A87F6EF" w14:textId="77777777" w:rsidR="002E2C6D" w:rsidRPr="00B42760" w:rsidRDefault="002E2C6D" w:rsidP="00C67622">
            <w:pPr>
              <w:pStyle w:val="Tabletext"/>
              <w:ind w:right="227"/>
              <w:jc w:val="right"/>
            </w:pPr>
            <w:r w:rsidRPr="00B42760">
              <w:t>9 174</w:t>
            </w:r>
          </w:p>
        </w:tc>
        <w:tc>
          <w:tcPr>
            <w:tcW w:w="1062" w:type="dxa"/>
          </w:tcPr>
          <w:p w14:paraId="4D191B65" w14:textId="77777777" w:rsidR="002E2C6D" w:rsidRPr="00B42760" w:rsidRDefault="002E2C6D" w:rsidP="00C67622">
            <w:pPr>
              <w:pStyle w:val="Tabletext"/>
              <w:ind w:right="227"/>
              <w:jc w:val="right"/>
            </w:pPr>
            <w:r w:rsidRPr="00B42760">
              <w:t>10 049</w:t>
            </w:r>
          </w:p>
        </w:tc>
        <w:tc>
          <w:tcPr>
            <w:tcW w:w="1062" w:type="dxa"/>
            <w:vAlign w:val="bottom"/>
          </w:tcPr>
          <w:p w14:paraId="573CD32C" w14:textId="77777777" w:rsidR="002E2C6D" w:rsidRPr="00B42760" w:rsidRDefault="002E2C6D" w:rsidP="00C67622">
            <w:pPr>
              <w:pStyle w:val="Tabletext"/>
              <w:ind w:right="227"/>
              <w:jc w:val="right"/>
            </w:pPr>
            <w:r w:rsidRPr="00B42760">
              <w:t>7 773</w:t>
            </w:r>
          </w:p>
        </w:tc>
        <w:tc>
          <w:tcPr>
            <w:tcW w:w="970" w:type="dxa"/>
          </w:tcPr>
          <w:p w14:paraId="537E24E3" w14:textId="77777777" w:rsidR="002E2C6D" w:rsidRPr="00B42760" w:rsidRDefault="002E2C6D" w:rsidP="00C67622">
            <w:pPr>
              <w:pStyle w:val="Tabletext"/>
              <w:ind w:right="227"/>
              <w:jc w:val="right"/>
            </w:pPr>
            <w:r w:rsidRPr="00B42760">
              <w:t>7 609</w:t>
            </w:r>
          </w:p>
        </w:tc>
      </w:tr>
      <w:tr w:rsidR="002E2C6D" w:rsidRPr="00C913A2" w14:paraId="01937C87" w14:textId="77777777" w:rsidTr="00644DAE">
        <w:trPr>
          <w:jc w:val="center"/>
        </w:trPr>
        <w:tc>
          <w:tcPr>
            <w:tcW w:w="1458" w:type="dxa"/>
            <w:tcMar>
              <w:top w:w="0" w:type="dxa"/>
              <w:left w:w="108" w:type="dxa"/>
              <w:bottom w:w="0" w:type="dxa"/>
              <w:right w:w="108" w:type="dxa"/>
            </w:tcMar>
            <w:vAlign w:val="center"/>
          </w:tcPr>
          <w:p w14:paraId="7ADF69EF" w14:textId="790D555E" w:rsidR="002E2C6D" w:rsidRPr="00C67622" w:rsidRDefault="002E2C6D" w:rsidP="00C67622">
            <w:pPr>
              <w:pStyle w:val="Tabletext"/>
              <w:jc w:val="right"/>
              <w:rPr>
                <w:b/>
                <w:bCs/>
              </w:rPr>
            </w:pPr>
            <w:r w:rsidRPr="00C67622">
              <w:rPr>
                <w:b/>
                <w:bCs/>
              </w:rPr>
              <w:t>TOTAL</w:t>
            </w:r>
            <w:r w:rsidR="00C67622">
              <w:rPr>
                <w:b/>
                <w:bCs/>
              </w:rPr>
              <w:t>:</w:t>
            </w:r>
          </w:p>
        </w:tc>
        <w:tc>
          <w:tcPr>
            <w:tcW w:w="1138" w:type="dxa"/>
            <w:tcMar>
              <w:top w:w="0" w:type="dxa"/>
              <w:left w:w="108" w:type="dxa"/>
              <w:bottom w:w="0" w:type="dxa"/>
              <w:right w:w="108" w:type="dxa"/>
            </w:tcMar>
            <w:vAlign w:val="center"/>
          </w:tcPr>
          <w:p w14:paraId="67F0005D" w14:textId="77777777" w:rsidR="002E2C6D" w:rsidRPr="00C67622" w:rsidRDefault="002E2C6D" w:rsidP="00C67622">
            <w:pPr>
              <w:pStyle w:val="Tabletext"/>
              <w:ind w:right="227"/>
              <w:jc w:val="right"/>
              <w:rPr>
                <w:b/>
                <w:bCs/>
              </w:rPr>
            </w:pPr>
            <w:r w:rsidRPr="00C67622">
              <w:rPr>
                <w:b/>
                <w:bCs/>
              </w:rPr>
              <w:t>47 773</w:t>
            </w:r>
          </w:p>
        </w:tc>
        <w:tc>
          <w:tcPr>
            <w:tcW w:w="1138" w:type="dxa"/>
            <w:tcMar>
              <w:top w:w="0" w:type="dxa"/>
              <w:left w:w="108" w:type="dxa"/>
              <w:bottom w:w="0" w:type="dxa"/>
              <w:right w:w="108" w:type="dxa"/>
            </w:tcMar>
            <w:vAlign w:val="center"/>
          </w:tcPr>
          <w:p w14:paraId="7D4AEA70" w14:textId="77777777" w:rsidR="002E2C6D" w:rsidRPr="00C67622" w:rsidRDefault="002E2C6D" w:rsidP="00C67622">
            <w:pPr>
              <w:pStyle w:val="Tabletext"/>
              <w:ind w:right="227"/>
              <w:jc w:val="right"/>
              <w:rPr>
                <w:b/>
                <w:bCs/>
              </w:rPr>
            </w:pPr>
            <w:r w:rsidRPr="00C67622">
              <w:rPr>
                <w:b/>
                <w:bCs/>
              </w:rPr>
              <w:t>44 534</w:t>
            </w:r>
          </w:p>
        </w:tc>
        <w:tc>
          <w:tcPr>
            <w:tcW w:w="1138" w:type="dxa"/>
            <w:tcMar>
              <w:top w:w="0" w:type="dxa"/>
              <w:left w:w="108" w:type="dxa"/>
              <w:bottom w:w="0" w:type="dxa"/>
              <w:right w:w="108" w:type="dxa"/>
            </w:tcMar>
            <w:vAlign w:val="center"/>
          </w:tcPr>
          <w:p w14:paraId="3E10D827" w14:textId="77777777" w:rsidR="002E2C6D" w:rsidRPr="00C67622" w:rsidRDefault="002E2C6D" w:rsidP="00C67622">
            <w:pPr>
              <w:pStyle w:val="Tabletext"/>
              <w:ind w:right="227"/>
              <w:jc w:val="right"/>
              <w:rPr>
                <w:b/>
                <w:bCs/>
              </w:rPr>
            </w:pPr>
            <w:r w:rsidRPr="00C67622">
              <w:rPr>
                <w:b/>
                <w:bCs/>
              </w:rPr>
              <w:t>41 272</w:t>
            </w:r>
          </w:p>
        </w:tc>
        <w:tc>
          <w:tcPr>
            <w:tcW w:w="1095" w:type="dxa"/>
            <w:vAlign w:val="center"/>
          </w:tcPr>
          <w:p w14:paraId="2741279C" w14:textId="77777777" w:rsidR="002E2C6D" w:rsidRPr="00C67622" w:rsidRDefault="002E2C6D" w:rsidP="00C67622">
            <w:pPr>
              <w:pStyle w:val="Tabletext"/>
              <w:ind w:right="227"/>
              <w:jc w:val="right"/>
              <w:rPr>
                <w:b/>
                <w:bCs/>
              </w:rPr>
            </w:pPr>
            <w:r w:rsidRPr="00C67622">
              <w:rPr>
                <w:b/>
                <w:bCs/>
              </w:rPr>
              <w:t>46 717</w:t>
            </w:r>
          </w:p>
        </w:tc>
        <w:tc>
          <w:tcPr>
            <w:tcW w:w="1062" w:type="dxa"/>
          </w:tcPr>
          <w:p w14:paraId="0999648A" w14:textId="77777777" w:rsidR="002E2C6D" w:rsidRPr="00C67622" w:rsidRDefault="002E2C6D" w:rsidP="00C67622">
            <w:pPr>
              <w:pStyle w:val="Tabletext"/>
              <w:ind w:right="227"/>
              <w:jc w:val="right"/>
              <w:rPr>
                <w:b/>
                <w:bCs/>
              </w:rPr>
            </w:pPr>
            <w:r w:rsidRPr="00C67622">
              <w:rPr>
                <w:b/>
                <w:bCs/>
              </w:rPr>
              <w:t>51 988</w:t>
            </w:r>
          </w:p>
        </w:tc>
        <w:tc>
          <w:tcPr>
            <w:tcW w:w="1062" w:type="dxa"/>
            <w:vAlign w:val="bottom"/>
          </w:tcPr>
          <w:p w14:paraId="5CB2C5F1" w14:textId="77777777" w:rsidR="002E2C6D" w:rsidRPr="00C67622" w:rsidRDefault="002E2C6D" w:rsidP="00C67622">
            <w:pPr>
              <w:pStyle w:val="Tabletext"/>
              <w:ind w:right="227"/>
              <w:jc w:val="right"/>
              <w:rPr>
                <w:b/>
                <w:bCs/>
              </w:rPr>
            </w:pPr>
            <w:r w:rsidRPr="00C67622">
              <w:rPr>
                <w:b/>
                <w:bCs/>
              </w:rPr>
              <w:t>42 784</w:t>
            </w:r>
          </w:p>
        </w:tc>
        <w:tc>
          <w:tcPr>
            <w:tcW w:w="970" w:type="dxa"/>
          </w:tcPr>
          <w:p w14:paraId="51609726" w14:textId="77777777" w:rsidR="002E2C6D" w:rsidRPr="00C67622" w:rsidRDefault="002E2C6D" w:rsidP="00C67622">
            <w:pPr>
              <w:pStyle w:val="Tabletext"/>
              <w:ind w:right="227"/>
              <w:jc w:val="right"/>
              <w:rPr>
                <w:b/>
                <w:bCs/>
              </w:rPr>
            </w:pPr>
            <w:r w:rsidRPr="00C67622">
              <w:rPr>
                <w:b/>
                <w:bCs/>
              </w:rPr>
              <w:t>37 225</w:t>
            </w:r>
          </w:p>
        </w:tc>
      </w:tr>
      <w:tr w:rsidR="00C67622" w:rsidRPr="00C913A2" w14:paraId="0FEBD4AA" w14:textId="77777777" w:rsidTr="00A63604">
        <w:trPr>
          <w:jc w:val="center"/>
        </w:trPr>
        <w:tc>
          <w:tcPr>
            <w:tcW w:w="9061" w:type="dxa"/>
            <w:gridSpan w:val="8"/>
            <w:tcMar>
              <w:top w:w="0" w:type="dxa"/>
              <w:left w:w="108" w:type="dxa"/>
              <w:bottom w:w="0" w:type="dxa"/>
              <w:right w:w="108" w:type="dxa"/>
            </w:tcMar>
            <w:vAlign w:val="center"/>
          </w:tcPr>
          <w:p w14:paraId="7109616F" w14:textId="5B2E4C9C" w:rsidR="00C67622" w:rsidRPr="00C67622" w:rsidRDefault="00C67622" w:rsidP="00C67622">
            <w:pPr>
              <w:pStyle w:val="Tablelegend"/>
            </w:pPr>
            <w:r w:rsidRPr="00DE65B9">
              <w:t>*</w:t>
            </w:r>
            <w:r>
              <w:tab/>
              <w:t xml:space="preserve">Data </w:t>
            </w:r>
            <w:r w:rsidRPr="00DE65B9">
              <w:t>as of 13.11.2025</w:t>
            </w:r>
            <w:r>
              <w:t>.</w:t>
            </w:r>
          </w:p>
        </w:tc>
      </w:tr>
    </w:tbl>
    <w:p w14:paraId="121CF3DA" w14:textId="0C16DA5E" w:rsidR="002E2C6D" w:rsidRPr="00DE65B9" w:rsidRDefault="002E2C6D" w:rsidP="00A275D4">
      <w:pPr>
        <w:pStyle w:val="Tabletext"/>
      </w:pPr>
    </w:p>
    <w:p w14:paraId="7BC3BD7F" w14:textId="761FC964" w:rsidR="002E2C6D" w:rsidRPr="00C91AD1" w:rsidRDefault="002E2C6D" w:rsidP="00E22FFB">
      <w:pPr>
        <w:pStyle w:val="FigureNo"/>
      </w:pPr>
      <w:r>
        <w:lastRenderedPageBreak/>
        <w:t xml:space="preserve">Figure </w:t>
      </w:r>
      <w:r w:rsidR="2AAB2E35">
        <w:t>3</w:t>
      </w:r>
    </w:p>
    <w:p w14:paraId="1F49AB89" w14:textId="77777777" w:rsidR="002E2C6D" w:rsidRPr="00C91AD1" w:rsidRDefault="002E2C6D" w:rsidP="00E22FFB">
      <w:pPr>
        <w:pStyle w:val="Figuretitle"/>
      </w:pPr>
      <w:r w:rsidRPr="00C91AD1">
        <w:t>Evolution of translation volumes per language (pages), 2019-202</w:t>
      </w:r>
      <w:r>
        <w:t>5</w:t>
      </w:r>
    </w:p>
    <w:p w14:paraId="68466256" w14:textId="77777777" w:rsidR="002E2C6D" w:rsidRPr="00C91AD1" w:rsidRDefault="002E2C6D" w:rsidP="00492CB8">
      <w:pPr>
        <w:pStyle w:val="Figure"/>
      </w:pPr>
      <w:r w:rsidRPr="00C91AD1">
        <w:drawing>
          <wp:inline distT="0" distB="0" distL="0" distR="0" wp14:anchorId="2B5110DB" wp14:editId="6000691D">
            <wp:extent cx="3589020" cy="1918335"/>
            <wp:effectExtent l="0" t="0" r="11430" b="571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bookmarkEnd w:id="27"/>
    <w:p w14:paraId="2A74B86F" w14:textId="7CE4E678" w:rsidR="00DC6E76" w:rsidRDefault="00DC6E76">
      <w:pPr>
        <w:tabs>
          <w:tab w:val="clear" w:pos="567"/>
          <w:tab w:val="clear" w:pos="1134"/>
          <w:tab w:val="clear" w:pos="1701"/>
          <w:tab w:val="clear" w:pos="2268"/>
          <w:tab w:val="clear" w:pos="2835"/>
        </w:tabs>
        <w:overflowPunct/>
        <w:autoSpaceDE/>
        <w:autoSpaceDN/>
        <w:adjustRightInd/>
        <w:spacing w:before="0"/>
        <w:textAlignment w:val="auto"/>
        <w:rPr>
          <w:i/>
          <w:iCs/>
        </w:rPr>
      </w:pPr>
      <w:r>
        <w:rPr>
          <w:i/>
          <w:iCs/>
        </w:rPr>
        <w:br w:type="page"/>
      </w:r>
    </w:p>
    <w:p w14:paraId="26DAB806" w14:textId="64F77C2D" w:rsidR="00DC6E76" w:rsidRPr="00DC6E76" w:rsidRDefault="00DC6E76" w:rsidP="00492CB8">
      <w:pPr>
        <w:pStyle w:val="AnnexNo"/>
      </w:pPr>
      <w:r w:rsidRPr="00DC6E76">
        <w:lastRenderedPageBreak/>
        <w:t>Annex 2</w:t>
      </w:r>
    </w:p>
    <w:p w14:paraId="2FD293C0" w14:textId="694AE367" w:rsidR="00DC6E76" w:rsidRPr="00DC6E76" w:rsidRDefault="00DC6E76" w:rsidP="00492CB8">
      <w:pPr>
        <w:pStyle w:val="Annextitle"/>
      </w:pPr>
      <w:r w:rsidRPr="00DC6E76">
        <w:t xml:space="preserve">Usage of ITU Translate </w:t>
      </w:r>
      <w:r w:rsidR="00C46D0D">
        <w:br/>
      </w:r>
      <w:r w:rsidRPr="00DC6E76">
        <w:t>November 2024 – November 2025</w:t>
      </w:r>
    </w:p>
    <w:p w14:paraId="3C7AF0DC" w14:textId="2E6D4702" w:rsidR="00DC6E76" w:rsidRPr="00DC6E76" w:rsidRDefault="00492CB8" w:rsidP="00492CB8">
      <w:pPr>
        <w:pStyle w:val="Heading1"/>
      </w:pPr>
      <w:r w:rsidRPr="00DC6E76">
        <w:t>1</w:t>
      </w:r>
      <w:r w:rsidRPr="00DC6E76">
        <w:tab/>
      </w:r>
      <w:r w:rsidR="00DC6E76" w:rsidRPr="00DC6E76">
        <w:t>Usage of ITU Translate on webpages</w:t>
      </w:r>
    </w:p>
    <w:p w14:paraId="53770608" w14:textId="6A42B528" w:rsidR="00DC6E76" w:rsidRPr="00DC6E76" w:rsidRDefault="00DC6E76" w:rsidP="00492CB8">
      <w:r w:rsidRPr="00DC6E76">
        <w:t>ITU Translate has been used on 4 849 unique webpages and triggered 1</w:t>
      </w:r>
      <w:r w:rsidR="00B42760">
        <w:t> </w:t>
      </w:r>
      <w:r w:rsidRPr="00DC6E76">
        <w:t>719</w:t>
      </w:r>
      <w:r w:rsidR="00B42760">
        <w:t> </w:t>
      </w:r>
      <w:r w:rsidR="009F2CC9" w:rsidRPr="00DC6E76">
        <w:t>276 times</w:t>
      </w:r>
      <w:r w:rsidRPr="00DC6E76">
        <w:t xml:space="preserve"> from November 2024 to November 2025.</w:t>
      </w:r>
    </w:p>
    <w:p w14:paraId="182F4025" w14:textId="39BF41E5" w:rsidR="00DC6E76" w:rsidRPr="00DC6E76" w:rsidRDefault="00DC6E76" w:rsidP="00BB526D">
      <w:pPr>
        <w:pStyle w:val="Figuretitle"/>
      </w:pPr>
      <w:r w:rsidRPr="00DC6E76">
        <w:t>Total translation requests for machine translation of a webpage using ITU Translate per target language (November 2024 – November 2025)</w:t>
      </w:r>
    </w:p>
    <w:p w14:paraId="67BC79BF" w14:textId="1976FC8F" w:rsidR="00DC6E76" w:rsidRPr="00DC6E76" w:rsidRDefault="00DC6E76" w:rsidP="00A275D4">
      <w:pPr>
        <w:pStyle w:val="Figure"/>
      </w:pPr>
      <w:r>
        <w:t> </w:t>
      </w:r>
      <w:r w:rsidR="014A9EB0">
        <w:drawing>
          <wp:inline distT="0" distB="0" distL="0" distR="0" wp14:anchorId="07EEBAA3" wp14:editId="3FDE0356">
            <wp:extent cx="4332866" cy="2843766"/>
            <wp:effectExtent l="0" t="0" r="0" b="0"/>
            <wp:docPr id="12339932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99326" name="Picture 123399326"/>
                    <pic:cNvPicPr/>
                  </pic:nvPicPr>
                  <pic:blipFill>
                    <a:blip r:embed="rId42">
                      <a:extLst>
                        <a:ext uri="{28A0092B-C50C-407E-A947-70E740481C1C}">
                          <a14:useLocalDpi xmlns:a14="http://schemas.microsoft.com/office/drawing/2010/main"/>
                        </a:ext>
                      </a:extLst>
                    </a:blip>
                    <a:stretch>
                      <a:fillRect/>
                    </a:stretch>
                  </pic:blipFill>
                  <pic:spPr>
                    <a:xfrm>
                      <a:off x="0" y="0"/>
                      <a:ext cx="4332866" cy="2843766"/>
                    </a:xfrm>
                    <a:prstGeom prst="rect">
                      <a:avLst/>
                    </a:prstGeom>
                  </pic:spPr>
                </pic:pic>
              </a:graphicData>
            </a:graphic>
          </wp:inline>
        </w:drawing>
      </w:r>
    </w:p>
    <w:p w14:paraId="01E227EF" w14:textId="423B5F61" w:rsidR="00DC6E76" w:rsidRPr="00A275D4" w:rsidRDefault="00492CB8" w:rsidP="00A275D4">
      <w:pPr>
        <w:pStyle w:val="Heading1"/>
        <w:spacing w:after="120"/>
        <w:ind w:right="-397"/>
        <w:rPr>
          <w:rFonts w:cs="Times New Roman Bold"/>
          <w:spacing w:val="-2"/>
        </w:rPr>
      </w:pPr>
      <w:r w:rsidRPr="00A275D4">
        <w:rPr>
          <w:rFonts w:cs="Times New Roman Bold"/>
          <w:spacing w:val="-2"/>
        </w:rPr>
        <w:t>2</w:t>
      </w:r>
      <w:r w:rsidRPr="00A275D4">
        <w:rPr>
          <w:rFonts w:cs="Times New Roman Bold"/>
          <w:spacing w:val="-2"/>
        </w:rPr>
        <w:tab/>
      </w:r>
      <w:r w:rsidR="00DC6E76" w:rsidRPr="00A275D4">
        <w:rPr>
          <w:rFonts w:cs="Times New Roman Bold"/>
          <w:spacing w:val="-2"/>
        </w:rPr>
        <w:t>Top ten URLs translated by ITU Translate (November 2024 – November 2025)</w:t>
      </w:r>
    </w:p>
    <w:tbl>
      <w:tblPr>
        <w:tblStyle w:val="TableGrid"/>
        <w:tblW w:w="9639" w:type="dxa"/>
        <w:jc w:val="center"/>
        <w:tblLayout w:type="fixed"/>
        <w:tblCellMar>
          <w:left w:w="57" w:type="dxa"/>
          <w:right w:w="57" w:type="dxa"/>
        </w:tblCellMar>
        <w:tblLook w:val="04A0" w:firstRow="1" w:lastRow="0" w:firstColumn="1" w:lastColumn="0" w:noHBand="0" w:noVBand="1"/>
      </w:tblPr>
      <w:tblGrid>
        <w:gridCol w:w="593"/>
        <w:gridCol w:w="1954"/>
        <w:gridCol w:w="4678"/>
        <w:gridCol w:w="1134"/>
        <w:gridCol w:w="1280"/>
      </w:tblGrid>
      <w:tr w:rsidR="00DC6E76" w:rsidRPr="00DC6E76" w14:paraId="0086BEA5" w14:textId="77777777" w:rsidTr="00BB526D">
        <w:trPr>
          <w:cantSplit/>
          <w:tblHeader/>
          <w:jc w:val="center"/>
        </w:trPr>
        <w:tc>
          <w:tcPr>
            <w:tcW w:w="593" w:type="dxa"/>
            <w:hideMark/>
          </w:tcPr>
          <w:p w14:paraId="39CE6D18" w14:textId="4FDEC574" w:rsidR="00DC6E76" w:rsidRPr="002B769C" w:rsidRDefault="00DC6E76" w:rsidP="00E132A2">
            <w:pPr>
              <w:pStyle w:val="Tablehead"/>
            </w:pPr>
            <w:r w:rsidRPr="002B769C">
              <w:t>Rank</w:t>
            </w:r>
          </w:p>
        </w:tc>
        <w:tc>
          <w:tcPr>
            <w:tcW w:w="1954" w:type="dxa"/>
            <w:hideMark/>
          </w:tcPr>
          <w:p w14:paraId="3F3C1706" w14:textId="437164E6" w:rsidR="00DC6E76" w:rsidRPr="00DC6E76" w:rsidRDefault="00DC6E76" w:rsidP="00A275D4">
            <w:pPr>
              <w:pStyle w:val="Tablehead"/>
            </w:pPr>
            <w:r w:rsidRPr="00DC6E76">
              <w:t>Website</w:t>
            </w:r>
          </w:p>
        </w:tc>
        <w:tc>
          <w:tcPr>
            <w:tcW w:w="4678" w:type="dxa"/>
            <w:hideMark/>
          </w:tcPr>
          <w:p w14:paraId="7F4C0AD5" w14:textId="70389E93" w:rsidR="00DC6E76" w:rsidRPr="00DC6E76" w:rsidRDefault="00DC6E76" w:rsidP="00A275D4">
            <w:pPr>
              <w:pStyle w:val="Tablehead"/>
            </w:pPr>
            <w:r w:rsidRPr="00DC6E76">
              <w:t>URL</w:t>
            </w:r>
          </w:p>
        </w:tc>
        <w:tc>
          <w:tcPr>
            <w:tcW w:w="1134" w:type="dxa"/>
            <w:hideMark/>
          </w:tcPr>
          <w:p w14:paraId="23487C6D" w14:textId="47286823" w:rsidR="00DC6E76" w:rsidRPr="00DC6E76" w:rsidRDefault="00DC6E76" w:rsidP="004040E6">
            <w:pPr>
              <w:pStyle w:val="Tablehead"/>
            </w:pPr>
            <w:r w:rsidRPr="00DC6E76">
              <w:t xml:space="preserve">Request </w:t>
            </w:r>
            <w:r w:rsidRPr="004040E6">
              <w:t>count</w:t>
            </w:r>
          </w:p>
        </w:tc>
        <w:tc>
          <w:tcPr>
            <w:tcW w:w="1280" w:type="dxa"/>
            <w:hideMark/>
          </w:tcPr>
          <w:p w14:paraId="2EDA1C91" w14:textId="742FCE91" w:rsidR="00DC6E76" w:rsidRPr="00DC6E76" w:rsidRDefault="00DC6E76" w:rsidP="004040E6">
            <w:pPr>
              <w:pStyle w:val="Tablehead"/>
            </w:pPr>
            <w:r w:rsidRPr="004040E6">
              <w:t>Percentage</w:t>
            </w:r>
            <w:r w:rsidRPr="00DC6E76">
              <w:t xml:space="preserve"> (of total)</w:t>
            </w:r>
          </w:p>
        </w:tc>
      </w:tr>
      <w:tr w:rsidR="00DC6E76" w:rsidRPr="00DC6E76" w14:paraId="5D90404C" w14:textId="77777777" w:rsidTr="00BB526D">
        <w:trPr>
          <w:cantSplit/>
          <w:jc w:val="center"/>
        </w:trPr>
        <w:tc>
          <w:tcPr>
            <w:tcW w:w="593" w:type="dxa"/>
            <w:hideMark/>
          </w:tcPr>
          <w:p w14:paraId="4C4C7CDC" w14:textId="52152F25" w:rsidR="00DC6E76" w:rsidRPr="002B769C" w:rsidRDefault="00DC6E76" w:rsidP="00E132A2">
            <w:pPr>
              <w:pStyle w:val="Tabletext"/>
              <w:jc w:val="center"/>
            </w:pPr>
            <w:r w:rsidRPr="002B769C">
              <w:t>1</w:t>
            </w:r>
          </w:p>
        </w:tc>
        <w:tc>
          <w:tcPr>
            <w:tcW w:w="1954" w:type="dxa"/>
            <w:hideMark/>
          </w:tcPr>
          <w:p w14:paraId="2D5ED140" w14:textId="30E0F3E1" w:rsidR="00DC6E76" w:rsidRPr="00DC6E76" w:rsidRDefault="00DC6E76" w:rsidP="00A275D4">
            <w:pPr>
              <w:pStyle w:val="Tabletext"/>
            </w:pPr>
            <w:r w:rsidRPr="00DC6E76">
              <w:t>ITU Home page</w:t>
            </w:r>
          </w:p>
        </w:tc>
        <w:tc>
          <w:tcPr>
            <w:tcW w:w="4678" w:type="dxa"/>
            <w:hideMark/>
          </w:tcPr>
          <w:p w14:paraId="298E5493" w14:textId="5FA5E210" w:rsidR="00DC6E76" w:rsidRPr="00DC6E76" w:rsidRDefault="00DC6E76" w:rsidP="00A275D4">
            <w:pPr>
              <w:pStyle w:val="Tabletext"/>
            </w:pPr>
            <w:hyperlink r:id="rId43" w:tgtFrame="_blank" w:history="1">
              <w:r w:rsidRPr="00DC6E76">
                <w:rPr>
                  <w:rStyle w:val="Hyperlink"/>
                </w:rPr>
                <w:t>https://</w:t>
              </w:r>
              <w:proofErr w:type="spellStart"/>
              <w:r w:rsidRPr="00DC6E76">
                <w:rPr>
                  <w:rStyle w:val="Hyperlink"/>
                </w:rPr>
                <w:t>www.itu.int</w:t>
              </w:r>
              <w:proofErr w:type="spellEnd"/>
            </w:hyperlink>
          </w:p>
        </w:tc>
        <w:tc>
          <w:tcPr>
            <w:tcW w:w="1134" w:type="dxa"/>
            <w:hideMark/>
          </w:tcPr>
          <w:p w14:paraId="544F5A73" w14:textId="48C6FC6C" w:rsidR="00DC6E76" w:rsidRPr="00DC6E76" w:rsidRDefault="00DC6E76" w:rsidP="004040E6">
            <w:pPr>
              <w:pStyle w:val="Tabletext"/>
              <w:ind w:right="79"/>
              <w:jc w:val="right"/>
            </w:pPr>
            <w:r w:rsidRPr="00DC6E76">
              <w:t>1</w:t>
            </w:r>
            <w:r w:rsidR="002B769C">
              <w:t> </w:t>
            </w:r>
            <w:r w:rsidRPr="00DC6E76">
              <w:t>156</w:t>
            </w:r>
            <w:r w:rsidR="002B769C">
              <w:t> </w:t>
            </w:r>
            <w:r w:rsidRPr="00DC6E76">
              <w:t>165</w:t>
            </w:r>
          </w:p>
        </w:tc>
        <w:tc>
          <w:tcPr>
            <w:tcW w:w="1280" w:type="dxa"/>
            <w:hideMark/>
          </w:tcPr>
          <w:p w14:paraId="034DDFD2" w14:textId="42DA12DF" w:rsidR="00DC6E76" w:rsidRPr="00DC6E76" w:rsidRDefault="00DC6E76" w:rsidP="004040E6">
            <w:pPr>
              <w:pStyle w:val="Tabletext"/>
              <w:ind w:right="94"/>
              <w:jc w:val="right"/>
            </w:pPr>
            <w:r w:rsidRPr="00DC6E76">
              <w:t>66.74</w:t>
            </w:r>
          </w:p>
        </w:tc>
      </w:tr>
      <w:tr w:rsidR="00DC6E76" w:rsidRPr="00DC6E76" w14:paraId="2305C065" w14:textId="77777777" w:rsidTr="00BB526D">
        <w:trPr>
          <w:cantSplit/>
          <w:jc w:val="center"/>
        </w:trPr>
        <w:tc>
          <w:tcPr>
            <w:tcW w:w="593" w:type="dxa"/>
            <w:hideMark/>
          </w:tcPr>
          <w:p w14:paraId="01FF889F" w14:textId="11BE8E3D" w:rsidR="00DC6E76" w:rsidRPr="002B769C" w:rsidRDefault="00DC6E76" w:rsidP="00E132A2">
            <w:pPr>
              <w:pStyle w:val="Tabletext"/>
              <w:jc w:val="center"/>
            </w:pPr>
            <w:r w:rsidRPr="002B769C">
              <w:t>2</w:t>
            </w:r>
          </w:p>
        </w:tc>
        <w:tc>
          <w:tcPr>
            <w:tcW w:w="1954" w:type="dxa"/>
            <w:hideMark/>
          </w:tcPr>
          <w:p w14:paraId="4328DA2F" w14:textId="40F8BE21" w:rsidR="00DC6E76" w:rsidRPr="00DC6E76" w:rsidRDefault="00DC6E76" w:rsidP="00A275D4">
            <w:pPr>
              <w:pStyle w:val="Tabletext"/>
            </w:pPr>
            <w:r w:rsidRPr="00DC6E76">
              <w:t>ITU Hub pages</w:t>
            </w:r>
          </w:p>
        </w:tc>
        <w:tc>
          <w:tcPr>
            <w:tcW w:w="4678" w:type="dxa"/>
            <w:hideMark/>
          </w:tcPr>
          <w:p w14:paraId="11470D2E" w14:textId="3661C3EB" w:rsidR="00DC6E76" w:rsidRPr="00DC6E76" w:rsidRDefault="00DC6E76" w:rsidP="00A275D4">
            <w:pPr>
              <w:pStyle w:val="Tabletext"/>
            </w:pPr>
            <w:hyperlink r:id="rId44" w:tgtFrame="_blank" w:history="1">
              <w:r w:rsidRPr="00DC6E76">
                <w:rPr>
                  <w:rStyle w:val="Hyperlink"/>
                </w:rPr>
                <w:t>https://</w:t>
              </w:r>
              <w:proofErr w:type="spellStart"/>
              <w:r w:rsidRPr="00DC6E76">
                <w:rPr>
                  <w:rStyle w:val="Hyperlink"/>
                </w:rPr>
                <w:t>www.itu.int</w:t>
              </w:r>
              <w:proofErr w:type="spellEnd"/>
              <w:r w:rsidRPr="00DC6E76">
                <w:rPr>
                  <w:rStyle w:val="Hyperlink"/>
                </w:rPr>
                <w:t>/hub/</w:t>
              </w:r>
            </w:hyperlink>
          </w:p>
        </w:tc>
        <w:tc>
          <w:tcPr>
            <w:tcW w:w="1134" w:type="dxa"/>
            <w:hideMark/>
          </w:tcPr>
          <w:p w14:paraId="6DD1487E" w14:textId="5611365D" w:rsidR="00DC6E76" w:rsidRPr="00DC6E76" w:rsidRDefault="00DC6E76" w:rsidP="004040E6">
            <w:pPr>
              <w:pStyle w:val="Tabletext"/>
              <w:ind w:right="79"/>
              <w:jc w:val="right"/>
            </w:pPr>
            <w:r w:rsidRPr="00DC6E76">
              <w:t>159</w:t>
            </w:r>
            <w:r w:rsidR="002B769C">
              <w:t> </w:t>
            </w:r>
            <w:r w:rsidRPr="00DC6E76">
              <w:t>731</w:t>
            </w:r>
          </w:p>
        </w:tc>
        <w:tc>
          <w:tcPr>
            <w:tcW w:w="1280" w:type="dxa"/>
            <w:hideMark/>
          </w:tcPr>
          <w:p w14:paraId="10D6FF1D" w14:textId="4312C1BD" w:rsidR="00DC6E76" w:rsidRPr="00DC6E76" w:rsidRDefault="00DC6E76" w:rsidP="004040E6">
            <w:pPr>
              <w:pStyle w:val="Tabletext"/>
              <w:ind w:right="94"/>
              <w:jc w:val="right"/>
            </w:pPr>
            <w:r w:rsidRPr="00DC6E76">
              <w:t>9.22</w:t>
            </w:r>
          </w:p>
        </w:tc>
      </w:tr>
      <w:tr w:rsidR="00DC6E76" w:rsidRPr="00DC6E76" w14:paraId="10F0B360" w14:textId="77777777" w:rsidTr="00BB526D">
        <w:trPr>
          <w:cantSplit/>
          <w:jc w:val="center"/>
        </w:trPr>
        <w:tc>
          <w:tcPr>
            <w:tcW w:w="593" w:type="dxa"/>
            <w:hideMark/>
          </w:tcPr>
          <w:p w14:paraId="2EB2B9C2" w14:textId="56636DEF" w:rsidR="00DC6E76" w:rsidRPr="002B769C" w:rsidRDefault="00DC6E76" w:rsidP="00E132A2">
            <w:pPr>
              <w:pStyle w:val="Tabletext"/>
              <w:jc w:val="center"/>
            </w:pPr>
            <w:r w:rsidRPr="002B769C">
              <w:t>3</w:t>
            </w:r>
          </w:p>
        </w:tc>
        <w:tc>
          <w:tcPr>
            <w:tcW w:w="1954" w:type="dxa"/>
            <w:hideMark/>
          </w:tcPr>
          <w:p w14:paraId="198D23DE" w14:textId="21A2C517" w:rsidR="00DC6E76" w:rsidRPr="00DC6E76" w:rsidRDefault="00DC6E76" w:rsidP="00A275D4">
            <w:pPr>
              <w:pStyle w:val="Tabletext"/>
            </w:pPr>
            <w:r w:rsidRPr="00DC6E76">
              <w:t xml:space="preserve">Space </w:t>
            </w:r>
            <w:r w:rsidRPr="00A275D4">
              <w:t>Sustainable</w:t>
            </w:r>
            <w:r w:rsidRPr="00DC6E76">
              <w:t xml:space="preserve"> Forum pages</w:t>
            </w:r>
          </w:p>
        </w:tc>
        <w:tc>
          <w:tcPr>
            <w:tcW w:w="4678" w:type="dxa"/>
            <w:hideMark/>
          </w:tcPr>
          <w:p w14:paraId="56A5ADB3" w14:textId="6357B258" w:rsidR="00DC6E76" w:rsidRPr="00DC6E76" w:rsidRDefault="007F494F" w:rsidP="00A275D4">
            <w:pPr>
              <w:pStyle w:val="Tabletext"/>
            </w:pPr>
            <w:hyperlink r:id="rId45" w:history="1">
              <w:r w:rsidRPr="00DA62D0">
                <w:rPr>
                  <w:rStyle w:val="Hyperlink"/>
                </w:rPr>
                <w:t>https://</w:t>
              </w:r>
              <w:proofErr w:type="spellStart"/>
              <w:r w:rsidRPr="00DA62D0">
                <w:rPr>
                  <w:rStyle w:val="Hyperlink"/>
                </w:rPr>
                <w:t>www.itu.int</w:t>
              </w:r>
              <w:proofErr w:type="spellEnd"/>
              <w:r w:rsidRPr="00DA62D0">
                <w:rPr>
                  <w:rStyle w:val="Hyperlink"/>
                </w:rPr>
                <w:t>/</w:t>
              </w:r>
              <w:proofErr w:type="spellStart"/>
              <w:r w:rsidRPr="00DA62D0">
                <w:rPr>
                  <w:rStyle w:val="Hyperlink"/>
                </w:rPr>
                <w:t>ssf</w:t>
              </w:r>
              <w:proofErr w:type="spellEnd"/>
              <w:r w:rsidRPr="00DA62D0">
                <w:rPr>
                  <w:rStyle w:val="Hyperlink"/>
                </w:rPr>
                <w:t>/</w:t>
              </w:r>
            </w:hyperlink>
          </w:p>
        </w:tc>
        <w:tc>
          <w:tcPr>
            <w:tcW w:w="1134" w:type="dxa"/>
            <w:hideMark/>
          </w:tcPr>
          <w:p w14:paraId="2D0592C1" w14:textId="02395E3B" w:rsidR="00DC6E76" w:rsidRPr="00DC6E76" w:rsidRDefault="00DC6E76" w:rsidP="004040E6">
            <w:pPr>
              <w:pStyle w:val="Tabletext"/>
              <w:ind w:right="79"/>
              <w:jc w:val="right"/>
            </w:pPr>
            <w:r w:rsidRPr="00DC6E76">
              <w:t>158</w:t>
            </w:r>
            <w:r w:rsidR="002B769C">
              <w:t> </w:t>
            </w:r>
            <w:r w:rsidRPr="00DC6E76">
              <w:t>945</w:t>
            </w:r>
          </w:p>
        </w:tc>
        <w:tc>
          <w:tcPr>
            <w:tcW w:w="1280" w:type="dxa"/>
            <w:hideMark/>
          </w:tcPr>
          <w:p w14:paraId="49DBD113" w14:textId="419F4980" w:rsidR="00DC6E76" w:rsidRPr="00DC6E76" w:rsidRDefault="00DC6E76" w:rsidP="004040E6">
            <w:pPr>
              <w:pStyle w:val="Tabletext"/>
              <w:ind w:right="94"/>
              <w:jc w:val="right"/>
            </w:pPr>
            <w:r w:rsidRPr="00DC6E76">
              <w:t>9.18</w:t>
            </w:r>
          </w:p>
        </w:tc>
      </w:tr>
      <w:tr w:rsidR="00DC6E76" w:rsidRPr="00DC6E76" w14:paraId="355BFA79" w14:textId="77777777" w:rsidTr="00BB526D">
        <w:trPr>
          <w:cantSplit/>
          <w:jc w:val="center"/>
        </w:trPr>
        <w:tc>
          <w:tcPr>
            <w:tcW w:w="593" w:type="dxa"/>
            <w:hideMark/>
          </w:tcPr>
          <w:p w14:paraId="7D1E2BCF" w14:textId="3F7D575F" w:rsidR="00DC6E76" w:rsidRPr="002B769C" w:rsidRDefault="00DC6E76" w:rsidP="00E132A2">
            <w:pPr>
              <w:pStyle w:val="Tabletext"/>
              <w:jc w:val="center"/>
            </w:pPr>
            <w:r w:rsidRPr="002B769C">
              <w:t>4</w:t>
            </w:r>
          </w:p>
        </w:tc>
        <w:tc>
          <w:tcPr>
            <w:tcW w:w="1954" w:type="dxa"/>
            <w:hideMark/>
          </w:tcPr>
          <w:p w14:paraId="09839E69" w14:textId="50BA05DE" w:rsidR="00DC6E76" w:rsidRPr="00DC6E76" w:rsidRDefault="00DC6E76" w:rsidP="00A275D4">
            <w:pPr>
              <w:pStyle w:val="Tabletext"/>
            </w:pPr>
            <w:r w:rsidRPr="00DC6E76">
              <w:t>ITU-T page</w:t>
            </w:r>
          </w:p>
        </w:tc>
        <w:tc>
          <w:tcPr>
            <w:tcW w:w="4678" w:type="dxa"/>
            <w:hideMark/>
          </w:tcPr>
          <w:p w14:paraId="1960DF83" w14:textId="5A69358B" w:rsidR="00DC6E76" w:rsidRPr="00DC6E76" w:rsidRDefault="00DC6E76" w:rsidP="00A275D4">
            <w:pPr>
              <w:pStyle w:val="Tabletext"/>
            </w:pPr>
            <w:hyperlink r:id="rId46" w:tgtFrame="_blank" w:history="1">
              <w:r w:rsidRPr="00DC6E76">
                <w:rPr>
                  <w:rStyle w:val="Hyperlink"/>
                </w:rPr>
                <w:t>https://</w:t>
              </w:r>
              <w:proofErr w:type="spellStart"/>
              <w:r w:rsidRPr="00DC6E76">
                <w:rPr>
                  <w:rStyle w:val="Hyperlink"/>
                </w:rPr>
                <w:t>www.itu.int</w:t>
              </w:r>
              <w:proofErr w:type="spellEnd"/>
              <w:r w:rsidRPr="00DC6E76">
                <w:rPr>
                  <w:rStyle w:val="Hyperlink"/>
                </w:rPr>
                <w:t>/en/ITU-T/</w:t>
              </w:r>
            </w:hyperlink>
          </w:p>
        </w:tc>
        <w:tc>
          <w:tcPr>
            <w:tcW w:w="1134" w:type="dxa"/>
            <w:hideMark/>
          </w:tcPr>
          <w:p w14:paraId="346B755D" w14:textId="5D82C840" w:rsidR="00DC6E76" w:rsidRPr="00DC6E76" w:rsidRDefault="00DC6E76" w:rsidP="004040E6">
            <w:pPr>
              <w:pStyle w:val="Tabletext"/>
              <w:ind w:right="79"/>
              <w:jc w:val="right"/>
            </w:pPr>
            <w:r w:rsidRPr="00DC6E76">
              <w:t>59</w:t>
            </w:r>
            <w:r w:rsidR="002B769C">
              <w:t> </w:t>
            </w:r>
            <w:r w:rsidRPr="00DC6E76">
              <w:t>950</w:t>
            </w:r>
          </w:p>
        </w:tc>
        <w:tc>
          <w:tcPr>
            <w:tcW w:w="1280" w:type="dxa"/>
            <w:hideMark/>
          </w:tcPr>
          <w:p w14:paraId="19824349" w14:textId="16D3852D" w:rsidR="00DC6E76" w:rsidRPr="00DC6E76" w:rsidRDefault="00DC6E76" w:rsidP="004040E6">
            <w:pPr>
              <w:pStyle w:val="Tabletext"/>
              <w:ind w:right="94"/>
              <w:jc w:val="right"/>
            </w:pPr>
            <w:r w:rsidRPr="00DC6E76">
              <w:t>3.46</w:t>
            </w:r>
          </w:p>
        </w:tc>
      </w:tr>
      <w:tr w:rsidR="00DC6E76" w:rsidRPr="00DC6E76" w14:paraId="5AA77A11" w14:textId="77777777" w:rsidTr="00BB526D">
        <w:trPr>
          <w:cantSplit/>
          <w:jc w:val="center"/>
        </w:trPr>
        <w:tc>
          <w:tcPr>
            <w:tcW w:w="593" w:type="dxa"/>
            <w:hideMark/>
          </w:tcPr>
          <w:p w14:paraId="24A4BB37" w14:textId="468DA06B" w:rsidR="00DC6E76" w:rsidRPr="002B769C" w:rsidRDefault="00DC6E76" w:rsidP="00E132A2">
            <w:pPr>
              <w:pStyle w:val="Tabletext"/>
              <w:jc w:val="center"/>
            </w:pPr>
            <w:r w:rsidRPr="002B769C">
              <w:t>5</w:t>
            </w:r>
          </w:p>
        </w:tc>
        <w:tc>
          <w:tcPr>
            <w:tcW w:w="1954" w:type="dxa"/>
            <w:hideMark/>
          </w:tcPr>
          <w:p w14:paraId="5EAEFCDA" w14:textId="11380A76" w:rsidR="00DC6E76" w:rsidRPr="00DC6E76" w:rsidRDefault="00DC6E76" w:rsidP="00A275D4">
            <w:pPr>
              <w:pStyle w:val="Tabletext"/>
            </w:pPr>
            <w:r w:rsidRPr="00DC6E76">
              <w:t>AI for Good pages</w:t>
            </w:r>
          </w:p>
        </w:tc>
        <w:tc>
          <w:tcPr>
            <w:tcW w:w="4678" w:type="dxa"/>
            <w:hideMark/>
          </w:tcPr>
          <w:p w14:paraId="7A272928" w14:textId="05EC6EF4" w:rsidR="00DC6E76" w:rsidRPr="00DC6E76" w:rsidRDefault="00DC6E76" w:rsidP="00A275D4">
            <w:pPr>
              <w:pStyle w:val="Tabletext"/>
            </w:pPr>
            <w:hyperlink r:id="rId47" w:tgtFrame="_blank" w:history="1">
              <w:r w:rsidRPr="00DC6E76">
                <w:rPr>
                  <w:rStyle w:val="Hyperlink"/>
                </w:rPr>
                <w:t>https://</w:t>
              </w:r>
              <w:proofErr w:type="spellStart"/>
              <w:r w:rsidRPr="00DC6E76">
                <w:rPr>
                  <w:rStyle w:val="Hyperlink"/>
                </w:rPr>
                <w:t>aiforgood.itu.int</w:t>
              </w:r>
              <w:proofErr w:type="spellEnd"/>
              <w:r w:rsidRPr="00DC6E76">
                <w:rPr>
                  <w:rStyle w:val="Hyperlink"/>
                </w:rPr>
                <w:t>/</w:t>
              </w:r>
            </w:hyperlink>
          </w:p>
        </w:tc>
        <w:tc>
          <w:tcPr>
            <w:tcW w:w="1134" w:type="dxa"/>
            <w:hideMark/>
          </w:tcPr>
          <w:p w14:paraId="4B62EE4C" w14:textId="7CE36485" w:rsidR="00DC6E76" w:rsidRPr="00DC6E76" w:rsidRDefault="00DC6E76" w:rsidP="004040E6">
            <w:pPr>
              <w:pStyle w:val="Tabletext"/>
              <w:ind w:right="79"/>
              <w:jc w:val="right"/>
            </w:pPr>
            <w:r w:rsidRPr="00DC6E76">
              <w:t>41</w:t>
            </w:r>
            <w:r w:rsidR="002B769C">
              <w:t> </w:t>
            </w:r>
            <w:r w:rsidRPr="00DC6E76">
              <w:t>009</w:t>
            </w:r>
          </w:p>
        </w:tc>
        <w:tc>
          <w:tcPr>
            <w:tcW w:w="1280" w:type="dxa"/>
            <w:hideMark/>
          </w:tcPr>
          <w:p w14:paraId="2D5CC2BC" w14:textId="4BA8C260" w:rsidR="00DC6E76" w:rsidRPr="00DC6E76" w:rsidRDefault="00DC6E76" w:rsidP="004040E6">
            <w:pPr>
              <w:pStyle w:val="Tabletext"/>
              <w:ind w:right="94"/>
              <w:jc w:val="right"/>
            </w:pPr>
            <w:r w:rsidRPr="00DC6E76">
              <w:t>2.37</w:t>
            </w:r>
          </w:p>
        </w:tc>
      </w:tr>
      <w:tr w:rsidR="00DC6E76" w:rsidRPr="00DC6E76" w14:paraId="22E92F28" w14:textId="77777777" w:rsidTr="00BB526D">
        <w:trPr>
          <w:cantSplit/>
          <w:jc w:val="center"/>
        </w:trPr>
        <w:tc>
          <w:tcPr>
            <w:tcW w:w="593" w:type="dxa"/>
            <w:hideMark/>
          </w:tcPr>
          <w:p w14:paraId="6602BADC" w14:textId="424FF898" w:rsidR="00DC6E76" w:rsidRPr="002B769C" w:rsidRDefault="00DC6E76" w:rsidP="00E132A2">
            <w:pPr>
              <w:pStyle w:val="Tabletext"/>
              <w:jc w:val="center"/>
            </w:pPr>
            <w:r w:rsidRPr="002B769C">
              <w:t>6</w:t>
            </w:r>
          </w:p>
        </w:tc>
        <w:tc>
          <w:tcPr>
            <w:tcW w:w="1954" w:type="dxa"/>
            <w:hideMark/>
          </w:tcPr>
          <w:p w14:paraId="11C77E37" w14:textId="0B800838" w:rsidR="00DC6E76" w:rsidRPr="00DC6E76" w:rsidRDefault="00DC6E76" w:rsidP="00A275D4">
            <w:pPr>
              <w:pStyle w:val="Tabletext"/>
            </w:pPr>
            <w:r w:rsidRPr="00DC6E76">
              <w:t>ITU About page</w:t>
            </w:r>
          </w:p>
        </w:tc>
        <w:tc>
          <w:tcPr>
            <w:tcW w:w="4678" w:type="dxa"/>
            <w:hideMark/>
          </w:tcPr>
          <w:p w14:paraId="2D41B3DC" w14:textId="052C0C9C" w:rsidR="00DC6E76" w:rsidRPr="00DC6E76" w:rsidRDefault="00DC6E76" w:rsidP="00A275D4">
            <w:pPr>
              <w:pStyle w:val="Tabletext"/>
            </w:pPr>
            <w:hyperlink r:id="rId48" w:tgtFrame="_blank" w:history="1">
              <w:r w:rsidRPr="00DC6E76">
                <w:rPr>
                  <w:rStyle w:val="Hyperlink"/>
                </w:rPr>
                <w:t>https://</w:t>
              </w:r>
              <w:proofErr w:type="spellStart"/>
              <w:r w:rsidRPr="00DC6E76">
                <w:rPr>
                  <w:rStyle w:val="Hyperlink"/>
                </w:rPr>
                <w:t>www.itu.int</w:t>
              </w:r>
              <w:proofErr w:type="spellEnd"/>
              <w:r w:rsidRPr="00DC6E76">
                <w:rPr>
                  <w:rStyle w:val="Hyperlink"/>
                </w:rPr>
                <w:t>/en/about/Pages/</w:t>
              </w:r>
              <w:proofErr w:type="spellStart"/>
              <w:r w:rsidRPr="00DC6E76">
                <w:rPr>
                  <w:rStyle w:val="Hyperlink"/>
                </w:rPr>
                <w:t>default.aspx</w:t>
              </w:r>
              <w:proofErr w:type="spellEnd"/>
            </w:hyperlink>
          </w:p>
        </w:tc>
        <w:tc>
          <w:tcPr>
            <w:tcW w:w="1134" w:type="dxa"/>
            <w:hideMark/>
          </w:tcPr>
          <w:p w14:paraId="4C9DDB62" w14:textId="6130E372" w:rsidR="00DC6E76" w:rsidRPr="00DC6E76" w:rsidRDefault="00DC6E76" w:rsidP="004040E6">
            <w:pPr>
              <w:pStyle w:val="Tabletext"/>
              <w:ind w:right="79"/>
              <w:jc w:val="right"/>
            </w:pPr>
            <w:r w:rsidRPr="00DC6E76">
              <w:t>12</w:t>
            </w:r>
            <w:r w:rsidR="002B769C">
              <w:t> </w:t>
            </w:r>
            <w:r w:rsidRPr="00DC6E76">
              <w:t>795</w:t>
            </w:r>
          </w:p>
        </w:tc>
        <w:tc>
          <w:tcPr>
            <w:tcW w:w="1280" w:type="dxa"/>
            <w:hideMark/>
          </w:tcPr>
          <w:p w14:paraId="5EF61DFC" w14:textId="2435AB1A" w:rsidR="00DC6E76" w:rsidRPr="00DC6E76" w:rsidRDefault="00DC6E76" w:rsidP="004040E6">
            <w:pPr>
              <w:pStyle w:val="Tabletext"/>
              <w:ind w:right="94"/>
              <w:jc w:val="right"/>
            </w:pPr>
            <w:r w:rsidRPr="00DC6E76">
              <w:t>0.74</w:t>
            </w:r>
          </w:p>
        </w:tc>
      </w:tr>
      <w:tr w:rsidR="00DC6E76" w:rsidRPr="00DC6E76" w14:paraId="19B309FD" w14:textId="77777777" w:rsidTr="00BB526D">
        <w:trPr>
          <w:cantSplit/>
          <w:jc w:val="center"/>
        </w:trPr>
        <w:tc>
          <w:tcPr>
            <w:tcW w:w="593" w:type="dxa"/>
            <w:hideMark/>
          </w:tcPr>
          <w:p w14:paraId="66C2C681" w14:textId="1100C340" w:rsidR="00DC6E76" w:rsidRPr="002B769C" w:rsidRDefault="00DC6E76" w:rsidP="00E132A2">
            <w:pPr>
              <w:pStyle w:val="Tabletext"/>
              <w:jc w:val="center"/>
            </w:pPr>
            <w:r w:rsidRPr="002B769C">
              <w:t>7</w:t>
            </w:r>
          </w:p>
        </w:tc>
        <w:tc>
          <w:tcPr>
            <w:tcW w:w="1954" w:type="dxa"/>
            <w:hideMark/>
          </w:tcPr>
          <w:p w14:paraId="59462CD0" w14:textId="49C7F567" w:rsidR="00DC6E76" w:rsidRPr="00DC6E76" w:rsidRDefault="00DC6E76" w:rsidP="00A275D4">
            <w:pPr>
              <w:pStyle w:val="Tabletext"/>
            </w:pPr>
            <w:proofErr w:type="spellStart"/>
            <w:r w:rsidRPr="00DC6E76">
              <w:t>WTDC</w:t>
            </w:r>
            <w:proofErr w:type="spellEnd"/>
            <w:r w:rsidRPr="00DC6E76">
              <w:t>-25 pages</w:t>
            </w:r>
          </w:p>
        </w:tc>
        <w:tc>
          <w:tcPr>
            <w:tcW w:w="4678" w:type="dxa"/>
            <w:hideMark/>
          </w:tcPr>
          <w:p w14:paraId="7431FB41" w14:textId="6F2F5064" w:rsidR="00DC6E76" w:rsidRPr="00DC6E76" w:rsidRDefault="007F494F" w:rsidP="00A275D4">
            <w:pPr>
              <w:pStyle w:val="Tabletext"/>
            </w:pPr>
            <w:hyperlink r:id="rId49" w:history="1">
              <w:r w:rsidRPr="00DA62D0">
                <w:rPr>
                  <w:rStyle w:val="Hyperlink"/>
                </w:rPr>
                <w:t>https://</w:t>
              </w:r>
              <w:proofErr w:type="spellStart"/>
              <w:r w:rsidRPr="00DA62D0">
                <w:rPr>
                  <w:rStyle w:val="Hyperlink"/>
                </w:rPr>
                <w:t>www.itu.int</w:t>
              </w:r>
              <w:proofErr w:type="spellEnd"/>
              <w:r w:rsidRPr="00DA62D0">
                <w:rPr>
                  <w:rStyle w:val="Hyperlink"/>
                </w:rPr>
                <w:t>/</w:t>
              </w:r>
              <w:proofErr w:type="spellStart"/>
              <w:r w:rsidRPr="00DA62D0">
                <w:rPr>
                  <w:rStyle w:val="Hyperlink"/>
                </w:rPr>
                <w:t>itu</w:t>
              </w:r>
              <w:proofErr w:type="spellEnd"/>
              <w:r w:rsidRPr="00DA62D0">
                <w:rPr>
                  <w:rStyle w:val="Hyperlink"/>
                </w:rPr>
                <w:t>-d/meetings/</w:t>
              </w:r>
              <w:proofErr w:type="spellStart"/>
              <w:r w:rsidRPr="00DA62D0">
                <w:rPr>
                  <w:rStyle w:val="Hyperlink"/>
                </w:rPr>
                <w:t>wtdc25</w:t>
              </w:r>
              <w:proofErr w:type="spellEnd"/>
              <w:r w:rsidRPr="00DA62D0">
                <w:rPr>
                  <w:rStyle w:val="Hyperlink"/>
                </w:rPr>
                <w:t>/</w:t>
              </w:r>
            </w:hyperlink>
          </w:p>
        </w:tc>
        <w:tc>
          <w:tcPr>
            <w:tcW w:w="1134" w:type="dxa"/>
            <w:hideMark/>
          </w:tcPr>
          <w:p w14:paraId="3C80E8B2" w14:textId="2D8B9934" w:rsidR="00DC6E76" w:rsidRPr="00DC6E76" w:rsidRDefault="00DC6E76" w:rsidP="004040E6">
            <w:pPr>
              <w:pStyle w:val="Tabletext"/>
              <w:ind w:right="79"/>
              <w:jc w:val="right"/>
            </w:pPr>
            <w:r w:rsidRPr="00DC6E76">
              <w:t>11</w:t>
            </w:r>
            <w:r w:rsidR="002B769C">
              <w:t> </w:t>
            </w:r>
            <w:r w:rsidRPr="00DC6E76">
              <w:t>878</w:t>
            </w:r>
          </w:p>
        </w:tc>
        <w:tc>
          <w:tcPr>
            <w:tcW w:w="1280" w:type="dxa"/>
            <w:hideMark/>
          </w:tcPr>
          <w:p w14:paraId="386BC6B6" w14:textId="39F1D033" w:rsidR="00DC6E76" w:rsidRPr="00DC6E76" w:rsidRDefault="00DC6E76" w:rsidP="004040E6">
            <w:pPr>
              <w:pStyle w:val="Tabletext"/>
              <w:ind w:right="94"/>
              <w:jc w:val="right"/>
            </w:pPr>
            <w:r w:rsidRPr="00DC6E76">
              <w:t>0.69</w:t>
            </w:r>
          </w:p>
        </w:tc>
      </w:tr>
      <w:tr w:rsidR="00DC6E76" w:rsidRPr="00DC6E76" w14:paraId="2AA3AD10" w14:textId="77777777" w:rsidTr="00BB526D">
        <w:trPr>
          <w:cantSplit/>
          <w:jc w:val="center"/>
        </w:trPr>
        <w:tc>
          <w:tcPr>
            <w:tcW w:w="593" w:type="dxa"/>
            <w:hideMark/>
          </w:tcPr>
          <w:p w14:paraId="0492E889" w14:textId="654F3488" w:rsidR="00DC6E76" w:rsidRPr="002B769C" w:rsidRDefault="00DC6E76" w:rsidP="00E132A2">
            <w:pPr>
              <w:pStyle w:val="Tabletext"/>
              <w:jc w:val="center"/>
            </w:pPr>
            <w:r w:rsidRPr="002B769C">
              <w:t>8</w:t>
            </w:r>
          </w:p>
        </w:tc>
        <w:tc>
          <w:tcPr>
            <w:tcW w:w="1954" w:type="dxa"/>
            <w:hideMark/>
          </w:tcPr>
          <w:p w14:paraId="12EF7709" w14:textId="171E5EF1" w:rsidR="00DC6E76" w:rsidRPr="00DC6E76" w:rsidRDefault="00DC6E76" w:rsidP="00A275D4">
            <w:pPr>
              <w:pStyle w:val="Tabletext"/>
            </w:pPr>
            <w:r w:rsidRPr="00DC6E76">
              <w:t>Council pages</w:t>
            </w:r>
          </w:p>
        </w:tc>
        <w:tc>
          <w:tcPr>
            <w:tcW w:w="4678" w:type="dxa"/>
            <w:hideMark/>
          </w:tcPr>
          <w:p w14:paraId="07B64EA4" w14:textId="435139EA" w:rsidR="00DC6E76" w:rsidRPr="00DC6E76" w:rsidRDefault="007F494F" w:rsidP="00A275D4">
            <w:pPr>
              <w:pStyle w:val="Tabletext"/>
            </w:pPr>
            <w:hyperlink r:id="rId50" w:history="1">
              <w:r w:rsidRPr="00DA62D0">
                <w:rPr>
                  <w:rStyle w:val="Hyperlink"/>
                </w:rPr>
                <w:t>https://</w:t>
              </w:r>
              <w:proofErr w:type="spellStart"/>
              <w:r w:rsidRPr="00DA62D0">
                <w:rPr>
                  <w:rStyle w:val="Hyperlink"/>
                </w:rPr>
                <w:t>council.itu.int</w:t>
              </w:r>
              <w:proofErr w:type="spellEnd"/>
              <w:r w:rsidRPr="00DA62D0">
                <w:rPr>
                  <w:rStyle w:val="Hyperlink"/>
                </w:rPr>
                <w:t>/</w:t>
              </w:r>
            </w:hyperlink>
          </w:p>
        </w:tc>
        <w:tc>
          <w:tcPr>
            <w:tcW w:w="1134" w:type="dxa"/>
            <w:hideMark/>
          </w:tcPr>
          <w:p w14:paraId="77F3B028" w14:textId="7BAA6B70" w:rsidR="00DC6E76" w:rsidRPr="00DC6E76" w:rsidRDefault="00DC6E76" w:rsidP="004040E6">
            <w:pPr>
              <w:pStyle w:val="Tabletext"/>
              <w:ind w:right="79"/>
              <w:jc w:val="right"/>
            </w:pPr>
            <w:r w:rsidRPr="00DC6E76">
              <w:t>7</w:t>
            </w:r>
            <w:r w:rsidR="002B769C">
              <w:t> </w:t>
            </w:r>
            <w:r w:rsidRPr="00DC6E76">
              <w:t>743</w:t>
            </w:r>
          </w:p>
        </w:tc>
        <w:tc>
          <w:tcPr>
            <w:tcW w:w="1280" w:type="dxa"/>
            <w:hideMark/>
          </w:tcPr>
          <w:p w14:paraId="5AB9F2C7" w14:textId="0CCD0082" w:rsidR="00DC6E76" w:rsidRPr="00DC6E76" w:rsidRDefault="00DC6E76" w:rsidP="004040E6">
            <w:pPr>
              <w:pStyle w:val="Tabletext"/>
              <w:ind w:right="94"/>
              <w:jc w:val="right"/>
            </w:pPr>
            <w:r w:rsidRPr="00DC6E76">
              <w:t>0.45</w:t>
            </w:r>
          </w:p>
        </w:tc>
      </w:tr>
      <w:tr w:rsidR="00DC6E76" w:rsidRPr="00DC6E76" w14:paraId="764000D4" w14:textId="77777777" w:rsidTr="00BB526D">
        <w:trPr>
          <w:cantSplit/>
          <w:jc w:val="center"/>
        </w:trPr>
        <w:tc>
          <w:tcPr>
            <w:tcW w:w="593" w:type="dxa"/>
            <w:hideMark/>
          </w:tcPr>
          <w:p w14:paraId="64330073" w14:textId="2A9F2DC8" w:rsidR="00DC6E76" w:rsidRPr="002B769C" w:rsidRDefault="00DC6E76" w:rsidP="00E132A2">
            <w:pPr>
              <w:pStyle w:val="Tabletext"/>
              <w:jc w:val="center"/>
            </w:pPr>
            <w:r w:rsidRPr="002B769C">
              <w:t>9</w:t>
            </w:r>
          </w:p>
        </w:tc>
        <w:tc>
          <w:tcPr>
            <w:tcW w:w="1954" w:type="dxa"/>
            <w:hideMark/>
          </w:tcPr>
          <w:p w14:paraId="13A51A1D" w14:textId="032CF3F5" w:rsidR="00DC6E76" w:rsidRPr="00DC6E76" w:rsidRDefault="00DC6E76" w:rsidP="00A275D4">
            <w:pPr>
              <w:pStyle w:val="Tabletext"/>
            </w:pPr>
            <w:proofErr w:type="spellStart"/>
            <w:r w:rsidRPr="00DC6E76">
              <w:t>TDAG</w:t>
            </w:r>
            <w:proofErr w:type="spellEnd"/>
            <w:r w:rsidRPr="00DC6E76">
              <w:t xml:space="preserve"> pages</w:t>
            </w:r>
          </w:p>
        </w:tc>
        <w:tc>
          <w:tcPr>
            <w:tcW w:w="4678" w:type="dxa"/>
            <w:hideMark/>
          </w:tcPr>
          <w:p w14:paraId="3FE79850" w14:textId="6FE8D990" w:rsidR="00DC6E76" w:rsidRPr="00DC6E76" w:rsidRDefault="007F494F" w:rsidP="00A275D4">
            <w:pPr>
              <w:pStyle w:val="Tabletext"/>
            </w:pPr>
            <w:hyperlink r:id="rId51" w:history="1">
              <w:r w:rsidRPr="00DA62D0">
                <w:rPr>
                  <w:rStyle w:val="Hyperlink"/>
                </w:rPr>
                <w:t>https://</w:t>
              </w:r>
              <w:proofErr w:type="spellStart"/>
              <w:r w:rsidRPr="00DA62D0">
                <w:rPr>
                  <w:rStyle w:val="Hyperlink"/>
                </w:rPr>
                <w:t>www.itu.int</w:t>
              </w:r>
              <w:proofErr w:type="spellEnd"/>
              <w:r w:rsidRPr="00DA62D0">
                <w:rPr>
                  <w:rStyle w:val="Hyperlink"/>
                </w:rPr>
                <w:t>/en/ITU-D/Conferences/</w:t>
              </w:r>
              <w:proofErr w:type="spellStart"/>
              <w:r w:rsidRPr="00DA62D0">
                <w:rPr>
                  <w:rStyle w:val="Hyperlink"/>
                </w:rPr>
                <w:t>TDAG</w:t>
              </w:r>
              <w:proofErr w:type="spellEnd"/>
            </w:hyperlink>
          </w:p>
        </w:tc>
        <w:tc>
          <w:tcPr>
            <w:tcW w:w="1134" w:type="dxa"/>
            <w:hideMark/>
          </w:tcPr>
          <w:p w14:paraId="32CAFD5F" w14:textId="1F9D463B" w:rsidR="00DC6E76" w:rsidRPr="00DC6E76" w:rsidRDefault="00DC6E76" w:rsidP="004040E6">
            <w:pPr>
              <w:pStyle w:val="Tabletext"/>
              <w:ind w:right="79"/>
              <w:jc w:val="right"/>
            </w:pPr>
            <w:r w:rsidRPr="00DC6E76">
              <w:t>3</w:t>
            </w:r>
            <w:r w:rsidR="002B769C">
              <w:t> </w:t>
            </w:r>
            <w:r w:rsidRPr="00DC6E76">
              <w:t>647</w:t>
            </w:r>
          </w:p>
        </w:tc>
        <w:tc>
          <w:tcPr>
            <w:tcW w:w="1280" w:type="dxa"/>
            <w:hideMark/>
          </w:tcPr>
          <w:p w14:paraId="3066E3DA" w14:textId="2F9935BF" w:rsidR="00DC6E76" w:rsidRPr="00DC6E76" w:rsidRDefault="00DC6E76" w:rsidP="004040E6">
            <w:pPr>
              <w:pStyle w:val="Tabletext"/>
              <w:ind w:right="94"/>
              <w:jc w:val="right"/>
            </w:pPr>
            <w:r w:rsidRPr="00DC6E76">
              <w:t>0.21</w:t>
            </w:r>
          </w:p>
        </w:tc>
      </w:tr>
      <w:tr w:rsidR="00DC6E76" w:rsidRPr="00DC6E76" w14:paraId="23F8ADC0" w14:textId="77777777" w:rsidTr="00BB526D">
        <w:trPr>
          <w:cantSplit/>
          <w:jc w:val="center"/>
        </w:trPr>
        <w:tc>
          <w:tcPr>
            <w:tcW w:w="593" w:type="dxa"/>
            <w:hideMark/>
          </w:tcPr>
          <w:p w14:paraId="106CAEAB" w14:textId="37AC2C78" w:rsidR="00DC6E76" w:rsidRPr="002B769C" w:rsidRDefault="00DC6E76" w:rsidP="00E132A2">
            <w:pPr>
              <w:pStyle w:val="Tabletext"/>
              <w:jc w:val="center"/>
            </w:pPr>
            <w:r w:rsidRPr="002B769C">
              <w:t>10</w:t>
            </w:r>
          </w:p>
        </w:tc>
        <w:tc>
          <w:tcPr>
            <w:tcW w:w="1954" w:type="dxa"/>
            <w:hideMark/>
          </w:tcPr>
          <w:p w14:paraId="34758E18" w14:textId="6E97BE84" w:rsidR="00DC6E76" w:rsidRPr="00DC6E76" w:rsidRDefault="00DC6E76" w:rsidP="00A275D4">
            <w:pPr>
              <w:pStyle w:val="Tabletext"/>
            </w:pPr>
            <w:proofErr w:type="spellStart"/>
            <w:r w:rsidRPr="00DC6E76">
              <w:t>WTISD</w:t>
            </w:r>
            <w:proofErr w:type="spellEnd"/>
            <w:r w:rsidRPr="00DC6E76">
              <w:t xml:space="preserve"> pages</w:t>
            </w:r>
          </w:p>
        </w:tc>
        <w:tc>
          <w:tcPr>
            <w:tcW w:w="4678" w:type="dxa"/>
            <w:hideMark/>
          </w:tcPr>
          <w:p w14:paraId="1CD8FC7F" w14:textId="4F80A673" w:rsidR="00DC6E76" w:rsidRPr="00DC6E76" w:rsidRDefault="007F494F" w:rsidP="00A275D4">
            <w:pPr>
              <w:pStyle w:val="Tabletext"/>
            </w:pPr>
            <w:hyperlink r:id="rId52" w:history="1">
              <w:r w:rsidRPr="00DA62D0">
                <w:rPr>
                  <w:rStyle w:val="Hyperlink"/>
                </w:rPr>
                <w:t>https://</w:t>
              </w:r>
              <w:proofErr w:type="spellStart"/>
              <w:r w:rsidRPr="00DA62D0">
                <w:rPr>
                  <w:rStyle w:val="Hyperlink"/>
                </w:rPr>
                <w:t>www.itu.int</w:t>
              </w:r>
              <w:proofErr w:type="spellEnd"/>
              <w:r w:rsidRPr="00DA62D0">
                <w:rPr>
                  <w:rStyle w:val="Hyperlink"/>
                </w:rPr>
                <w:t>/</w:t>
              </w:r>
              <w:proofErr w:type="spellStart"/>
              <w:r w:rsidRPr="00DA62D0">
                <w:rPr>
                  <w:rStyle w:val="Hyperlink"/>
                </w:rPr>
                <w:t>wtisd</w:t>
              </w:r>
              <w:proofErr w:type="spellEnd"/>
              <w:r w:rsidRPr="00DA62D0">
                <w:rPr>
                  <w:rStyle w:val="Hyperlink"/>
                </w:rPr>
                <w:t>/</w:t>
              </w:r>
            </w:hyperlink>
          </w:p>
        </w:tc>
        <w:tc>
          <w:tcPr>
            <w:tcW w:w="1134" w:type="dxa"/>
            <w:hideMark/>
          </w:tcPr>
          <w:p w14:paraId="4B5B5C71" w14:textId="4EA2E911" w:rsidR="00DC6E76" w:rsidRPr="00DC6E76" w:rsidRDefault="00DC6E76" w:rsidP="004040E6">
            <w:pPr>
              <w:pStyle w:val="Tabletext"/>
              <w:ind w:right="79"/>
              <w:jc w:val="right"/>
            </w:pPr>
            <w:r w:rsidRPr="00DC6E76">
              <w:t>2</w:t>
            </w:r>
            <w:r w:rsidR="002B769C">
              <w:t> </w:t>
            </w:r>
            <w:r w:rsidRPr="00DC6E76">
              <w:t>987</w:t>
            </w:r>
          </w:p>
        </w:tc>
        <w:tc>
          <w:tcPr>
            <w:tcW w:w="1280" w:type="dxa"/>
            <w:hideMark/>
          </w:tcPr>
          <w:p w14:paraId="0AF63FC2" w14:textId="23AFB4E8" w:rsidR="00DC6E76" w:rsidRPr="00DC6E76" w:rsidRDefault="00DC6E76" w:rsidP="004040E6">
            <w:pPr>
              <w:pStyle w:val="Tabletext"/>
              <w:ind w:right="94"/>
              <w:jc w:val="right"/>
            </w:pPr>
            <w:r w:rsidRPr="00DC6E76">
              <w:t>0.17</w:t>
            </w:r>
          </w:p>
        </w:tc>
      </w:tr>
    </w:tbl>
    <w:p w14:paraId="162E620A" w14:textId="39143E5B" w:rsidR="00DC6E76" w:rsidRPr="00DC6E76" w:rsidRDefault="00DC6E76" w:rsidP="00A275D4">
      <w:pPr>
        <w:pStyle w:val="Tablefin"/>
      </w:pPr>
    </w:p>
    <w:p w14:paraId="0C73D175" w14:textId="692F0F55" w:rsidR="00DC6E76" w:rsidRPr="00DC6E76" w:rsidRDefault="00DC6E76" w:rsidP="00BB526D">
      <w:pPr>
        <w:pStyle w:val="Headingb"/>
      </w:pPr>
      <w:r w:rsidRPr="00DC6E76">
        <w:lastRenderedPageBreak/>
        <w:t>Summary</w:t>
      </w:r>
    </w:p>
    <w:p w14:paraId="52373558" w14:textId="6BF501D4" w:rsidR="00DC6E76" w:rsidRPr="00DC6E76" w:rsidRDefault="00492CB8" w:rsidP="00BB526D">
      <w:pPr>
        <w:pStyle w:val="enumlev1"/>
      </w:pPr>
      <w:r w:rsidRPr="00DC6E76">
        <w:rPr>
          <w:rFonts w:ascii="Symbol" w:hAnsi="Symbol"/>
          <w:sz w:val="20"/>
        </w:rPr>
        <w:t></w:t>
      </w:r>
      <w:r w:rsidRPr="00DC6E76">
        <w:rPr>
          <w:rFonts w:ascii="Symbol" w:hAnsi="Symbol"/>
          <w:sz w:val="20"/>
        </w:rPr>
        <w:tab/>
      </w:r>
      <w:r w:rsidR="00DC6E76" w:rsidRPr="00DC6E76">
        <w:t>Total requests: 1</w:t>
      </w:r>
      <w:r w:rsidR="00BB526D">
        <w:t> </w:t>
      </w:r>
      <w:r w:rsidR="00DC6E76" w:rsidRPr="00DC6E76">
        <w:t>732</w:t>
      </w:r>
      <w:r w:rsidR="00BB526D">
        <w:t> </w:t>
      </w:r>
      <w:r w:rsidR="00DC6E76" w:rsidRPr="00DC6E76">
        <w:t>304</w:t>
      </w:r>
    </w:p>
    <w:p w14:paraId="2B064185" w14:textId="1C1260C2" w:rsidR="00DC6E76" w:rsidRPr="00DC6E76" w:rsidRDefault="00492CB8" w:rsidP="00BB526D">
      <w:pPr>
        <w:pStyle w:val="enumlev1"/>
      </w:pPr>
      <w:r w:rsidRPr="00DC6E76">
        <w:rPr>
          <w:rFonts w:ascii="Symbol" w:hAnsi="Symbol"/>
          <w:sz w:val="20"/>
        </w:rPr>
        <w:t></w:t>
      </w:r>
      <w:r w:rsidRPr="00DC6E76">
        <w:rPr>
          <w:rFonts w:ascii="Symbol" w:hAnsi="Symbol"/>
          <w:sz w:val="20"/>
        </w:rPr>
        <w:tab/>
      </w:r>
      <w:r w:rsidR="00DC6E76" w:rsidRPr="00DC6E76">
        <w:t>Top 10 Requests: 1</w:t>
      </w:r>
      <w:r w:rsidR="00BB526D">
        <w:t> </w:t>
      </w:r>
      <w:r w:rsidR="00DC6E76" w:rsidRPr="00DC6E76">
        <w:t>614</w:t>
      </w:r>
      <w:r w:rsidR="00BB526D">
        <w:t> </w:t>
      </w:r>
      <w:r w:rsidR="00DC6E76" w:rsidRPr="00DC6E76">
        <w:t>850 (93.22% of total)</w:t>
      </w:r>
      <w:r w:rsidR="00C46D0D">
        <w:t>.</w:t>
      </w:r>
    </w:p>
    <w:p w14:paraId="3455D1F6" w14:textId="08BAAD04" w:rsidR="00DC6E76" w:rsidRPr="00DC6E76" w:rsidRDefault="00DC6E76" w:rsidP="00BB526D">
      <w:pPr>
        <w:pStyle w:val="Heading1"/>
      </w:pPr>
      <w:r w:rsidRPr="00DC6E76">
        <w:t>3</w:t>
      </w:r>
      <w:r w:rsidRPr="00DC6E76">
        <w:tab/>
        <w:t>Usage of ITU Translate on documents</w:t>
      </w:r>
    </w:p>
    <w:p w14:paraId="5B649080" w14:textId="0816AF2C" w:rsidR="00DC6E76" w:rsidRPr="00DC6E76" w:rsidRDefault="00DC6E76" w:rsidP="00BB526D">
      <w:pPr>
        <w:pStyle w:val="Figuretitle"/>
      </w:pPr>
      <w:r w:rsidRPr="00DC6E76">
        <w:t xml:space="preserve">Number of documents translated by ITU Translate per month </w:t>
      </w:r>
      <w:r w:rsidRPr="00DC6E76">
        <w:br/>
        <w:t>(November 2024– November 2025)</w:t>
      </w:r>
    </w:p>
    <w:p w14:paraId="3C0858F0" w14:textId="6AAC73BD" w:rsidR="00DC6E76" w:rsidRPr="00DC6E76" w:rsidRDefault="007F494F" w:rsidP="00BB526D">
      <w:pPr>
        <w:pStyle w:val="Figure"/>
      </w:pPr>
      <w:r w:rsidRPr="007F494F">
        <w:drawing>
          <wp:inline distT="0" distB="0" distL="0" distR="0" wp14:anchorId="30E810D7" wp14:editId="7B73454E">
            <wp:extent cx="5760085" cy="2562860"/>
            <wp:effectExtent l="0" t="0" r="0" b="8890"/>
            <wp:docPr id="1134328165" name="Picture 1" descr="A graph of blue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328165" name="Picture 1" descr="A graph of blue bars&#10;&#10;AI-generated content may be incorrect."/>
                    <pic:cNvPicPr/>
                  </pic:nvPicPr>
                  <pic:blipFill>
                    <a:blip r:embed="rId53"/>
                    <a:stretch>
                      <a:fillRect/>
                    </a:stretch>
                  </pic:blipFill>
                  <pic:spPr>
                    <a:xfrm>
                      <a:off x="0" y="0"/>
                      <a:ext cx="5760085" cy="2562860"/>
                    </a:xfrm>
                    <a:prstGeom prst="rect">
                      <a:avLst/>
                    </a:prstGeom>
                  </pic:spPr>
                </pic:pic>
              </a:graphicData>
            </a:graphic>
          </wp:inline>
        </w:drawing>
      </w:r>
    </w:p>
    <w:p w14:paraId="2748D23F" w14:textId="3CD603EE" w:rsidR="00DC6E76" w:rsidRPr="00DC6E76" w:rsidRDefault="00DC6E76" w:rsidP="00BB526D">
      <w:pPr>
        <w:pStyle w:val="Figuretitle"/>
      </w:pPr>
      <w:r>
        <w:t>Documents translated by ITU Translate by language per month</w:t>
      </w:r>
      <w:r>
        <w:br/>
        <w:t>(November 2024 – November 2025)</w:t>
      </w:r>
    </w:p>
    <w:p w14:paraId="2FB6734F" w14:textId="4A00D1CF" w:rsidR="00DC6E76" w:rsidRPr="00DC6E76" w:rsidRDefault="14C8B155" w:rsidP="004040E6">
      <w:pPr>
        <w:pStyle w:val="Figure"/>
      </w:pPr>
      <w:r>
        <w:drawing>
          <wp:inline distT="0" distB="0" distL="0" distR="0" wp14:anchorId="74603640" wp14:editId="16382874">
            <wp:extent cx="5762625" cy="2409825"/>
            <wp:effectExtent l="0" t="0" r="0" b="0"/>
            <wp:docPr id="170829968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299683" name="Picture 1708299683"/>
                    <pic:cNvPicPr/>
                  </pic:nvPicPr>
                  <pic:blipFill>
                    <a:blip r:embed="rId54">
                      <a:extLst>
                        <a:ext uri="{28A0092B-C50C-407E-A947-70E740481C1C}">
                          <a14:useLocalDpi xmlns:a14="http://schemas.microsoft.com/office/drawing/2010/main"/>
                        </a:ext>
                      </a:extLst>
                    </a:blip>
                    <a:stretch>
                      <a:fillRect/>
                    </a:stretch>
                  </pic:blipFill>
                  <pic:spPr>
                    <a:xfrm>
                      <a:off x="0" y="0"/>
                      <a:ext cx="5762625" cy="2409825"/>
                    </a:xfrm>
                    <a:prstGeom prst="rect">
                      <a:avLst/>
                    </a:prstGeom>
                  </pic:spPr>
                </pic:pic>
              </a:graphicData>
            </a:graphic>
          </wp:inline>
        </w:drawing>
      </w:r>
    </w:p>
    <w:p w14:paraId="05726EED" w14:textId="77583ECF" w:rsidR="00DC6E76" w:rsidRPr="00DC6E76" w:rsidRDefault="00DC6E76" w:rsidP="00BB526D">
      <w:pPr>
        <w:jc w:val="both"/>
      </w:pPr>
      <w:r w:rsidRPr="00DC6E76">
        <w:t xml:space="preserve">Machine translation of documents is provided on several different platforms: the Document Management System (DMS), either at the foot of each page or directly at the level of the document; ITU’s </w:t>
      </w:r>
      <w:proofErr w:type="spellStart"/>
      <w:r w:rsidRPr="00DC6E76">
        <w:t>MyWorkSpace</w:t>
      </w:r>
      <w:proofErr w:type="spellEnd"/>
      <w:r w:rsidRPr="00DC6E76">
        <w:t xml:space="preserve">; and the professional translator platform, which may also be used internally by other ITU staff. In addition, ITU Translate is available for delegates’ use on TIES-protected platform accessible through the ITU Council website at </w:t>
      </w:r>
      <w:hyperlink r:id="rId55" w:tgtFrame="_blank" w:history="1">
        <w:r w:rsidRPr="00DC6E76">
          <w:rPr>
            <w:rStyle w:val="Hyperlink"/>
          </w:rPr>
          <w:t>https://</w:t>
        </w:r>
        <w:proofErr w:type="spellStart"/>
        <w:r w:rsidRPr="00DC6E76">
          <w:rPr>
            <w:rStyle w:val="Hyperlink"/>
          </w:rPr>
          <w:t>council.itu.int</w:t>
        </w:r>
        <w:proofErr w:type="spellEnd"/>
        <w:r w:rsidRPr="00DC6E76">
          <w:rPr>
            <w:rStyle w:val="Hyperlink"/>
          </w:rPr>
          <w:t>/2025/en/documents/electronic-tools/</w:t>
        </w:r>
      </w:hyperlink>
      <w:r w:rsidRPr="00DC6E76">
        <w:t>.</w:t>
      </w:r>
    </w:p>
    <w:p w14:paraId="121629AE" w14:textId="0F6E7886" w:rsidR="00DC6E76" w:rsidRPr="00DC6E76" w:rsidRDefault="00DC6E76" w:rsidP="00BB526D">
      <w:pPr>
        <w:jc w:val="both"/>
      </w:pPr>
      <w:r w:rsidRPr="00DC6E76">
        <w:lastRenderedPageBreak/>
        <w:t>Document translation at the level of the DMS is provided as an interim measure for documents which have not yet been provided by the professional translation service and for documents which are not otherwise provided in translation (such as ITU Council information documents).</w:t>
      </w:r>
    </w:p>
    <w:p w14:paraId="7749B8CC" w14:textId="02FC621B" w:rsidR="00DC6E76" w:rsidRPr="00DC6E76" w:rsidRDefault="00DC6E76" w:rsidP="00BB526D">
      <w:pPr>
        <w:pStyle w:val="Heading1"/>
      </w:pPr>
      <w:r w:rsidRPr="00DC6E76">
        <w:t>4</w:t>
      </w:r>
      <w:r w:rsidRPr="00DC6E76">
        <w:tab/>
      </w:r>
      <w:r w:rsidR="009F2CC9">
        <w:t>Cost of</w:t>
      </w:r>
      <w:r w:rsidRPr="00DC6E76">
        <w:t xml:space="preserve"> ITU Translate</w:t>
      </w:r>
    </w:p>
    <w:p w14:paraId="3BFCC965" w14:textId="4F101EC8" w:rsidR="00DC6E76" w:rsidRPr="00DC6E76" w:rsidRDefault="00DC6E76" w:rsidP="00BB526D">
      <w:r>
        <w:t>The cost of using ITU Translate is closely monitored and provides a reliable index of usage trends on webpages and documents combined. The standard cost as charged by the service provider is USD 40 per million characters.</w:t>
      </w:r>
    </w:p>
    <w:p w14:paraId="746A7F9A" w14:textId="130766FE" w:rsidR="00862770" w:rsidRDefault="2307BB8D" w:rsidP="004040E6">
      <w:pPr>
        <w:pStyle w:val="Figure"/>
      </w:pPr>
      <w:r>
        <w:drawing>
          <wp:inline distT="0" distB="0" distL="0" distR="0" wp14:anchorId="31EA2C6B" wp14:editId="1301ABA2">
            <wp:extent cx="4750044" cy="2940201"/>
            <wp:effectExtent l="0" t="0" r="0" b="0"/>
            <wp:docPr id="187466854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668546" name="Picture 1874668546"/>
                    <pic:cNvPicPr/>
                  </pic:nvPicPr>
                  <pic:blipFill>
                    <a:blip r:embed="rId56">
                      <a:extLst>
                        <a:ext uri="{28A0092B-C50C-407E-A947-70E740481C1C}">
                          <a14:useLocalDpi xmlns:a14="http://schemas.microsoft.com/office/drawing/2010/main"/>
                        </a:ext>
                      </a:extLst>
                    </a:blip>
                    <a:stretch>
                      <a:fillRect/>
                    </a:stretch>
                  </pic:blipFill>
                  <pic:spPr>
                    <a:xfrm>
                      <a:off x="0" y="0"/>
                      <a:ext cx="4750044" cy="2940201"/>
                    </a:xfrm>
                    <a:prstGeom prst="rect">
                      <a:avLst/>
                    </a:prstGeom>
                  </pic:spPr>
                </pic:pic>
              </a:graphicData>
            </a:graphic>
          </wp:inline>
        </w:drawing>
      </w:r>
    </w:p>
    <w:p w14:paraId="67AB6704" w14:textId="77777777" w:rsidR="004040E6" w:rsidRPr="004040E6" w:rsidRDefault="004040E6" w:rsidP="004040E6"/>
    <w:p w14:paraId="08F7F872" w14:textId="3FBE01CF" w:rsidR="00C46D0D" w:rsidRPr="00C46D0D" w:rsidRDefault="00C46D0D" w:rsidP="00C46D0D">
      <w:pPr>
        <w:jc w:val="center"/>
      </w:pPr>
      <w:r>
        <w:t>______________</w:t>
      </w:r>
    </w:p>
    <w:sectPr w:rsidR="00C46D0D" w:rsidRPr="00C46D0D" w:rsidSect="00AD3606">
      <w:footerReference w:type="default" r:id="rId57"/>
      <w:headerReference w:type="first" r:id="rId58"/>
      <w:footerReference w:type="first" r:id="rId59"/>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308C6" w14:textId="77777777" w:rsidR="00E72229" w:rsidRDefault="00E72229">
      <w:r>
        <w:separator/>
      </w:r>
    </w:p>
  </w:endnote>
  <w:endnote w:type="continuationSeparator" w:id="0">
    <w:p w14:paraId="73CBD768" w14:textId="77777777" w:rsidR="00E72229" w:rsidRDefault="00E72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B248BC" w14:paraId="07402CB9" w14:textId="77777777" w:rsidTr="00644DAE">
      <w:trPr>
        <w:jc w:val="center"/>
      </w:trPr>
      <w:tc>
        <w:tcPr>
          <w:tcW w:w="1803" w:type="dxa"/>
          <w:vAlign w:val="center"/>
        </w:tcPr>
        <w:p w14:paraId="727FD637" w14:textId="0F752C5F" w:rsidR="00EE49E8" w:rsidRDefault="00EE49E8" w:rsidP="00EE49E8">
          <w:pPr>
            <w:pStyle w:val="Header"/>
            <w:jc w:val="left"/>
            <w:rPr>
              <w:noProof/>
            </w:rPr>
          </w:pPr>
        </w:p>
      </w:tc>
      <w:tc>
        <w:tcPr>
          <w:tcW w:w="8261" w:type="dxa"/>
        </w:tcPr>
        <w:p w14:paraId="2D49E76E" w14:textId="6ACA58E6" w:rsidR="00EE49E8" w:rsidRPr="00BA3A51" w:rsidRDefault="00EE49E8" w:rsidP="0025393D">
          <w:pPr>
            <w:pStyle w:val="Header"/>
            <w:tabs>
              <w:tab w:val="left" w:pos="5605"/>
              <w:tab w:val="right" w:pos="8505"/>
              <w:tab w:val="right" w:pos="9639"/>
            </w:tabs>
            <w:jc w:val="left"/>
            <w:rPr>
              <w:rFonts w:ascii="Arial" w:hAnsi="Arial" w:cs="Arial"/>
              <w:b/>
              <w:bCs/>
              <w:szCs w:val="18"/>
              <w:lang w:val="fr-CH"/>
            </w:rPr>
          </w:pPr>
          <w:r w:rsidRPr="005C13D4">
            <w:rPr>
              <w:bCs/>
              <w:lang w:val="fr-CH"/>
            </w:rPr>
            <w:tab/>
          </w:r>
          <w:proofErr w:type="spellStart"/>
          <w:r w:rsidR="00A52C84" w:rsidRPr="00BA3A51">
            <w:rPr>
              <w:bCs/>
              <w:lang w:val="fr-CH"/>
            </w:rPr>
            <w:t>CWG</w:t>
          </w:r>
          <w:proofErr w:type="spellEnd"/>
          <w:r w:rsidR="00A52C84" w:rsidRPr="00BA3A51">
            <w:rPr>
              <w:bCs/>
              <w:lang w:val="fr-CH"/>
            </w:rPr>
            <w:t>-</w:t>
          </w:r>
          <w:proofErr w:type="spellStart"/>
          <w:r w:rsidR="00BA3A51" w:rsidRPr="00BA3A51">
            <w:rPr>
              <w:bCs/>
              <w:lang w:val="fr-CH"/>
            </w:rPr>
            <w:t>L</w:t>
          </w:r>
          <w:r w:rsidR="00B248BC">
            <w:rPr>
              <w:bCs/>
              <w:lang w:val="fr-CH"/>
            </w:rPr>
            <w:t>ANG</w:t>
          </w:r>
          <w:r w:rsidR="00A52C84" w:rsidRPr="00BA3A51">
            <w:rPr>
              <w:bCs/>
              <w:lang w:val="fr-CH"/>
            </w:rPr>
            <w:t>-</w:t>
          </w:r>
          <w:r w:rsidR="00B248BC">
            <w:rPr>
              <w:bCs/>
              <w:lang w:val="fr-CH"/>
            </w:rPr>
            <w:t>1</w:t>
          </w:r>
          <w:r w:rsidR="00F14CA3">
            <w:rPr>
              <w:bCs/>
              <w:lang w:val="fr-CH"/>
            </w:rPr>
            <w:t>7</w:t>
          </w:r>
          <w:proofErr w:type="spellEnd"/>
          <w:r w:rsidR="00A52C84" w:rsidRPr="00BA3A51">
            <w:rPr>
              <w:bCs/>
              <w:lang w:val="fr-CH"/>
            </w:rPr>
            <w:t>/</w:t>
          </w:r>
          <w:r w:rsidR="00C93C85">
            <w:rPr>
              <w:bCs/>
              <w:lang w:val="fr-CH"/>
            </w:rPr>
            <w:t>2</w:t>
          </w:r>
          <w:r w:rsidR="00A52C84" w:rsidRPr="00BA3A51">
            <w:rPr>
              <w:bCs/>
              <w:lang w:val="fr-CH"/>
            </w:rPr>
            <w:t>-E</w:t>
          </w:r>
          <w:r w:rsidRPr="00BA3A51">
            <w:rPr>
              <w:bCs/>
              <w:lang w:val="fr-CH"/>
            </w:rPr>
            <w:tab/>
          </w:r>
          <w:r>
            <w:fldChar w:fldCharType="begin"/>
          </w:r>
          <w:r w:rsidRPr="00BA3A51">
            <w:rPr>
              <w:lang w:val="fr-CH"/>
            </w:rPr>
            <w:instrText>PAGE</w:instrText>
          </w:r>
          <w:r>
            <w:fldChar w:fldCharType="separate"/>
          </w:r>
          <w:r w:rsidRPr="00BA3A51">
            <w:rPr>
              <w:lang w:val="fr-CH"/>
            </w:rPr>
            <w:t>1</w:t>
          </w:r>
          <w:r>
            <w:rPr>
              <w:noProof/>
            </w:rPr>
            <w:fldChar w:fldCharType="end"/>
          </w:r>
        </w:p>
      </w:tc>
    </w:tr>
  </w:tbl>
  <w:p w14:paraId="44006CCE" w14:textId="77777777" w:rsidR="00EE49E8" w:rsidRPr="00BA3A51" w:rsidRDefault="00EE49E8" w:rsidP="00EE49E8">
    <w:pPr>
      <w:pStyle w:val="Header"/>
      <w:tabs>
        <w:tab w:val="left" w:pos="8080"/>
        <w:tab w:val="right" w:pos="9072"/>
      </w:tabs>
      <w:jc w:val="left"/>
      <w:rPr>
        <w:bCs/>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25393D" w:rsidRPr="0025393D" w14:paraId="112BD54C" w14:textId="77777777" w:rsidTr="00644DAE">
      <w:trPr>
        <w:jc w:val="center"/>
      </w:trPr>
      <w:tc>
        <w:tcPr>
          <w:tcW w:w="3107" w:type="dxa"/>
          <w:vAlign w:val="center"/>
        </w:tcPr>
        <w:p w14:paraId="241A7188" w14:textId="77777777" w:rsidR="0025393D" w:rsidRPr="0025393D" w:rsidRDefault="0025393D" w:rsidP="0025393D">
          <w:pPr>
            <w:tabs>
              <w:tab w:val="clear" w:pos="567"/>
              <w:tab w:val="clear" w:pos="1134"/>
              <w:tab w:val="clear" w:pos="1701"/>
              <w:tab w:val="clear" w:pos="2268"/>
              <w:tab w:val="clear" w:pos="2835"/>
            </w:tabs>
            <w:spacing w:before="0"/>
            <w:rPr>
              <w:rFonts w:eastAsia="Times New Roman" w:cs="Times New Roman"/>
              <w:noProof/>
              <w:color w:val="7F7F7F" w:themeColor="text1" w:themeTint="80"/>
              <w:sz w:val="18"/>
              <w:szCs w:val="20"/>
            </w:rPr>
          </w:pPr>
          <w:hyperlink r:id="rId1" w:history="1">
            <w:proofErr w:type="spellStart"/>
            <w:r w:rsidRPr="0025393D">
              <w:rPr>
                <w:rFonts w:eastAsia="Times New Roman" w:cs="Times New Roman"/>
                <w:color w:val="0563C1"/>
                <w:sz w:val="18"/>
                <w:szCs w:val="20"/>
                <w:u w:val="single"/>
              </w:rPr>
              <w:t>council.itu.int</w:t>
            </w:r>
            <w:proofErr w:type="spellEnd"/>
            <w:r w:rsidRPr="0025393D">
              <w:rPr>
                <w:rFonts w:eastAsia="Times New Roman" w:cs="Times New Roman"/>
                <w:color w:val="0563C1"/>
                <w:sz w:val="18"/>
                <w:szCs w:val="20"/>
                <w:u w:val="single"/>
              </w:rPr>
              <w:t>/working-groups</w:t>
            </w:r>
          </w:hyperlink>
        </w:p>
      </w:tc>
      <w:tc>
        <w:tcPr>
          <w:tcW w:w="6957" w:type="dxa"/>
        </w:tcPr>
        <w:p w14:paraId="25824207" w14:textId="2B4EB8E7" w:rsidR="0025393D" w:rsidRPr="0025393D" w:rsidRDefault="0025393D" w:rsidP="0025393D">
          <w:pPr>
            <w:tabs>
              <w:tab w:val="clear" w:pos="567"/>
              <w:tab w:val="clear" w:pos="1134"/>
              <w:tab w:val="clear" w:pos="1701"/>
              <w:tab w:val="clear" w:pos="2268"/>
              <w:tab w:val="clear" w:pos="2835"/>
              <w:tab w:val="left" w:pos="4299"/>
              <w:tab w:val="right" w:pos="8505"/>
              <w:tab w:val="right" w:pos="9639"/>
            </w:tabs>
            <w:spacing w:before="0"/>
            <w:rPr>
              <w:rFonts w:ascii="Arial" w:eastAsia="Times New Roman" w:hAnsi="Arial" w:cs="Arial"/>
              <w:b/>
              <w:bCs/>
              <w:color w:val="7F7F7F" w:themeColor="text1" w:themeTint="80"/>
              <w:sz w:val="18"/>
              <w:szCs w:val="18"/>
              <w:lang w:val="fr-CH"/>
            </w:rPr>
          </w:pPr>
          <w:r w:rsidRPr="0025393D">
            <w:rPr>
              <w:rFonts w:eastAsia="Times New Roman" w:cs="Times New Roman"/>
              <w:bCs/>
              <w:color w:val="7F7F7F" w:themeColor="text1" w:themeTint="80"/>
              <w:sz w:val="18"/>
              <w:szCs w:val="20"/>
            </w:rPr>
            <w:tab/>
          </w:r>
          <w:proofErr w:type="spellStart"/>
          <w:r w:rsidRPr="0025393D">
            <w:rPr>
              <w:rFonts w:eastAsia="Times New Roman" w:cs="Times New Roman"/>
              <w:bCs/>
              <w:color w:val="7F7F7F" w:themeColor="text1" w:themeTint="80"/>
              <w:sz w:val="18"/>
              <w:szCs w:val="20"/>
              <w:lang w:val="fr-CH"/>
            </w:rPr>
            <w:t>CWG</w:t>
          </w:r>
          <w:proofErr w:type="spellEnd"/>
          <w:r w:rsidRPr="0025393D">
            <w:rPr>
              <w:rFonts w:eastAsia="Times New Roman" w:cs="Times New Roman"/>
              <w:bCs/>
              <w:color w:val="7F7F7F" w:themeColor="text1" w:themeTint="80"/>
              <w:sz w:val="18"/>
              <w:szCs w:val="20"/>
              <w:lang w:val="fr-CH"/>
            </w:rPr>
            <w:t>-</w:t>
          </w:r>
          <w:proofErr w:type="spellStart"/>
          <w:r w:rsidRPr="0025393D">
            <w:rPr>
              <w:rFonts w:eastAsia="Times New Roman" w:cs="Times New Roman"/>
              <w:bCs/>
              <w:color w:val="7F7F7F" w:themeColor="text1" w:themeTint="80"/>
              <w:sz w:val="18"/>
              <w:szCs w:val="20"/>
              <w:lang w:val="fr-CH"/>
            </w:rPr>
            <w:t>LANG-17</w:t>
          </w:r>
          <w:proofErr w:type="spellEnd"/>
          <w:r w:rsidRPr="0025393D">
            <w:rPr>
              <w:rFonts w:eastAsia="Times New Roman" w:cs="Times New Roman"/>
              <w:bCs/>
              <w:color w:val="7F7F7F" w:themeColor="text1" w:themeTint="80"/>
              <w:sz w:val="18"/>
              <w:szCs w:val="20"/>
              <w:lang w:val="fr-CH"/>
            </w:rPr>
            <w:t>/</w:t>
          </w:r>
          <w:r w:rsidR="00C93C85">
            <w:rPr>
              <w:rFonts w:eastAsia="Times New Roman" w:cs="Times New Roman"/>
              <w:bCs/>
              <w:color w:val="7F7F7F" w:themeColor="text1" w:themeTint="80"/>
              <w:sz w:val="18"/>
              <w:szCs w:val="20"/>
              <w:lang w:val="fr-CH"/>
            </w:rPr>
            <w:t>2</w:t>
          </w:r>
          <w:r w:rsidRPr="0025393D">
            <w:rPr>
              <w:rFonts w:eastAsia="Times New Roman" w:cs="Times New Roman"/>
              <w:bCs/>
              <w:color w:val="7F7F7F" w:themeColor="text1" w:themeTint="80"/>
              <w:sz w:val="18"/>
              <w:szCs w:val="20"/>
              <w:lang w:val="fr-CH"/>
            </w:rPr>
            <w:t>-E</w:t>
          </w:r>
          <w:r w:rsidRPr="0025393D">
            <w:rPr>
              <w:rFonts w:eastAsia="Times New Roman" w:cs="Times New Roman"/>
              <w:bCs/>
              <w:color w:val="7F7F7F" w:themeColor="text1" w:themeTint="80"/>
              <w:sz w:val="18"/>
              <w:szCs w:val="20"/>
              <w:lang w:val="fr-CH"/>
            </w:rPr>
            <w:tab/>
          </w:r>
          <w:r w:rsidRPr="0025393D">
            <w:rPr>
              <w:color w:val="7F7F7F" w:themeColor="text1" w:themeTint="80"/>
              <w:sz w:val="18"/>
            </w:rPr>
            <w:fldChar w:fldCharType="begin"/>
          </w:r>
          <w:r w:rsidRPr="0025393D">
            <w:rPr>
              <w:rFonts w:eastAsia="Times New Roman" w:cs="Times New Roman"/>
              <w:color w:val="7F7F7F" w:themeColor="text1" w:themeTint="80"/>
              <w:sz w:val="18"/>
              <w:szCs w:val="20"/>
              <w:lang w:val="fr-CH"/>
            </w:rPr>
            <w:instrText>PAGE</w:instrText>
          </w:r>
          <w:r w:rsidRPr="0025393D">
            <w:rPr>
              <w:color w:val="7F7F7F" w:themeColor="text1" w:themeTint="80"/>
              <w:sz w:val="18"/>
            </w:rPr>
            <w:fldChar w:fldCharType="separate"/>
          </w:r>
          <w:r w:rsidRPr="0025393D">
            <w:rPr>
              <w:rFonts w:eastAsia="Times New Roman" w:cs="Times New Roman"/>
              <w:color w:val="7F7F7F" w:themeColor="text1" w:themeTint="80"/>
              <w:sz w:val="18"/>
              <w:szCs w:val="20"/>
              <w:lang w:val="fr-CH"/>
            </w:rPr>
            <w:t>1</w:t>
          </w:r>
          <w:r w:rsidRPr="0025393D">
            <w:rPr>
              <w:noProof/>
              <w:color w:val="7F7F7F" w:themeColor="text1" w:themeTint="80"/>
              <w:sz w:val="18"/>
            </w:rPr>
            <w:fldChar w:fldCharType="end"/>
          </w:r>
        </w:p>
      </w:tc>
    </w:tr>
  </w:tbl>
  <w:p w14:paraId="12BE588F" w14:textId="77777777" w:rsidR="00A514A4" w:rsidRPr="00BA3A51" w:rsidRDefault="00A514A4" w:rsidP="00EE49E8">
    <w:pPr>
      <w:pStyle w:val="Header"/>
      <w:tabs>
        <w:tab w:val="left" w:pos="8080"/>
        <w:tab w:val="right" w:pos="9072"/>
      </w:tabs>
      <w:jc w:val="right"/>
      <w:rPr>
        <w:bCs/>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60476" w14:textId="77777777" w:rsidR="00E72229" w:rsidRDefault="00E72229">
      <w:r>
        <w:t>____________________</w:t>
      </w:r>
    </w:p>
  </w:footnote>
  <w:footnote w:type="continuationSeparator" w:id="0">
    <w:p w14:paraId="597D56F9" w14:textId="77777777" w:rsidR="00E72229" w:rsidRDefault="00E72229">
      <w:r>
        <w:continuationSeparator/>
      </w:r>
    </w:p>
  </w:footnote>
  <w:footnote w:id="1">
    <w:p w14:paraId="0ACD6949" w14:textId="77777777" w:rsidR="002E2C6D" w:rsidRPr="00C913A2" w:rsidRDefault="002E2C6D" w:rsidP="002E2C6D">
      <w:pPr>
        <w:pStyle w:val="FootnoteText"/>
        <w:rPr>
          <w:lang w:val="es-ES"/>
        </w:rPr>
      </w:pPr>
      <w:r>
        <w:rPr>
          <w:rStyle w:val="FootnoteReference"/>
        </w:rPr>
        <w:footnoteRef/>
      </w:r>
      <w:r>
        <w:tab/>
      </w:r>
      <w:r w:rsidRPr="002B2FED">
        <w:rPr>
          <w:sz w:val="20"/>
        </w:rPr>
        <w:t>One page equals 330 words.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6D4BB9D4" w14:textId="77777777" w:rsidTr="00F74694">
      <w:trPr>
        <w:trHeight w:val="1304"/>
        <w:jc w:val="center"/>
      </w:trPr>
      <w:tc>
        <w:tcPr>
          <w:tcW w:w="6546" w:type="dxa"/>
        </w:tcPr>
        <w:p w14:paraId="3E21B143" w14:textId="41860882" w:rsidR="00AD3606" w:rsidRPr="009621F8" w:rsidRDefault="00F14CA3" w:rsidP="00130599">
          <w:pPr>
            <w:pStyle w:val="Header"/>
            <w:jc w:val="left"/>
            <w:rPr>
              <w:rFonts w:ascii="Arial" w:hAnsi="Arial" w:cs="Arial"/>
              <w:b/>
              <w:bCs/>
              <w:color w:val="009CD6"/>
              <w:sz w:val="36"/>
              <w:szCs w:val="36"/>
            </w:rPr>
          </w:pPr>
          <w:bookmarkStart w:id="28" w:name="_Hlk133422111"/>
          <w:r w:rsidRPr="00130599">
            <w:rPr>
              <w:rFonts w:ascii="Arial" w:hAnsi="Arial" w:cs="Arial"/>
              <w:b/>
              <w:bCs/>
              <w:noProof/>
              <w:color w:val="009CD6"/>
              <w:szCs w:val="18"/>
            </w:rPr>
            <mc:AlternateContent>
              <mc:Choice Requires="wps">
                <w:drawing>
                  <wp:anchor distT="0" distB="0" distL="114300" distR="114300" simplePos="0" relativeHeight="251658242" behindDoc="0" locked="0" layoutInCell="1" allowOverlap="1" wp14:anchorId="4E9A2C87" wp14:editId="3FD198DA">
                    <wp:simplePos x="0" y="0"/>
                    <wp:positionH relativeFrom="column">
                      <wp:posOffset>539115</wp:posOffset>
                    </wp:positionH>
                    <wp:positionV relativeFrom="paragraph">
                      <wp:posOffset>11430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0B44A3EE" w14:textId="0EF0644F"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BA3A51">
                                  <w:rPr>
                                    <w:b/>
                                    <w:bCs/>
                                    <w:szCs w:val="24"/>
                                  </w:rPr>
                                  <w:t>the use of the six official languages of the Union</w:t>
                                </w:r>
                                <w:r>
                                  <w:br/>
                                </w:r>
                                <w:r w:rsidR="00F14CA3">
                                  <w:rPr>
                                    <w:sz w:val="20"/>
                                  </w:rPr>
                                  <w:t>Seventeenth</w:t>
                                </w:r>
                                <w:r w:rsidRPr="00130599">
                                  <w:rPr>
                                    <w:sz w:val="20"/>
                                  </w:rPr>
                                  <w:t xml:space="preserve"> meeting </w:t>
                                </w:r>
                                <w:r w:rsidR="0042059E">
                                  <w:rPr>
                                    <w:sz w:val="20"/>
                                  </w:rPr>
                                  <w:t>–</w:t>
                                </w:r>
                                <w:r w:rsidR="00B358B2">
                                  <w:rPr>
                                    <w:sz w:val="20"/>
                                  </w:rPr>
                                  <w:t xml:space="preserve"> </w:t>
                                </w:r>
                                <w:r w:rsidR="003B69F5">
                                  <w:rPr>
                                    <w:sz w:val="20"/>
                                  </w:rPr>
                                  <w:t>20</w:t>
                                </w:r>
                                <w:r w:rsidR="00BA7745">
                                  <w:rPr>
                                    <w:sz w:val="20"/>
                                  </w:rPr>
                                  <w:t xml:space="preserve"> January 2026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9A2C87" id="_x0000_t202" coordsize="21600,21600" o:spt="202" path="m,l,21600r21600,l21600,xe">
                    <v:stroke joinstyle="miter"/>
                    <v:path gradientshapeok="t" o:connecttype="rect"/>
                  </v:shapetype>
                  <v:shape id="Text Box 2" o:spid="_x0000_s1026" type="#_x0000_t202" style="position:absolute;margin-left:42.45pt;margin-top:.9pt;width:314.9pt;height:37.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" filled="f" stroked="f">
                    <v:textbox style="mso-fit-shape-to-text:t">
                      <w:txbxContent>
                        <w:p w14:paraId="0B44A3EE" w14:textId="0EF0644F"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BA3A51">
                            <w:rPr>
                              <w:b/>
                              <w:bCs/>
                              <w:szCs w:val="24"/>
                            </w:rPr>
                            <w:t>the use of the six official languages of the Union</w:t>
                          </w:r>
                          <w:r>
                            <w:br/>
                          </w:r>
                          <w:r w:rsidR="00F14CA3">
                            <w:rPr>
                              <w:sz w:val="20"/>
                            </w:rPr>
                            <w:t>Seventeenth</w:t>
                          </w:r>
                          <w:r w:rsidRPr="00130599">
                            <w:rPr>
                              <w:sz w:val="20"/>
                            </w:rPr>
                            <w:t xml:space="preserve"> meeting </w:t>
                          </w:r>
                          <w:r w:rsidR="0042059E">
                            <w:rPr>
                              <w:sz w:val="20"/>
                            </w:rPr>
                            <w:t>–</w:t>
                          </w:r>
                          <w:r w:rsidR="00B358B2">
                            <w:rPr>
                              <w:sz w:val="20"/>
                            </w:rPr>
                            <w:t xml:space="preserve"> </w:t>
                          </w:r>
                          <w:r w:rsidR="003B69F5">
                            <w:rPr>
                              <w:sz w:val="20"/>
                            </w:rPr>
                            <w:t>20</w:t>
                          </w:r>
                          <w:r w:rsidR="00BA7745">
                            <w:rPr>
                              <w:sz w:val="20"/>
                            </w:rPr>
                            <w:t xml:space="preserve"> January 2026</w:t>
                          </w:r>
                        </w:p>
                      </w:txbxContent>
                    </v:textbox>
                  </v:shape>
                </w:pict>
              </mc:Fallback>
            </mc:AlternateContent>
          </w:r>
          <w:r w:rsidR="00DB00D5">
            <w:rPr>
              <w:rFonts w:ascii="Arial" w:hAnsi="Arial" w:cs="Arial"/>
              <w:b/>
              <w:bCs/>
              <w:noProof/>
              <w:color w:val="009CD6"/>
              <w:szCs w:val="18"/>
            </w:rPr>
            <mc:AlternateContent>
              <mc:Choice Requires="wps">
                <w:drawing>
                  <wp:anchor distT="0" distB="0" distL="114300" distR="114300" simplePos="0" relativeHeight="251658241"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055BDC" id="Rectangle 2" o:spid="_x0000_s1026" style="position:absolute;margin-left:44.9pt;margin-top:5pt;width:130.15pt;height:42.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fillcolor="white [3212]" stroked="f" strokeweight="2pt"/>
                </w:pict>
              </mc:Fallback>
            </mc:AlternateContent>
          </w:r>
          <w:r w:rsidR="00AD3606">
            <w:rPr>
              <w:noProof/>
            </w:rPr>
            <w:drawing>
              <wp:inline distT="0" distB="0" distL="0" distR="0" wp14:anchorId="4ED31E31" wp14:editId="07322292">
                <wp:extent cx="2343444" cy="6486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352690" cy="651224"/>
                        </a:xfrm>
                        <a:prstGeom prst="rect">
                          <a:avLst/>
                        </a:prstGeom>
                      </pic:spPr>
                    </pic:pic>
                  </a:graphicData>
                </a:graphic>
              </wp:inline>
            </w:drawing>
          </w:r>
        </w:p>
      </w:tc>
      <w:tc>
        <w:tcPr>
          <w:tcW w:w="3474" w:type="dxa"/>
        </w:tcPr>
        <w:p w14:paraId="2D9A3A2C" w14:textId="77777777" w:rsidR="00AD3606" w:rsidRDefault="00AD3606" w:rsidP="00AD3606">
          <w:pPr>
            <w:pStyle w:val="Header"/>
            <w:jc w:val="right"/>
            <w:rPr>
              <w:rFonts w:ascii="Arial" w:hAnsi="Arial" w:cs="Arial"/>
              <w:b/>
              <w:bCs/>
              <w:color w:val="009CD6"/>
              <w:szCs w:val="18"/>
            </w:rPr>
          </w:pPr>
        </w:p>
        <w:p w14:paraId="10B673DE" w14:textId="77777777" w:rsidR="00AD3606" w:rsidRDefault="00AD3606" w:rsidP="00AD3606">
          <w:pPr>
            <w:pStyle w:val="Header"/>
            <w:jc w:val="right"/>
            <w:rPr>
              <w:rFonts w:ascii="Arial" w:hAnsi="Arial" w:cs="Arial"/>
              <w:b/>
              <w:bCs/>
              <w:color w:val="009CD6"/>
              <w:szCs w:val="18"/>
            </w:rPr>
          </w:pPr>
        </w:p>
        <w:p w14:paraId="4287C2DF" w14:textId="0D65FB02"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28"/>
  <w:p w14:paraId="0D24EB89" w14:textId="3A28926C"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8240" behindDoc="0" locked="0" layoutInCell="1" allowOverlap="1" wp14:anchorId="141CBB14" wp14:editId="62EA4DEB">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FED31B" id="Rectangle 5" o:spid="_x0000_s1026" style="position:absolute;margin-left:1.15pt;margin-top:43.75pt;width:7.35pt;height: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aJrkeItH" int2:invalidationBookmarkName="" int2:hashCode="ndrFylGSAvZa0o" int2:id="72axvOLj">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9073A8"/>
    <w:multiLevelType w:val="multilevel"/>
    <w:tmpl w:val="96C0D3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EF4180"/>
    <w:multiLevelType w:val="multilevel"/>
    <w:tmpl w:val="389E7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07191B"/>
    <w:multiLevelType w:val="multilevel"/>
    <w:tmpl w:val="CBC492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4A7F8F"/>
    <w:multiLevelType w:val="multilevel"/>
    <w:tmpl w:val="D2EAE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7C41C6"/>
    <w:multiLevelType w:val="multilevel"/>
    <w:tmpl w:val="39C6E5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14630D"/>
    <w:multiLevelType w:val="multilevel"/>
    <w:tmpl w:val="4E5A4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6C973A1"/>
    <w:multiLevelType w:val="multilevel"/>
    <w:tmpl w:val="67209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E4C3323"/>
    <w:multiLevelType w:val="multilevel"/>
    <w:tmpl w:val="0DB2B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F9D718D"/>
    <w:multiLevelType w:val="multilevel"/>
    <w:tmpl w:val="F2E6F3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374816267">
    <w:abstractNumId w:val="0"/>
  </w:num>
  <w:num w:numId="2" w16cid:durableId="1282607664">
    <w:abstractNumId w:val="7"/>
  </w:num>
  <w:num w:numId="3" w16cid:durableId="1728331396">
    <w:abstractNumId w:val="3"/>
  </w:num>
  <w:num w:numId="4" w16cid:durableId="249895530">
    <w:abstractNumId w:val="2"/>
  </w:num>
  <w:num w:numId="5" w16cid:durableId="2003005658">
    <w:abstractNumId w:val="6"/>
  </w:num>
  <w:num w:numId="6" w16cid:durableId="1988244319">
    <w:abstractNumId w:val="4"/>
  </w:num>
  <w:num w:numId="7" w16cid:durableId="78328209">
    <w:abstractNumId w:val="8"/>
  </w:num>
  <w:num w:numId="8" w16cid:durableId="189613790">
    <w:abstractNumId w:val="5"/>
  </w:num>
  <w:num w:numId="9" w16cid:durableId="371156227">
    <w:abstractNumId w:val="1"/>
  </w:num>
  <w:num w:numId="10" w16cid:durableId="16538323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17E4A"/>
    <w:rsid w:val="000210D4"/>
    <w:rsid w:val="00022925"/>
    <w:rsid w:val="000233F9"/>
    <w:rsid w:val="00040C26"/>
    <w:rsid w:val="000412C5"/>
    <w:rsid w:val="0004581E"/>
    <w:rsid w:val="000521DD"/>
    <w:rsid w:val="00063016"/>
    <w:rsid w:val="00066795"/>
    <w:rsid w:val="00076AF6"/>
    <w:rsid w:val="00081F53"/>
    <w:rsid w:val="00085CC2"/>
    <w:rsid w:val="00085CF2"/>
    <w:rsid w:val="0009469A"/>
    <w:rsid w:val="000A5AFE"/>
    <w:rsid w:val="000B1705"/>
    <w:rsid w:val="000B2277"/>
    <w:rsid w:val="000B2C5B"/>
    <w:rsid w:val="000D194C"/>
    <w:rsid w:val="000D75B2"/>
    <w:rsid w:val="000E22CC"/>
    <w:rsid w:val="000F3FEB"/>
    <w:rsid w:val="001015DD"/>
    <w:rsid w:val="00104DB4"/>
    <w:rsid w:val="00105A54"/>
    <w:rsid w:val="001121F5"/>
    <w:rsid w:val="00120E50"/>
    <w:rsid w:val="00130599"/>
    <w:rsid w:val="00130633"/>
    <w:rsid w:val="001400DC"/>
    <w:rsid w:val="00140CE1"/>
    <w:rsid w:val="00153DBC"/>
    <w:rsid w:val="00155307"/>
    <w:rsid w:val="00156BA0"/>
    <w:rsid w:val="001606A1"/>
    <w:rsid w:val="00166788"/>
    <w:rsid w:val="0017539C"/>
    <w:rsid w:val="00175AC2"/>
    <w:rsid w:val="0017609F"/>
    <w:rsid w:val="00194FDB"/>
    <w:rsid w:val="001A1BB2"/>
    <w:rsid w:val="001A72C5"/>
    <w:rsid w:val="001A7D1D"/>
    <w:rsid w:val="001B18CA"/>
    <w:rsid w:val="001B51DD"/>
    <w:rsid w:val="001C6104"/>
    <w:rsid w:val="001C628E"/>
    <w:rsid w:val="001D1C47"/>
    <w:rsid w:val="001E0F7B"/>
    <w:rsid w:val="001E0FBE"/>
    <w:rsid w:val="001E5FE7"/>
    <w:rsid w:val="001F2CF9"/>
    <w:rsid w:val="001FD5F8"/>
    <w:rsid w:val="002119FD"/>
    <w:rsid w:val="002130E0"/>
    <w:rsid w:val="002141DD"/>
    <w:rsid w:val="002209EE"/>
    <w:rsid w:val="00222735"/>
    <w:rsid w:val="002312A5"/>
    <w:rsid w:val="00244F7F"/>
    <w:rsid w:val="0025393D"/>
    <w:rsid w:val="0025592C"/>
    <w:rsid w:val="00256D9B"/>
    <w:rsid w:val="002615DC"/>
    <w:rsid w:val="00264425"/>
    <w:rsid w:val="00265875"/>
    <w:rsid w:val="00267A7E"/>
    <w:rsid w:val="00271083"/>
    <w:rsid w:val="0027303B"/>
    <w:rsid w:val="00275FC9"/>
    <w:rsid w:val="002805B1"/>
    <w:rsid w:val="0028109B"/>
    <w:rsid w:val="00290F11"/>
    <w:rsid w:val="00295FD6"/>
    <w:rsid w:val="00296D6F"/>
    <w:rsid w:val="002A2188"/>
    <w:rsid w:val="002B1F58"/>
    <w:rsid w:val="002B61F5"/>
    <w:rsid w:val="002B73F6"/>
    <w:rsid w:val="002B769C"/>
    <w:rsid w:val="002C1C7A"/>
    <w:rsid w:val="002C5213"/>
    <w:rsid w:val="002C54E2"/>
    <w:rsid w:val="002D51B1"/>
    <w:rsid w:val="002E2C6D"/>
    <w:rsid w:val="002F0454"/>
    <w:rsid w:val="002F7F9D"/>
    <w:rsid w:val="0030160F"/>
    <w:rsid w:val="00313831"/>
    <w:rsid w:val="00313994"/>
    <w:rsid w:val="00320223"/>
    <w:rsid w:val="00322D0D"/>
    <w:rsid w:val="003250E4"/>
    <w:rsid w:val="00332598"/>
    <w:rsid w:val="00352C6E"/>
    <w:rsid w:val="00361465"/>
    <w:rsid w:val="00380FDC"/>
    <w:rsid w:val="003877F5"/>
    <w:rsid w:val="003942D4"/>
    <w:rsid w:val="0039507B"/>
    <w:rsid w:val="003958A8"/>
    <w:rsid w:val="003A3A26"/>
    <w:rsid w:val="003B69F5"/>
    <w:rsid w:val="003C2533"/>
    <w:rsid w:val="003D4E96"/>
    <w:rsid w:val="003D5A7F"/>
    <w:rsid w:val="003D635C"/>
    <w:rsid w:val="003D7415"/>
    <w:rsid w:val="003E58F1"/>
    <w:rsid w:val="003F3F6C"/>
    <w:rsid w:val="004016E2"/>
    <w:rsid w:val="004040E6"/>
    <w:rsid w:val="0040435A"/>
    <w:rsid w:val="0040436C"/>
    <w:rsid w:val="00405F63"/>
    <w:rsid w:val="00416A24"/>
    <w:rsid w:val="0041781C"/>
    <w:rsid w:val="0042059E"/>
    <w:rsid w:val="0042288C"/>
    <w:rsid w:val="004268DA"/>
    <w:rsid w:val="0042796E"/>
    <w:rsid w:val="00431D9E"/>
    <w:rsid w:val="00433CE8"/>
    <w:rsid w:val="00434A5C"/>
    <w:rsid w:val="00437BDE"/>
    <w:rsid w:val="00444E98"/>
    <w:rsid w:val="0045360C"/>
    <w:rsid w:val="004544D9"/>
    <w:rsid w:val="004618C7"/>
    <w:rsid w:val="00472BAD"/>
    <w:rsid w:val="00484009"/>
    <w:rsid w:val="0048513E"/>
    <w:rsid w:val="00490D55"/>
    <w:rsid w:val="00490E72"/>
    <w:rsid w:val="00491157"/>
    <w:rsid w:val="004921C8"/>
    <w:rsid w:val="00492CB8"/>
    <w:rsid w:val="00495B0B"/>
    <w:rsid w:val="004A0B8C"/>
    <w:rsid w:val="004A1B8B"/>
    <w:rsid w:val="004D1851"/>
    <w:rsid w:val="004D4342"/>
    <w:rsid w:val="004D599D"/>
    <w:rsid w:val="004E2EA5"/>
    <w:rsid w:val="004E3AEB"/>
    <w:rsid w:val="004E444F"/>
    <w:rsid w:val="004E7A94"/>
    <w:rsid w:val="0050223C"/>
    <w:rsid w:val="005243FF"/>
    <w:rsid w:val="005311D6"/>
    <w:rsid w:val="00535792"/>
    <w:rsid w:val="00536422"/>
    <w:rsid w:val="00564FBC"/>
    <w:rsid w:val="005800BC"/>
    <w:rsid w:val="00582442"/>
    <w:rsid w:val="005841CA"/>
    <w:rsid w:val="00597181"/>
    <w:rsid w:val="005A335D"/>
    <w:rsid w:val="005B4A5D"/>
    <w:rsid w:val="005C13D4"/>
    <w:rsid w:val="005C37DA"/>
    <w:rsid w:val="005E036A"/>
    <w:rsid w:val="005E2BD5"/>
    <w:rsid w:val="005F3269"/>
    <w:rsid w:val="00600643"/>
    <w:rsid w:val="0060566B"/>
    <w:rsid w:val="0061017D"/>
    <w:rsid w:val="006217EA"/>
    <w:rsid w:val="00623AE3"/>
    <w:rsid w:val="00624A46"/>
    <w:rsid w:val="00632655"/>
    <w:rsid w:val="00634F2B"/>
    <w:rsid w:val="00644DAE"/>
    <w:rsid w:val="0064737F"/>
    <w:rsid w:val="006535F1"/>
    <w:rsid w:val="0065384F"/>
    <w:rsid w:val="0065424C"/>
    <w:rsid w:val="0065557D"/>
    <w:rsid w:val="00660D50"/>
    <w:rsid w:val="00662984"/>
    <w:rsid w:val="006634C3"/>
    <w:rsid w:val="006667D5"/>
    <w:rsid w:val="006714B6"/>
    <w:rsid w:val="006716BB"/>
    <w:rsid w:val="006768DD"/>
    <w:rsid w:val="006856C0"/>
    <w:rsid w:val="0069113F"/>
    <w:rsid w:val="006944A9"/>
    <w:rsid w:val="00694B18"/>
    <w:rsid w:val="006979F7"/>
    <w:rsid w:val="006B1859"/>
    <w:rsid w:val="006B6680"/>
    <w:rsid w:val="006B6DCC"/>
    <w:rsid w:val="006C3875"/>
    <w:rsid w:val="006D1933"/>
    <w:rsid w:val="006E4E15"/>
    <w:rsid w:val="006F6866"/>
    <w:rsid w:val="00702DEF"/>
    <w:rsid w:val="00706861"/>
    <w:rsid w:val="00734EBF"/>
    <w:rsid w:val="007447D3"/>
    <w:rsid w:val="0075051B"/>
    <w:rsid w:val="00751EF6"/>
    <w:rsid w:val="00775655"/>
    <w:rsid w:val="00775B4C"/>
    <w:rsid w:val="00791FA8"/>
    <w:rsid w:val="00793188"/>
    <w:rsid w:val="00794D34"/>
    <w:rsid w:val="0079772A"/>
    <w:rsid w:val="007B60A7"/>
    <w:rsid w:val="007D18EB"/>
    <w:rsid w:val="007D4EAB"/>
    <w:rsid w:val="007D5F2C"/>
    <w:rsid w:val="007E2492"/>
    <w:rsid w:val="007E3512"/>
    <w:rsid w:val="007E5AAF"/>
    <w:rsid w:val="007F494F"/>
    <w:rsid w:val="007F7837"/>
    <w:rsid w:val="00806E3C"/>
    <w:rsid w:val="00813E5E"/>
    <w:rsid w:val="00816C2C"/>
    <w:rsid w:val="0083581B"/>
    <w:rsid w:val="008402BC"/>
    <w:rsid w:val="00842637"/>
    <w:rsid w:val="00845052"/>
    <w:rsid w:val="00860EED"/>
    <w:rsid w:val="00862770"/>
    <w:rsid w:val="00863874"/>
    <w:rsid w:val="00864AFF"/>
    <w:rsid w:val="008653FD"/>
    <w:rsid w:val="00865925"/>
    <w:rsid w:val="0087640F"/>
    <w:rsid w:val="00891503"/>
    <w:rsid w:val="008964B4"/>
    <w:rsid w:val="008B4A6A"/>
    <w:rsid w:val="008C1BAB"/>
    <w:rsid w:val="008C3B42"/>
    <w:rsid w:val="008C6322"/>
    <w:rsid w:val="008C7E27"/>
    <w:rsid w:val="008D0543"/>
    <w:rsid w:val="008D17B3"/>
    <w:rsid w:val="008D4B18"/>
    <w:rsid w:val="008D65AC"/>
    <w:rsid w:val="008E76DE"/>
    <w:rsid w:val="008F7448"/>
    <w:rsid w:val="0090147A"/>
    <w:rsid w:val="0090389B"/>
    <w:rsid w:val="009173EF"/>
    <w:rsid w:val="0092154F"/>
    <w:rsid w:val="00921998"/>
    <w:rsid w:val="009237AB"/>
    <w:rsid w:val="0092552C"/>
    <w:rsid w:val="00927041"/>
    <w:rsid w:val="00932906"/>
    <w:rsid w:val="00933836"/>
    <w:rsid w:val="00956C78"/>
    <w:rsid w:val="00961B0B"/>
    <w:rsid w:val="00962D33"/>
    <w:rsid w:val="00963E45"/>
    <w:rsid w:val="00965A78"/>
    <w:rsid w:val="009752D9"/>
    <w:rsid w:val="009855C9"/>
    <w:rsid w:val="009B38C3"/>
    <w:rsid w:val="009B3E9C"/>
    <w:rsid w:val="009B4345"/>
    <w:rsid w:val="009B5A64"/>
    <w:rsid w:val="009C2905"/>
    <w:rsid w:val="009D0A78"/>
    <w:rsid w:val="009D15EA"/>
    <w:rsid w:val="009D1D0C"/>
    <w:rsid w:val="009D4EA3"/>
    <w:rsid w:val="009D605C"/>
    <w:rsid w:val="009E17BD"/>
    <w:rsid w:val="009E39B2"/>
    <w:rsid w:val="009E485A"/>
    <w:rsid w:val="009E552B"/>
    <w:rsid w:val="009E59D8"/>
    <w:rsid w:val="009F240C"/>
    <w:rsid w:val="009F2CC9"/>
    <w:rsid w:val="009F33CB"/>
    <w:rsid w:val="00A02BF5"/>
    <w:rsid w:val="00A031A1"/>
    <w:rsid w:val="00A04CEC"/>
    <w:rsid w:val="00A2067A"/>
    <w:rsid w:val="00A20CC2"/>
    <w:rsid w:val="00A2263D"/>
    <w:rsid w:val="00A273D6"/>
    <w:rsid w:val="00A275D4"/>
    <w:rsid w:val="00A27F92"/>
    <w:rsid w:val="00A32257"/>
    <w:rsid w:val="00A36D20"/>
    <w:rsid w:val="00A467DF"/>
    <w:rsid w:val="00A46CD0"/>
    <w:rsid w:val="00A514A4"/>
    <w:rsid w:val="00A52C84"/>
    <w:rsid w:val="00A53FA8"/>
    <w:rsid w:val="00A5531F"/>
    <w:rsid w:val="00A55622"/>
    <w:rsid w:val="00A65CB3"/>
    <w:rsid w:val="00A83502"/>
    <w:rsid w:val="00A9226B"/>
    <w:rsid w:val="00A94A73"/>
    <w:rsid w:val="00AC360A"/>
    <w:rsid w:val="00AD15B3"/>
    <w:rsid w:val="00AD3606"/>
    <w:rsid w:val="00AD4A3D"/>
    <w:rsid w:val="00AE1DC2"/>
    <w:rsid w:val="00AE2E85"/>
    <w:rsid w:val="00AF6E49"/>
    <w:rsid w:val="00B04A67"/>
    <w:rsid w:val="00B0583C"/>
    <w:rsid w:val="00B23641"/>
    <w:rsid w:val="00B23A3B"/>
    <w:rsid w:val="00B248BC"/>
    <w:rsid w:val="00B34285"/>
    <w:rsid w:val="00B358B2"/>
    <w:rsid w:val="00B40A81"/>
    <w:rsid w:val="00B42760"/>
    <w:rsid w:val="00B42E08"/>
    <w:rsid w:val="00B44910"/>
    <w:rsid w:val="00B50A5B"/>
    <w:rsid w:val="00B72267"/>
    <w:rsid w:val="00B76EB6"/>
    <w:rsid w:val="00B7737B"/>
    <w:rsid w:val="00B8216C"/>
    <w:rsid w:val="00B824C8"/>
    <w:rsid w:val="00B849D3"/>
    <w:rsid w:val="00B84B9D"/>
    <w:rsid w:val="00B862E6"/>
    <w:rsid w:val="00B949E9"/>
    <w:rsid w:val="00BA001C"/>
    <w:rsid w:val="00BA074B"/>
    <w:rsid w:val="00BA3764"/>
    <w:rsid w:val="00BA3A51"/>
    <w:rsid w:val="00BA3E11"/>
    <w:rsid w:val="00BA7745"/>
    <w:rsid w:val="00BB526D"/>
    <w:rsid w:val="00BC23D4"/>
    <w:rsid w:val="00BC251A"/>
    <w:rsid w:val="00BD032B"/>
    <w:rsid w:val="00BD48B2"/>
    <w:rsid w:val="00BE2640"/>
    <w:rsid w:val="00BF4DE9"/>
    <w:rsid w:val="00C0073E"/>
    <w:rsid w:val="00C01189"/>
    <w:rsid w:val="00C04EAB"/>
    <w:rsid w:val="00C374DE"/>
    <w:rsid w:val="00C46D0D"/>
    <w:rsid w:val="00C47AD4"/>
    <w:rsid w:val="00C52D81"/>
    <w:rsid w:val="00C55198"/>
    <w:rsid w:val="00C65724"/>
    <w:rsid w:val="00C67622"/>
    <w:rsid w:val="00C75B96"/>
    <w:rsid w:val="00C818F7"/>
    <w:rsid w:val="00C81A2F"/>
    <w:rsid w:val="00C84187"/>
    <w:rsid w:val="00C86B0B"/>
    <w:rsid w:val="00C92B3D"/>
    <w:rsid w:val="00C93C85"/>
    <w:rsid w:val="00CA6393"/>
    <w:rsid w:val="00CB0B9F"/>
    <w:rsid w:val="00CB18FF"/>
    <w:rsid w:val="00CB6F07"/>
    <w:rsid w:val="00CB74B9"/>
    <w:rsid w:val="00CD0C08"/>
    <w:rsid w:val="00CE03FB"/>
    <w:rsid w:val="00CE433C"/>
    <w:rsid w:val="00CF0161"/>
    <w:rsid w:val="00CF070A"/>
    <w:rsid w:val="00CF33F3"/>
    <w:rsid w:val="00CF5E77"/>
    <w:rsid w:val="00CF6B02"/>
    <w:rsid w:val="00D06183"/>
    <w:rsid w:val="00D131B4"/>
    <w:rsid w:val="00D15E63"/>
    <w:rsid w:val="00D202AD"/>
    <w:rsid w:val="00D22C42"/>
    <w:rsid w:val="00D2535A"/>
    <w:rsid w:val="00D45669"/>
    <w:rsid w:val="00D464CC"/>
    <w:rsid w:val="00D50255"/>
    <w:rsid w:val="00D53C61"/>
    <w:rsid w:val="00D636E5"/>
    <w:rsid w:val="00D63934"/>
    <w:rsid w:val="00D65041"/>
    <w:rsid w:val="00D753FB"/>
    <w:rsid w:val="00D9751C"/>
    <w:rsid w:val="00DA77E8"/>
    <w:rsid w:val="00DB00D5"/>
    <w:rsid w:val="00DB1936"/>
    <w:rsid w:val="00DB384B"/>
    <w:rsid w:val="00DC099C"/>
    <w:rsid w:val="00DC3A05"/>
    <w:rsid w:val="00DC4B6C"/>
    <w:rsid w:val="00DC6E76"/>
    <w:rsid w:val="00DD76DE"/>
    <w:rsid w:val="00DF0189"/>
    <w:rsid w:val="00E06FD5"/>
    <w:rsid w:val="00E10E80"/>
    <w:rsid w:val="00E124F0"/>
    <w:rsid w:val="00E132A2"/>
    <w:rsid w:val="00E227F3"/>
    <w:rsid w:val="00E22FFB"/>
    <w:rsid w:val="00E2370A"/>
    <w:rsid w:val="00E44558"/>
    <w:rsid w:val="00E466B8"/>
    <w:rsid w:val="00E4728B"/>
    <w:rsid w:val="00E50A4F"/>
    <w:rsid w:val="00E5226C"/>
    <w:rsid w:val="00E5245F"/>
    <w:rsid w:val="00E545C6"/>
    <w:rsid w:val="00E60F04"/>
    <w:rsid w:val="00E65B24"/>
    <w:rsid w:val="00E72229"/>
    <w:rsid w:val="00E854E4"/>
    <w:rsid w:val="00E86DBF"/>
    <w:rsid w:val="00EA0B35"/>
    <w:rsid w:val="00EB0D6F"/>
    <w:rsid w:val="00EB2232"/>
    <w:rsid w:val="00EC5337"/>
    <w:rsid w:val="00EC5D35"/>
    <w:rsid w:val="00ED37A4"/>
    <w:rsid w:val="00EE49E8"/>
    <w:rsid w:val="00EF517A"/>
    <w:rsid w:val="00F14125"/>
    <w:rsid w:val="00F1415C"/>
    <w:rsid w:val="00F14CA3"/>
    <w:rsid w:val="00F16BAB"/>
    <w:rsid w:val="00F2150A"/>
    <w:rsid w:val="00F231D8"/>
    <w:rsid w:val="00F26475"/>
    <w:rsid w:val="00F264E7"/>
    <w:rsid w:val="00F44C00"/>
    <w:rsid w:val="00F45D2C"/>
    <w:rsid w:val="00F46C5F"/>
    <w:rsid w:val="00F61A16"/>
    <w:rsid w:val="00F632C0"/>
    <w:rsid w:val="00F72B6E"/>
    <w:rsid w:val="00F74694"/>
    <w:rsid w:val="00F804DE"/>
    <w:rsid w:val="00F86596"/>
    <w:rsid w:val="00F940F7"/>
    <w:rsid w:val="00F94A63"/>
    <w:rsid w:val="00F972E3"/>
    <w:rsid w:val="00FA1C28"/>
    <w:rsid w:val="00FA3BE5"/>
    <w:rsid w:val="00FB1279"/>
    <w:rsid w:val="00FB6B76"/>
    <w:rsid w:val="00FB7596"/>
    <w:rsid w:val="00FE4077"/>
    <w:rsid w:val="00FE500D"/>
    <w:rsid w:val="00FE77D2"/>
    <w:rsid w:val="00FF4A87"/>
    <w:rsid w:val="00FF74C2"/>
    <w:rsid w:val="0118FE0E"/>
    <w:rsid w:val="012A4B7C"/>
    <w:rsid w:val="012E18A4"/>
    <w:rsid w:val="014A9EB0"/>
    <w:rsid w:val="01736441"/>
    <w:rsid w:val="01D56308"/>
    <w:rsid w:val="04815EFC"/>
    <w:rsid w:val="04F09F81"/>
    <w:rsid w:val="050EB883"/>
    <w:rsid w:val="071ECE54"/>
    <w:rsid w:val="072054B0"/>
    <w:rsid w:val="072F223E"/>
    <w:rsid w:val="07C3043A"/>
    <w:rsid w:val="07F97EED"/>
    <w:rsid w:val="08837157"/>
    <w:rsid w:val="08A741B9"/>
    <w:rsid w:val="08A8BB79"/>
    <w:rsid w:val="091C8245"/>
    <w:rsid w:val="096BF732"/>
    <w:rsid w:val="0B556785"/>
    <w:rsid w:val="0B6DE801"/>
    <w:rsid w:val="0BBF79D1"/>
    <w:rsid w:val="0BD681EF"/>
    <w:rsid w:val="0EA1D2DA"/>
    <w:rsid w:val="0FEE1AC2"/>
    <w:rsid w:val="117A2265"/>
    <w:rsid w:val="130AE883"/>
    <w:rsid w:val="132647A6"/>
    <w:rsid w:val="139DEA22"/>
    <w:rsid w:val="14B1157D"/>
    <w:rsid w:val="14C8B155"/>
    <w:rsid w:val="1553F0DD"/>
    <w:rsid w:val="1619E3C2"/>
    <w:rsid w:val="177C8B3C"/>
    <w:rsid w:val="17AA33A2"/>
    <w:rsid w:val="185FBE51"/>
    <w:rsid w:val="18E67B2F"/>
    <w:rsid w:val="18F98CED"/>
    <w:rsid w:val="1922C352"/>
    <w:rsid w:val="1946C825"/>
    <w:rsid w:val="1966F4DE"/>
    <w:rsid w:val="19B7BB96"/>
    <w:rsid w:val="19F6197F"/>
    <w:rsid w:val="1A4F569C"/>
    <w:rsid w:val="1AEDA5E0"/>
    <w:rsid w:val="1B173EEA"/>
    <w:rsid w:val="1BB2C568"/>
    <w:rsid w:val="1C40EDBD"/>
    <w:rsid w:val="1CCDE6C4"/>
    <w:rsid w:val="1FD04F8D"/>
    <w:rsid w:val="219C6770"/>
    <w:rsid w:val="2307BB8D"/>
    <w:rsid w:val="24BDCAF0"/>
    <w:rsid w:val="24CFB497"/>
    <w:rsid w:val="250F7ABB"/>
    <w:rsid w:val="25143229"/>
    <w:rsid w:val="257CAFA9"/>
    <w:rsid w:val="25F3337F"/>
    <w:rsid w:val="27EFE58A"/>
    <w:rsid w:val="2A43AAA3"/>
    <w:rsid w:val="2AAB2E35"/>
    <w:rsid w:val="2AC20012"/>
    <w:rsid w:val="2B6AAB71"/>
    <w:rsid w:val="2C282B10"/>
    <w:rsid w:val="2C8C0B87"/>
    <w:rsid w:val="2CB3E0FA"/>
    <w:rsid w:val="2E29BDCD"/>
    <w:rsid w:val="32D2868C"/>
    <w:rsid w:val="34362066"/>
    <w:rsid w:val="35E37C59"/>
    <w:rsid w:val="36D025AE"/>
    <w:rsid w:val="37621551"/>
    <w:rsid w:val="37BE82DF"/>
    <w:rsid w:val="37ED2A67"/>
    <w:rsid w:val="3865BAC1"/>
    <w:rsid w:val="3B57B57B"/>
    <w:rsid w:val="3B6EDE7D"/>
    <w:rsid w:val="3BDC967B"/>
    <w:rsid w:val="3C39F6B8"/>
    <w:rsid w:val="3CE9A28F"/>
    <w:rsid w:val="3D7EB282"/>
    <w:rsid w:val="3E41BC87"/>
    <w:rsid w:val="4065A90F"/>
    <w:rsid w:val="40B11081"/>
    <w:rsid w:val="40E544C8"/>
    <w:rsid w:val="4139B976"/>
    <w:rsid w:val="41B73E07"/>
    <w:rsid w:val="42F952F6"/>
    <w:rsid w:val="43E69CB5"/>
    <w:rsid w:val="44D85EEE"/>
    <w:rsid w:val="44E142EB"/>
    <w:rsid w:val="454BB08C"/>
    <w:rsid w:val="45EF1086"/>
    <w:rsid w:val="463CF7E3"/>
    <w:rsid w:val="46D0C66A"/>
    <w:rsid w:val="473CA1B9"/>
    <w:rsid w:val="4885651A"/>
    <w:rsid w:val="4913F7C1"/>
    <w:rsid w:val="49517FE6"/>
    <w:rsid w:val="4A8B42AA"/>
    <w:rsid w:val="4D400140"/>
    <w:rsid w:val="4D7162D2"/>
    <w:rsid w:val="4D97324C"/>
    <w:rsid w:val="5041CF34"/>
    <w:rsid w:val="507BBF3E"/>
    <w:rsid w:val="51DAC0F0"/>
    <w:rsid w:val="5254715E"/>
    <w:rsid w:val="5408B5E2"/>
    <w:rsid w:val="54171353"/>
    <w:rsid w:val="5449080C"/>
    <w:rsid w:val="545E8F47"/>
    <w:rsid w:val="5494CC45"/>
    <w:rsid w:val="568AD887"/>
    <w:rsid w:val="58DC9747"/>
    <w:rsid w:val="5A4AB4CC"/>
    <w:rsid w:val="5D0BF9AA"/>
    <w:rsid w:val="5D0E565C"/>
    <w:rsid w:val="5DD6DA11"/>
    <w:rsid w:val="5ECC5C94"/>
    <w:rsid w:val="6220D122"/>
    <w:rsid w:val="62B67824"/>
    <w:rsid w:val="634FCD2B"/>
    <w:rsid w:val="644E9E63"/>
    <w:rsid w:val="64C61E3F"/>
    <w:rsid w:val="6501738F"/>
    <w:rsid w:val="652355EE"/>
    <w:rsid w:val="6744F90A"/>
    <w:rsid w:val="679CDB72"/>
    <w:rsid w:val="689C3672"/>
    <w:rsid w:val="6A195CA0"/>
    <w:rsid w:val="6A293E00"/>
    <w:rsid w:val="6A3E8B08"/>
    <w:rsid w:val="6A657934"/>
    <w:rsid w:val="6AEBE6A0"/>
    <w:rsid w:val="6B09A118"/>
    <w:rsid w:val="6BE5E4B6"/>
    <w:rsid w:val="6C80D5B8"/>
    <w:rsid w:val="6C99611F"/>
    <w:rsid w:val="6CA2346D"/>
    <w:rsid w:val="6D27611E"/>
    <w:rsid w:val="6D955F62"/>
    <w:rsid w:val="6F0D2C68"/>
    <w:rsid w:val="70A39AC0"/>
    <w:rsid w:val="741EEE2B"/>
    <w:rsid w:val="745DE5D0"/>
    <w:rsid w:val="759C42F1"/>
    <w:rsid w:val="7687E630"/>
    <w:rsid w:val="77267D60"/>
    <w:rsid w:val="77F19312"/>
    <w:rsid w:val="7849E586"/>
    <w:rsid w:val="78C20823"/>
    <w:rsid w:val="799D2932"/>
    <w:rsid w:val="79D63F32"/>
    <w:rsid w:val="7A23D19D"/>
    <w:rsid w:val="7A48DEA0"/>
    <w:rsid w:val="7A9FF5EE"/>
    <w:rsid w:val="7AC3C536"/>
    <w:rsid w:val="7C70F2F4"/>
    <w:rsid w:val="7E825A84"/>
    <w:rsid w:val="7F3947A9"/>
    <w:rsid w:val="7F49063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15:docId w15:val="{698C70B9-ABB2-442F-B6E1-4FA9A2CB0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D202AD"/>
    <w:pPr>
      <w:keepNext/>
      <w:keepLines/>
      <w:spacing w:before="360"/>
      <w:ind w:left="567" w:hanging="567"/>
      <w:outlineLvl w:val="0"/>
    </w:pPr>
    <w:rPr>
      <w:b/>
      <w:sz w:val="28"/>
    </w:rPr>
  </w:style>
  <w:style w:type="paragraph" w:styleId="Heading2">
    <w:name w:val="heading 2"/>
    <w:basedOn w:val="Heading1"/>
    <w:next w:val="Normal"/>
    <w:qFormat/>
    <w:rsid w:val="00D202AD"/>
    <w:pPr>
      <w:spacing w:before="240"/>
      <w:outlineLvl w:val="1"/>
    </w:pPr>
    <w:rPr>
      <w:rFonts w:eastAsiaTheme="minorEastAsia" w:cs="Calibri"/>
      <w:bCs/>
      <w:sz w:val="24"/>
      <w:szCs w:val="24"/>
      <w:shd w:val="clear" w:color="auto" w:fill="FFFFFF"/>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aliases w:val="Appel note de bas de p,Footnote,Style 12,(NECG) Footnote Reference,FR,Style 13,Style 124,o,fr,Style 3,Footnote symbol,Voetnootverwijzing,Times 10 Point,Exposant 3 Point,footnote ref,Fuكnotenzeichen diss neu,Odwołanie przypisu,Ref"/>
    <w:basedOn w:val="DefaultParagraphFont"/>
    <w:rsid w:val="00813E5E"/>
    <w:rPr>
      <w:rFonts w:ascii="Calibri" w:hAnsi="Calibri"/>
      <w:position w:val="6"/>
      <w:sz w:val="16"/>
    </w:rPr>
  </w:style>
  <w:style w:type="paragraph" w:styleId="FootnoteText">
    <w:name w:val="footnote text"/>
    <w:aliases w:val="ALTS FOOTNOTE,Schriftart: 9 pt,Schriftart: 10 pt,Schriftart: 8 pt,WB-Fuكnotentext,Footnote text,Footnote Text Char Char Char Char,Footnote Text Char Char,Footnote Text Char Char Char Char Char,Char,WB-Fußnotentext,MTFootnote,fn,Fußn"/>
    <w:basedOn w:val="Normal"/>
    <w:link w:val="FootnoteTextChar"/>
    <w:uiPriority w:val="99"/>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492CB8"/>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Normal"/>
    <w:rsid w:val="00492CB8"/>
    <w:pPr>
      <w:spacing w:after="240"/>
      <w:jc w:val="center"/>
    </w:pPr>
    <w:rPr>
      <w:noProof/>
    </w:rPr>
  </w:style>
  <w:style w:type="paragraph" w:customStyle="1" w:styleId="Figuretitle">
    <w:name w:val="Figure_title"/>
    <w:basedOn w:val="Tabletitle"/>
    <w:next w:val="Figure"/>
    <w:rsid w:val="00E22FFB"/>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A275D4"/>
    <w:pPr>
      <w:tabs>
        <w:tab w:val="clear" w:pos="567"/>
        <w:tab w:val="clear" w:pos="1134"/>
        <w:tab w:val="clear" w:pos="1701"/>
        <w:tab w:val="clear" w:pos="2268"/>
        <w:tab w:val="clear" w:pos="2835"/>
      </w:tabs>
      <w:spacing w:before="40" w:after="40"/>
    </w:pPr>
    <w:rPr>
      <w:rFonts w:eastAsiaTheme="minorHAnsi" w:cstheme="minorBidi"/>
      <w:sz w:val="22"/>
      <w:szCs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E22FFB"/>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A275D4"/>
    <w:pPr>
      <w:spacing w:before="80" w:after="80"/>
      <w:jc w:val="center"/>
    </w:pPr>
    <w:rPr>
      <w:b/>
    </w:rPr>
  </w:style>
  <w:style w:type="paragraph" w:customStyle="1" w:styleId="Tablelegend">
    <w:name w:val="Table_legend"/>
    <w:basedOn w:val="Tabletext"/>
    <w:rsid w:val="00B42760"/>
    <w:pPr>
      <w:tabs>
        <w:tab w:val="left" w:pos="265"/>
      </w:tabs>
    </w:pPr>
    <w:rPr>
      <w:sz w:val="18"/>
      <w:szCs w:val="18"/>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F14CA3"/>
    <w:rPr>
      <w:color w:val="666666"/>
    </w:rPr>
  </w:style>
  <w:style w:type="paragraph" w:customStyle="1" w:styleId="Tablefin">
    <w:name w:val="Table_fin"/>
    <w:basedOn w:val="Tabletext"/>
    <w:rsid w:val="00BB526D"/>
    <w:pPr>
      <w:spacing w:before="0" w:after="0"/>
    </w:pPr>
  </w:style>
  <w:style w:type="character" w:customStyle="1" w:styleId="ui-provider">
    <w:name w:val="ui-provider"/>
    <w:basedOn w:val="DefaultParagraphFont"/>
    <w:rsid w:val="00085CC2"/>
  </w:style>
  <w:style w:type="character" w:customStyle="1" w:styleId="FootnoteTextChar">
    <w:name w:val="Footnote Text Char"/>
    <w:aliases w:val="ALTS FOOTNOTE Char,Schriftart: 9 pt Char,Schriftart: 10 pt Char,Schriftart: 8 pt Char,WB-Fuكnotentext Char,Footnote text Char,Footnote Text Char Char Char Char Char1,Footnote Text Char Char Char,Char Char,WB-Fußnotentext Char,fn Char"/>
    <w:basedOn w:val="DefaultParagraphFont"/>
    <w:link w:val="FootnoteText"/>
    <w:uiPriority w:val="99"/>
    <w:rsid w:val="00D15E63"/>
    <w:rPr>
      <w:rFonts w:ascii="Calibri" w:hAnsi="Calibri"/>
      <w:sz w:val="24"/>
      <w:lang w:val="en-GB" w:eastAsia="en-US"/>
    </w:rPr>
  </w:style>
  <w:style w:type="paragraph" w:styleId="Revision">
    <w:name w:val="Revision"/>
    <w:hidden/>
    <w:uiPriority w:val="99"/>
    <w:semiHidden/>
    <w:rsid w:val="00C84187"/>
    <w:rPr>
      <w:rFonts w:ascii="Calibri" w:hAnsi="Calibri"/>
      <w:sz w:val="24"/>
      <w:lang w:val="en-GB" w:eastAsia="en-US"/>
    </w:rPr>
  </w:style>
  <w:style w:type="character" w:styleId="CommentReference">
    <w:name w:val="annotation reference"/>
    <w:basedOn w:val="DefaultParagraphFont"/>
    <w:semiHidden/>
    <w:unhideWhenUsed/>
    <w:rsid w:val="009237AB"/>
    <w:rPr>
      <w:sz w:val="16"/>
      <w:szCs w:val="16"/>
    </w:rPr>
  </w:style>
  <w:style w:type="paragraph" w:styleId="CommentText">
    <w:name w:val="annotation text"/>
    <w:basedOn w:val="Normal"/>
    <w:link w:val="CommentTextChar"/>
    <w:unhideWhenUsed/>
    <w:rsid w:val="009237AB"/>
    <w:rPr>
      <w:sz w:val="20"/>
    </w:rPr>
  </w:style>
  <w:style w:type="character" w:customStyle="1" w:styleId="CommentTextChar">
    <w:name w:val="Comment Text Char"/>
    <w:basedOn w:val="DefaultParagraphFont"/>
    <w:link w:val="CommentText"/>
    <w:rsid w:val="009237AB"/>
    <w:rPr>
      <w:rFonts w:ascii="Calibri" w:hAnsi="Calibri"/>
      <w:lang w:val="en-GB" w:eastAsia="en-US"/>
    </w:rPr>
  </w:style>
  <w:style w:type="paragraph" w:styleId="CommentSubject">
    <w:name w:val="annotation subject"/>
    <w:basedOn w:val="CommentText"/>
    <w:next w:val="CommentText"/>
    <w:link w:val="CommentSubjectChar"/>
    <w:semiHidden/>
    <w:unhideWhenUsed/>
    <w:rsid w:val="009237AB"/>
    <w:rPr>
      <w:b/>
      <w:bCs/>
    </w:rPr>
  </w:style>
  <w:style w:type="character" w:customStyle="1" w:styleId="CommentSubjectChar">
    <w:name w:val="Comment Subject Char"/>
    <w:basedOn w:val="CommentTextChar"/>
    <w:link w:val="CommentSubject"/>
    <w:semiHidden/>
    <w:rsid w:val="009237AB"/>
    <w:rPr>
      <w:rFonts w:ascii="Calibri" w:hAnsi="Calibri"/>
      <w:b/>
      <w:bCs/>
      <w:lang w:val="en-GB" w:eastAsia="en-US"/>
    </w:rPr>
  </w:style>
  <w:style w:type="paragraph" w:styleId="NormalWeb">
    <w:name w:val="Normal (Web)"/>
    <w:basedOn w:val="Normal"/>
    <w:uiPriority w:val="99"/>
    <w:semiHidden/>
    <w:unhideWhenUsed/>
    <w:rsid w:val="00313994"/>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customStyle="1" w:styleId="eop">
    <w:name w:val="eop"/>
    <w:basedOn w:val="DefaultParagraphFont"/>
    <w:rsid w:val="00DD76DE"/>
  </w:style>
  <w:style w:type="paragraph" w:customStyle="1" w:styleId="Reasons">
    <w:name w:val="Reasons"/>
    <w:basedOn w:val="Normal"/>
    <w:qFormat/>
    <w:rsid w:val="00C46D0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24-CL-C-0138/en" TargetMode="External"/><Relationship Id="rId18" Type="http://schemas.openxmlformats.org/officeDocument/2006/relationships/hyperlink" Target="https://www.itu.int/md/S22-CL-INF-0007/en" TargetMode="External"/><Relationship Id="rId26" Type="http://schemas.openxmlformats.org/officeDocument/2006/relationships/hyperlink" Target="https://www.itu.int/md/S24-CL-C-0053/" TargetMode="External"/><Relationship Id="rId39" Type="http://schemas.openxmlformats.org/officeDocument/2006/relationships/oleObject" Target="embeddings/Microsoft_Excel_Chart1.xls"/><Relationship Id="rId21" Type="http://schemas.openxmlformats.org/officeDocument/2006/relationships/hyperlink" Target="https://www.itu.int/md/S26-RCLCWGLANG17-C-0003/en" TargetMode="External"/><Relationship Id="rId34" Type="http://schemas.openxmlformats.org/officeDocument/2006/relationships/chart" Target="charts/chart1.xml"/><Relationship Id="rId42" Type="http://schemas.openxmlformats.org/officeDocument/2006/relationships/image" Target="media/image4.png"/><Relationship Id="rId47" Type="http://schemas.openxmlformats.org/officeDocument/2006/relationships/hyperlink" Target="https://aiforgood.itu.int/" TargetMode="External"/><Relationship Id="rId50" Type="http://schemas.openxmlformats.org/officeDocument/2006/relationships/hyperlink" Target="https://council.itu.int/" TargetMode="External"/><Relationship Id="rId55" Type="http://schemas.openxmlformats.org/officeDocument/2006/relationships/hyperlink" Target="https://council.itu.int/2025/en/documents/electronic-tool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tu.int/md/S25-CL-C-0012/en" TargetMode="External"/><Relationship Id="rId29" Type="http://schemas.openxmlformats.org/officeDocument/2006/relationships/hyperlink" Target="https://www.itu.int/md/S26-RCLCWGLANG17-C-0004/en" TargetMode="External"/><Relationship Id="rId11" Type="http://schemas.openxmlformats.org/officeDocument/2006/relationships/hyperlink" Target="https://www.itu.int/en/council/cwg-lang/Pages/default.aspx" TargetMode="External"/><Relationship Id="rId24" Type="http://schemas.openxmlformats.org/officeDocument/2006/relationships/hyperlink" Target="https://www.itu.int/md/S25-CL-C-0121/en" TargetMode="External"/><Relationship Id="rId32" Type="http://schemas.openxmlformats.org/officeDocument/2006/relationships/hyperlink" Target="https://council.itu.int/2026/en/documents/electronic-tools/" TargetMode="External"/><Relationship Id="rId37" Type="http://schemas.openxmlformats.org/officeDocument/2006/relationships/image" Target="media/image2.png"/><Relationship Id="rId40" Type="http://schemas.openxmlformats.org/officeDocument/2006/relationships/image" Target="media/image3.png"/><Relationship Id="rId45" Type="http://schemas.openxmlformats.org/officeDocument/2006/relationships/hyperlink" Target="https://www.itu.int/ssf/" TargetMode="External"/><Relationship Id="rId53" Type="http://schemas.openxmlformats.org/officeDocument/2006/relationships/image" Target="media/image5.png"/><Relationship Id="rId58"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s://translate.itu.int/documents" TargetMode="External"/><Relationship Id="rId14" Type="http://schemas.openxmlformats.org/officeDocument/2006/relationships/hyperlink" Target="https://www.itu.int/en/general-secretariat/multilingualism/Documents/Guide%20to%20current%20and%20future%20practices%20in%20the%20implementation%20of%20multilingualism%20at%20ITU.pdf" TargetMode="External"/><Relationship Id="rId22" Type="http://schemas.openxmlformats.org/officeDocument/2006/relationships/hyperlink" Target="https://www.itu.int/myworkspace/" TargetMode="External"/><Relationship Id="rId27" Type="http://schemas.openxmlformats.org/officeDocument/2006/relationships/hyperlink" Target="https://www.itu.int/md/S25-CWGFHR21-C-0011/en" TargetMode="External"/><Relationship Id="rId30" Type="http://schemas.openxmlformats.org/officeDocument/2006/relationships/hyperlink" Target="https://www.itu.int/en/general-secretariat/multilingualism/Pages/language-tools.aspx" TargetMode="External"/><Relationship Id="rId35" Type="http://schemas.openxmlformats.org/officeDocument/2006/relationships/chart" Target="charts/chart2.xml"/><Relationship Id="rId43" Type="http://schemas.openxmlformats.org/officeDocument/2006/relationships/hyperlink" Target="https://www.itu.int/" TargetMode="External"/><Relationship Id="rId48" Type="http://schemas.openxmlformats.org/officeDocument/2006/relationships/hyperlink" Target="https://www.itu.int/en/about/Pages/default.aspx" TargetMode="External"/><Relationship Id="rId56" Type="http://schemas.openxmlformats.org/officeDocument/2006/relationships/image" Target="media/image7.png"/><Relationship Id="rId8" Type="http://schemas.openxmlformats.org/officeDocument/2006/relationships/webSettings" Target="webSettings.xml"/><Relationship Id="rId51" Type="http://schemas.openxmlformats.org/officeDocument/2006/relationships/hyperlink" Target="https://www.itu.int/en/ITU-D/Conferences/TDAG" TargetMode="External"/><Relationship Id="rId3" Type="http://schemas.openxmlformats.org/officeDocument/2006/relationships/customXml" Target="../customXml/item3.xml"/><Relationship Id="rId12" Type="http://schemas.openxmlformats.org/officeDocument/2006/relationships/hyperlink" Target="https://www.itu.int/en/council/Documents/basic-texts-2023/RES-154-E.pdf" TargetMode="External"/><Relationship Id="rId17" Type="http://schemas.openxmlformats.org/officeDocument/2006/relationships/hyperlink" Target="https://eur03.safelinks.protection.outlook.com/?url=https%3A%2F%2Funsceb.org%2Ftopics%2Fhlcm-far-reaching-efficiency-initiatives&amp;data=05%7C02%7CKate.Carrara%40itu.int%7C64a3748dc10645550a4208de37dbc8cb%7C23e464d704e64b87913c24bd89219fd3%7C0%7C0%7C639009614278986007%7CUnknown%7CTWFpbGZsb3d8eyJFbXB0eU1hcGkiOnRydWUsIlYiOiIwLjAuMDAwMCIsIlAiOiJXaW4zMiIsIkFOIjoiTWFpbCIsIldUIjoyfQ%3D%3D%7C0%7C%7C%7C&amp;sdata=qmRWHZRSLUvL9zLwoMXRy6PXHzByTSnGO3auclpqewY%3D&amp;reserved=0" TargetMode="External"/><Relationship Id="rId25" Type="http://schemas.openxmlformats.org/officeDocument/2006/relationships/hyperlink" Target="https://www.itu.int/rec/R-REC-V.431/en" TargetMode="External"/><Relationship Id="rId33" Type="http://schemas.openxmlformats.org/officeDocument/2006/relationships/hyperlink" Target="https://www.itu.int/epublications" TargetMode="External"/><Relationship Id="rId38" Type="http://schemas.openxmlformats.org/officeDocument/2006/relationships/oleObject" Target="embeddings/Microsoft_Excel_Chart.xls"/><Relationship Id="rId46" Type="http://schemas.openxmlformats.org/officeDocument/2006/relationships/hyperlink" Target="https://www.itu.int/en/ITU-T/" TargetMode="External"/><Relationship Id="rId59" Type="http://schemas.openxmlformats.org/officeDocument/2006/relationships/footer" Target="footer2.xml"/><Relationship Id="rId20" Type="http://schemas.openxmlformats.org/officeDocument/2006/relationships/hyperlink" Target="mailto:ling-it-support@itu.int" TargetMode="External"/><Relationship Id="rId41" Type="http://schemas.openxmlformats.org/officeDocument/2006/relationships/chart" Target="charts/chart3.xml"/><Relationship Id="rId54" Type="http://schemas.openxmlformats.org/officeDocument/2006/relationships/image" Target="media/image6.png"/><Relationship Id="rId62"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tu.int/md/S22-CL-INF-0007/en" TargetMode="External"/><Relationship Id="rId23" Type="http://schemas.openxmlformats.org/officeDocument/2006/relationships/hyperlink" Target="https://www.itu.int/myworkspace/" TargetMode="External"/><Relationship Id="rId28" Type="http://schemas.openxmlformats.org/officeDocument/2006/relationships/hyperlink" Target="https://www.itu.int/md/S26-CWGFHR22-C-0017/en" TargetMode="External"/><Relationship Id="rId36" Type="http://schemas.openxmlformats.org/officeDocument/2006/relationships/image" Target="media/image1.png"/><Relationship Id="rId49" Type="http://schemas.openxmlformats.org/officeDocument/2006/relationships/hyperlink" Target="https://www.itu.int/itu-d/meetings/wtdc25/" TargetMode="External"/><Relationship Id="rId57"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https://assistant.itu.int/editor/" TargetMode="External"/><Relationship Id="rId44" Type="http://schemas.openxmlformats.org/officeDocument/2006/relationships/hyperlink" Target="https://www.itu.int/hub/" TargetMode="External"/><Relationship Id="rId52" Type="http://schemas.openxmlformats.org/officeDocument/2006/relationships/hyperlink" Target="https://www.itu.int/wtisd/"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161375625803966"/>
          <c:y val="3.0379012574308747E-2"/>
          <c:w val="0.77830499006951337"/>
          <c:h val="0.54908969728452905"/>
        </c:manualLayout>
      </c:layout>
      <c:barChart>
        <c:barDir val="col"/>
        <c:grouping val="clustered"/>
        <c:varyColors val="0"/>
        <c:ser>
          <c:idx val="0"/>
          <c:order val="0"/>
          <c:tx>
            <c:strRef>
              <c:f>Sheet1!$B$1</c:f>
              <c:strCache>
                <c:ptCount val="1"/>
                <c:pt idx="0">
                  <c:v>Translation &amp; associated services budget</c:v>
                </c:pt>
              </c:strCache>
            </c:strRef>
          </c:tx>
          <c:spPr>
            <a:solidFill>
              <a:schemeClr val="bg1">
                <a:lumMod val="50000"/>
              </a:schemeClr>
            </a:solidFill>
            <a:ln>
              <a:noFill/>
            </a:ln>
            <a:effectLst/>
          </c:spPr>
          <c:invertIfNegative val="0"/>
          <c:cat>
            <c:numRef>
              <c:f>Sheet1!$A$2:$A$9</c:f>
              <c:numCache>
                <c:formatCode>General</c:formatCode>
                <c:ptCount val="8"/>
                <c:pt idx="0">
                  <c:v>2018</c:v>
                </c:pt>
                <c:pt idx="1">
                  <c:v>2019</c:v>
                </c:pt>
                <c:pt idx="2">
                  <c:v>2020</c:v>
                </c:pt>
                <c:pt idx="3">
                  <c:v>2021</c:v>
                </c:pt>
                <c:pt idx="4">
                  <c:v>2022</c:v>
                </c:pt>
                <c:pt idx="5">
                  <c:v>2023</c:v>
                </c:pt>
                <c:pt idx="6">
                  <c:v>2024</c:v>
                </c:pt>
                <c:pt idx="7">
                  <c:v>2025</c:v>
                </c:pt>
              </c:numCache>
            </c:numRef>
          </c:cat>
          <c:val>
            <c:numRef>
              <c:f>Sheet1!$B$2:$B$9</c:f>
              <c:numCache>
                <c:formatCode>_ * #\ ##0_ ;_ * \-#\ ##0_ ;_ * "-"??_ ;_ @_ </c:formatCode>
                <c:ptCount val="8"/>
                <c:pt idx="0">
                  <c:v>13468</c:v>
                </c:pt>
                <c:pt idx="1">
                  <c:v>14488</c:v>
                </c:pt>
                <c:pt idx="2">
                  <c:v>13048</c:v>
                </c:pt>
                <c:pt idx="3">
                  <c:v>12999</c:v>
                </c:pt>
                <c:pt idx="4">
                  <c:v>16189</c:v>
                </c:pt>
                <c:pt idx="5" formatCode="General">
                  <c:v>15485</c:v>
                </c:pt>
                <c:pt idx="6" formatCode="General">
                  <c:v>13752</c:v>
                </c:pt>
                <c:pt idx="7" formatCode="General">
                  <c:v>13028</c:v>
                </c:pt>
              </c:numCache>
            </c:numRef>
          </c:val>
          <c:extLst>
            <c:ext xmlns:c16="http://schemas.microsoft.com/office/drawing/2014/chart" uri="{C3380CC4-5D6E-409C-BE32-E72D297353CC}">
              <c16:uniqueId val="{00000000-4894-4E38-B961-A16BA968C313}"/>
            </c:ext>
          </c:extLst>
        </c:ser>
        <c:ser>
          <c:idx val="1"/>
          <c:order val="1"/>
          <c:tx>
            <c:strRef>
              <c:f>Sheet1!$C$1</c:f>
              <c:strCache>
                <c:ptCount val="1"/>
                <c:pt idx="0">
                  <c:v>Actual translation &amp; associated services expenses</c:v>
                </c:pt>
              </c:strCache>
            </c:strRef>
          </c:tx>
          <c:spPr>
            <a:solidFill>
              <a:srgbClr val="FFC000"/>
            </a:solidFill>
            <a:ln>
              <a:noFill/>
            </a:ln>
            <a:effectLst/>
          </c:spPr>
          <c:invertIfNegative val="0"/>
          <c:cat>
            <c:numRef>
              <c:f>Sheet1!$A$2:$A$9</c:f>
              <c:numCache>
                <c:formatCode>General</c:formatCode>
                <c:ptCount val="8"/>
                <c:pt idx="0">
                  <c:v>2018</c:v>
                </c:pt>
                <c:pt idx="1">
                  <c:v>2019</c:v>
                </c:pt>
                <c:pt idx="2">
                  <c:v>2020</c:v>
                </c:pt>
                <c:pt idx="3">
                  <c:v>2021</c:v>
                </c:pt>
                <c:pt idx="4">
                  <c:v>2022</c:v>
                </c:pt>
                <c:pt idx="5">
                  <c:v>2023</c:v>
                </c:pt>
                <c:pt idx="6">
                  <c:v>2024</c:v>
                </c:pt>
                <c:pt idx="7">
                  <c:v>2025</c:v>
                </c:pt>
              </c:numCache>
            </c:numRef>
          </c:cat>
          <c:val>
            <c:numRef>
              <c:f>Sheet1!$C$2:$C$9</c:f>
              <c:numCache>
                <c:formatCode>_ * #\ ##0_ ;_ * \-#\ ##0_ ;_ * "-"??_ ;_ @_ </c:formatCode>
                <c:ptCount val="8"/>
                <c:pt idx="0">
                  <c:v>12098</c:v>
                </c:pt>
                <c:pt idx="1">
                  <c:v>13223</c:v>
                </c:pt>
                <c:pt idx="2">
                  <c:v>12252</c:v>
                </c:pt>
                <c:pt idx="3">
                  <c:v>12541</c:v>
                </c:pt>
                <c:pt idx="4">
                  <c:v>14706</c:v>
                </c:pt>
                <c:pt idx="5" formatCode="General">
                  <c:v>13163</c:v>
                </c:pt>
                <c:pt idx="6" formatCode="General">
                  <c:v>11445</c:v>
                </c:pt>
                <c:pt idx="7" formatCode="General">
                  <c:v>11028</c:v>
                </c:pt>
              </c:numCache>
            </c:numRef>
          </c:val>
          <c:extLst>
            <c:ext xmlns:c16="http://schemas.microsoft.com/office/drawing/2014/chart" uri="{C3380CC4-5D6E-409C-BE32-E72D297353CC}">
              <c16:uniqueId val="{00000001-4894-4E38-B961-A16BA968C313}"/>
            </c:ext>
          </c:extLst>
        </c:ser>
        <c:dLbls>
          <c:showLegendKey val="0"/>
          <c:showVal val="0"/>
          <c:showCatName val="0"/>
          <c:showSerName val="0"/>
          <c:showPercent val="0"/>
          <c:showBubbleSize val="0"/>
        </c:dLbls>
        <c:gapWidth val="219"/>
        <c:overlap val="-27"/>
        <c:axId val="2135454943"/>
        <c:axId val="1885943695"/>
      </c:barChart>
      <c:catAx>
        <c:axId val="21354549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5943695"/>
        <c:crosses val="autoZero"/>
        <c:auto val="1"/>
        <c:lblAlgn val="ctr"/>
        <c:lblOffset val="100"/>
        <c:noMultiLvlLbl val="0"/>
      </c:catAx>
      <c:valAx>
        <c:axId val="1885943695"/>
        <c:scaling>
          <c:orientation val="minMax"/>
        </c:scaling>
        <c:delete val="0"/>
        <c:axPos val="l"/>
        <c:majorGridlines>
          <c:spPr>
            <a:ln w="9525" cap="flat" cmpd="sng" algn="ctr">
              <a:solidFill>
                <a:schemeClr val="tx1">
                  <a:lumMod val="15000"/>
                  <a:lumOff val="85000"/>
                </a:schemeClr>
              </a:solidFill>
              <a:round/>
            </a:ln>
            <a:effectLst/>
          </c:spPr>
        </c:majorGridlines>
        <c:numFmt formatCode="_ * #\ ##0_ ;_ * \-#\ ##0_ ;_ * &quot;-&quot;??_ ;_ @_ "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213545494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159513360010327"/>
          <c:y val="6.5986802639472111E-2"/>
          <c:w val="0.793322899186782"/>
          <c:h val="0.56764615580820843"/>
        </c:manualLayout>
      </c:layout>
      <c:barChart>
        <c:barDir val="col"/>
        <c:grouping val="clustered"/>
        <c:varyColors val="0"/>
        <c:ser>
          <c:idx val="0"/>
          <c:order val="0"/>
          <c:tx>
            <c:strRef>
              <c:f>Sheet1!$B$1</c:f>
              <c:strCache>
                <c:ptCount val="1"/>
                <c:pt idx="0">
                  <c:v>Interpretation budget</c:v>
                </c:pt>
              </c:strCache>
            </c:strRef>
          </c:tx>
          <c:spPr>
            <a:solidFill>
              <a:srgbClr val="00B0F0"/>
            </a:solidFill>
            <a:ln>
              <a:noFill/>
            </a:ln>
            <a:effectLst/>
          </c:spPr>
          <c:invertIfNegative val="0"/>
          <c:cat>
            <c:numRef>
              <c:f>Sheet1!$A$2:$A$9</c:f>
              <c:numCache>
                <c:formatCode>General</c:formatCode>
                <c:ptCount val="8"/>
                <c:pt idx="0">
                  <c:v>2018</c:v>
                </c:pt>
                <c:pt idx="1">
                  <c:v>2019</c:v>
                </c:pt>
                <c:pt idx="2">
                  <c:v>2020</c:v>
                </c:pt>
                <c:pt idx="3">
                  <c:v>2021</c:v>
                </c:pt>
                <c:pt idx="4">
                  <c:v>2022</c:v>
                </c:pt>
                <c:pt idx="5">
                  <c:v>2023</c:v>
                </c:pt>
                <c:pt idx="6">
                  <c:v>2024</c:v>
                </c:pt>
                <c:pt idx="7">
                  <c:v>2025</c:v>
                </c:pt>
              </c:numCache>
            </c:numRef>
          </c:cat>
          <c:val>
            <c:numRef>
              <c:f>Sheet1!$B$2:$B$9</c:f>
              <c:numCache>
                <c:formatCode>_ * #\ ##0_ ;_ * \-#\ ##0_ ;_ * "-"??_ ;_ @_ </c:formatCode>
                <c:ptCount val="8"/>
                <c:pt idx="0">
                  <c:v>2435</c:v>
                </c:pt>
                <c:pt idx="1">
                  <c:v>3457</c:v>
                </c:pt>
                <c:pt idx="2">
                  <c:v>1408</c:v>
                </c:pt>
                <c:pt idx="3">
                  <c:v>1392</c:v>
                </c:pt>
                <c:pt idx="4">
                  <c:v>2910</c:v>
                </c:pt>
                <c:pt idx="5" formatCode="General">
                  <c:v>2842</c:v>
                </c:pt>
                <c:pt idx="6" formatCode="General">
                  <c:v>1529</c:v>
                </c:pt>
                <c:pt idx="7" formatCode="General">
                  <c:v>1575</c:v>
                </c:pt>
              </c:numCache>
            </c:numRef>
          </c:val>
          <c:extLst>
            <c:ext xmlns:c16="http://schemas.microsoft.com/office/drawing/2014/chart" uri="{C3380CC4-5D6E-409C-BE32-E72D297353CC}">
              <c16:uniqueId val="{00000000-CD8A-45B5-886E-C21C543C95CA}"/>
            </c:ext>
          </c:extLst>
        </c:ser>
        <c:ser>
          <c:idx val="1"/>
          <c:order val="1"/>
          <c:tx>
            <c:strRef>
              <c:f>Sheet1!$C$1</c:f>
              <c:strCache>
                <c:ptCount val="1"/>
                <c:pt idx="0">
                  <c:v>Actual interpretation expenses</c:v>
                </c:pt>
              </c:strCache>
            </c:strRef>
          </c:tx>
          <c:spPr>
            <a:solidFill>
              <a:srgbClr val="00B050"/>
            </a:solidFill>
            <a:ln>
              <a:noFill/>
            </a:ln>
            <a:effectLst/>
          </c:spPr>
          <c:invertIfNegative val="0"/>
          <c:cat>
            <c:numRef>
              <c:f>Sheet1!$A$2:$A$9</c:f>
              <c:numCache>
                <c:formatCode>General</c:formatCode>
                <c:ptCount val="8"/>
                <c:pt idx="0">
                  <c:v>2018</c:v>
                </c:pt>
                <c:pt idx="1">
                  <c:v>2019</c:v>
                </c:pt>
                <c:pt idx="2">
                  <c:v>2020</c:v>
                </c:pt>
                <c:pt idx="3">
                  <c:v>2021</c:v>
                </c:pt>
                <c:pt idx="4">
                  <c:v>2022</c:v>
                </c:pt>
                <c:pt idx="5">
                  <c:v>2023</c:v>
                </c:pt>
                <c:pt idx="6">
                  <c:v>2024</c:v>
                </c:pt>
                <c:pt idx="7">
                  <c:v>2025</c:v>
                </c:pt>
              </c:numCache>
            </c:numRef>
          </c:cat>
          <c:val>
            <c:numRef>
              <c:f>Sheet1!$C$2:$C$9</c:f>
              <c:numCache>
                <c:formatCode>_ * #\ ##0_ ;_ * \-#\ ##0_ ;_ * "-"??_ ;_ @_ </c:formatCode>
                <c:ptCount val="8"/>
                <c:pt idx="0">
                  <c:v>1852</c:v>
                </c:pt>
                <c:pt idx="1">
                  <c:v>2698</c:v>
                </c:pt>
                <c:pt idx="2">
                  <c:v>1338</c:v>
                </c:pt>
                <c:pt idx="3">
                  <c:v>1522</c:v>
                </c:pt>
                <c:pt idx="4">
                  <c:v>1957</c:v>
                </c:pt>
                <c:pt idx="5" formatCode="General">
                  <c:v>2149</c:v>
                </c:pt>
                <c:pt idx="6" formatCode="General">
                  <c:v>1248</c:v>
                </c:pt>
                <c:pt idx="7" formatCode="General">
                  <c:v>1233</c:v>
                </c:pt>
              </c:numCache>
            </c:numRef>
          </c:val>
          <c:extLst>
            <c:ext xmlns:c16="http://schemas.microsoft.com/office/drawing/2014/chart" uri="{C3380CC4-5D6E-409C-BE32-E72D297353CC}">
              <c16:uniqueId val="{00000001-CD8A-45B5-886E-C21C543C95CA}"/>
            </c:ext>
          </c:extLst>
        </c:ser>
        <c:dLbls>
          <c:showLegendKey val="0"/>
          <c:showVal val="0"/>
          <c:showCatName val="0"/>
          <c:showSerName val="0"/>
          <c:showPercent val="0"/>
          <c:showBubbleSize val="0"/>
        </c:dLbls>
        <c:gapWidth val="219"/>
        <c:overlap val="-27"/>
        <c:axId val="543116783"/>
        <c:axId val="423297039"/>
      </c:barChart>
      <c:catAx>
        <c:axId val="5431167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3297039"/>
        <c:crosses val="autoZero"/>
        <c:auto val="1"/>
        <c:lblAlgn val="ctr"/>
        <c:lblOffset val="100"/>
        <c:noMultiLvlLbl val="0"/>
      </c:catAx>
      <c:valAx>
        <c:axId val="423297039"/>
        <c:scaling>
          <c:orientation val="minMax"/>
        </c:scaling>
        <c:delete val="0"/>
        <c:axPos val="l"/>
        <c:majorGridlines>
          <c:spPr>
            <a:ln w="9525" cap="flat" cmpd="sng" algn="ctr">
              <a:solidFill>
                <a:schemeClr val="tx1">
                  <a:lumMod val="15000"/>
                  <a:lumOff val="85000"/>
                </a:schemeClr>
              </a:solidFill>
              <a:round/>
            </a:ln>
            <a:effectLst/>
          </c:spPr>
        </c:majorGridlines>
        <c:numFmt formatCode="_ * #\ ##0_ ;_ * \-#\ ##0_ ;_ * &quot;-&quot;??_ ;_ @_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3116783"/>
        <c:crosses val="autoZero"/>
        <c:crossBetween val="between"/>
        <c:majorUnit val="1000"/>
      </c:valAx>
      <c:spPr>
        <a:noFill/>
        <a:ln>
          <a:noFill/>
        </a:ln>
        <a:effectLst/>
      </c:spPr>
    </c:plotArea>
    <c:legend>
      <c:legendPos val="b"/>
      <c:layout>
        <c:manualLayout>
          <c:xMode val="edge"/>
          <c:yMode val="edge"/>
          <c:x val="8.2786885245901637E-2"/>
          <c:y val="0.76679593215215214"/>
          <c:w val="0.63770491803278684"/>
          <c:h val="0.1972112664081356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Sheet1!$B$1</c:f>
              <c:strCache>
                <c:ptCount val="1"/>
                <c:pt idx="0">
                  <c:v>Arabic</c:v>
                </c:pt>
              </c:strCache>
            </c:strRef>
          </c:tx>
          <c:spPr>
            <a:ln w="28575" cap="rnd">
              <a:solidFill>
                <a:schemeClr val="accent1"/>
              </a:solidFill>
              <a:round/>
            </a:ln>
            <a:effectLst/>
          </c:spPr>
          <c:marker>
            <c:symbol val="none"/>
          </c:marker>
          <c:cat>
            <c:numRef>
              <c:f>Sheet1!$A$2:$A$8</c:f>
              <c:numCache>
                <c:formatCode>General</c:formatCode>
                <c:ptCount val="7"/>
                <c:pt idx="0">
                  <c:v>2019</c:v>
                </c:pt>
                <c:pt idx="1">
                  <c:v>2020</c:v>
                </c:pt>
                <c:pt idx="2">
                  <c:v>2021</c:v>
                </c:pt>
                <c:pt idx="3">
                  <c:v>2022</c:v>
                </c:pt>
                <c:pt idx="4">
                  <c:v>2023</c:v>
                </c:pt>
                <c:pt idx="5">
                  <c:v>2024</c:v>
                </c:pt>
                <c:pt idx="6">
                  <c:v>2025</c:v>
                </c:pt>
              </c:numCache>
            </c:numRef>
          </c:cat>
          <c:val>
            <c:numRef>
              <c:f>Sheet1!$B$2:$B$8</c:f>
              <c:numCache>
                <c:formatCode>#,##0</c:formatCode>
                <c:ptCount val="7"/>
                <c:pt idx="0">
                  <c:v>8892</c:v>
                </c:pt>
                <c:pt idx="1">
                  <c:v>8400</c:v>
                </c:pt>
                <c:pt idx="2">
                  <c:v>7843</c:v>
                </c:pt>
                <c:pt idx="3">
                  <c:v>8962</c:v>
                </c:pt>
                <c:pt idx="4">
                  <c:v>10316</c:v>
                </c:pt>
                <c:pt idx="5" formatCode="0">
                  <c:v>8246.30303030303</c:v>
                </c:pt>
                <c:pt idx="6" formatCode="General">
                  <c:v>7155</c:v>
                </c:pt>
              </c:numCache>
            </c:numRef>
          </c:val>
          <c:smooth val="0"/>
          <c:extLst>
            <c:ext xmlns:c16="http://schemas.microsoft.com/office/drawing/2014/chart" uri="{C3380CC4-5D6E-409C-BE32-E72D297353CC}">
              <c16:uniqueId val="{00000000-883E-4C17-B2D7-A24A9F9C0445}"/>
            </c:ext>
          </c:extLst>
        </c:ser>
        <c:ser>
          <c:idx val="1"/>
          <c:order val="1"/>
          <c:tx>
            <c:strRef>
              <c:f>Sheet1!$C$1</c:f>
              <c:strCache>
                <c:ptCount val="1"/>
                <c:pt idx="0">
                  <c:v>Chinese</c:v>
                </c:pt>
              </c:strCache>
            </c:strRef>
          </c:tx>
          <c:spPr>
            <a:ln w="28575" cap="rnd">
              <a:solidFill>
                <a:schemeClr val="accent2"/>
              </a:solidFill>
              <a:round/>
            </a:ln>
            <a:effectLst/>
          </c:spPr>
          <c:marker>
            <c:symbol val="none"/>
          </c:marker>
          <c:cat>
            <c:numRef>
              <c:f>Sheet1!$A$2:$A$8</c:f>
              <c:numCache>
                <c:formatCode>General</c:formatCode>
                <c:ptCount val="7"/>
                <c:pt idx="0">
                  <c:v>2019</c:v>
                </c:pt>
                <c:pt idx="1">
                  <c:v>2020</c:v>
                </c:pt>
                <c:pt idx="2">
                  <c:v>2021</c:v>
                </c:pt>
                <c:pt idx="3">
                  <c:v>2022</c:v>
                </c:pt>
                <c:pt idx="4">
                  <c:v>2023</c:v>
                </c:pt>
                <c:pt idx="5">
                  <c:v>2024</c:v>
                </c:pt>
                <c:pt idx="6">
                  <c:v>2025</c:v>
                </c:pt>
              </c:numCache>
            </c:numRef>
          </c:cat>
          <c:val>
            <c:numRef>
              <c:f>Sheet1!$C$2:$C$8</c:f>
              <c:numCache>
                <c:formatCode>#,##0</c:formatCode>
                <c:ptCount val="7"/>
                <c:pt idx="0">
                  <c:v>9030</c:v>
                </c:pt>
                <c:pt idx="1">
                  <c:v>8818</c:v>
                </c:pt>
                <c:pt idx="2">
                  <c:v>7717</c:v>
                </c:pt>
                <c:pt idx="3">
                  <c:v>9240</c:v>
                </c:pt>
                <c:pt idx="4">
                  <c:v>9680</c:v>
                </c:pt>
                <c:pt idx="5" formatCode="0">
                  <c:v>9030.30303030303</c:v>
                </c:pt>
                <c:pt idx="6" formatCode="General">
                  <c:v>7595</c:v>
                </c:pt>
              </c:numCache>
            </c:numRef>
          </c:val>
          <c:smooth val="0"/>
          <c:extLst>
            <c:ext xmlns:c16="http://schemas.microsoft.com/office/drawing/2014/chart" uri="{C3380CC4-5D6E-409C-BE32-E72D297353CC}">
              <c16:uniqueId val="{00000001-883E-4C17-B2D7-A24A9F9C0445}"/>
            </c:ext>
          </c:extLst>
        </c:ser>
        <c:ser>
          <c:idx val="2"/>
          <c:order val="2"/>
          <c:tx>
            <c:strRef>
              <c:f>Sheet1!$D$1</c:f>
              <c:strCache>
                <c:ptCount val="1"/>
                <c:pt idx="0">
                  <c:v>English</c:v>
                </c:pt>
              </c:strCache>
            </c:strRef>
          </c:tx>
          <c:spPr>
            <a:ln w="28575" cap="rnd">
              <a:solidFill>
                <a:schemeClr val="bg1">
                  <a:lumMod val="65000"/>
                </a:schemeClr>
              </a:solidFill>
              <a:round/>
            </a:ln>
            <a:effectLst/>
          </c:spPr>
          <c:marker>
            <c:symbol val="none"/>
          </c:marker>
          <c:cat>
            <c:numRef>
              <c:f>Sheet1!$A$2:$A$8</c:f>
              <c:numCache>
                <c:formatCode>General</c:formatCode>
                <c:ptCount val="7"/>
                <c:pt idx="0">
                  <c:v>2019</c:v>
                </c:pt>
                <c:pt idx="1">
                  <c:v>2020</c:v>
                </c:pt>
                <c:pt idx="2">
                  <c:v>2021</c:v>
                </c:pt>
                <c:pt idx="3">
                  <c:v>2022</c:v>
                </c:pt>
                <c:pt idx="4">
                  <c:v>2023</c:v>
                </c:pt>
                <c:pt idx="5">
                  <c:v>2024</c:v>
                </c:pt>
                <c:pt idx="6">
                  <c:v>2025</c:v>
                </c:pt>
              </c:numCache>
            </c:numRef>
          </c:cat>
          <c:val>
            <c:numRef>
              <c:f>Sheet1!$D$2:$D$8</c:f>
              <c:numCache>
                <c:formatCode>#,##0</c:formatCode>
                <c:ptCount val="7"/>
                <c:pt idx="0">
                  <c:v>2044</c:v>
                </c:pt>
                <c:pt idx="1">
                  <c:v>1827</c:v>
                </c:pt>
                <c:pt idx="2">
                  <c:v>1608</c:v>
                </c:pt>
                <c:pt idx="3">
                  <c:v>1339</c:v>
                </c:pt>
                <c:pt idx="4">
                  <c:v>1651</c:v>
                </c:pt>
                <c:pt idx="5" formatCode="0">
                  <c:v>1354</c:v>
                </c:pt>
                <c:pt idx="6" formatCode="General">
                  <c:v>932</c:v>
                </c:pt>
              </c:numCache>
            </c:numRef>
          </c:val>
          <c:smooth val="0"/>
          <c:extLst>
            <c:ext xmlns:c16="http://schemas.microsoft.com/office/drawing/2014/chart" uri="{C3380CC4-5D6E-409C-BE32-E72D297353CC}">
              <c16:uniqueId val="{00000002-883E-4C17-B2D7-A24A9F9C0445}"/>
            </c:ext>
          </c:extLst>
        </c:ser>
        <c:ser>
          <c:idx val="3"/>
          <c:order val="3"/>
          <c:tx>
            <c:strRef>
              <c:f>Sheet1!$E$1</c:f>
              <c:strCache>
                <c:ptCount val="1"/>
                <c:pt idx="0">
                  <c:v>French</c:v>
                </c:pt>
              </c:strCache>
            </c:strRef>
          </c:tx>
          <c:spPr>
            <a:ln w="28575" cap="rnd">
              <a:solidFill>
                <a:srgbClr val="FFC000"/>
              </a:solidFill>
              <a:round/>
            </a:ln>
            <a:effectLst/>
          </c:spPr>
          <c:marker>
            <c:symbol val="none"/>
          </c:marker>
          <c:cat>
            <c:numRef>
              <c:f>Sheet1!$A$2:$A$8</c:f>
              <c:numCache>
                <c:formatCode>General</c:formatCode>
                <c:ptCount val="7"/>
                <c:pt idx="0">
                  <c:v>2019</c:v>
                </c:pt>
                <c:pt idx="1">
                  <c:v>2020</c:v>
                </c:pt>
                <c:pt idx="2">
                  <c:v>2021</c:v>
                </c:pt>
                <c:pt idx="3">
                  <c:v>2022</c:v>
                </c:pt>
                <c:pt idx="4">
                  <c:v>2023</c:v>
                </c:pt>
                <c:pt idx="5">
                  <c:v>2024</c:v>
                </c:pt>
                <c:pt idx="6">
                  <c:v>2025</c:v>
                </c:pt>
              </c:numCache>
            </c:numRef>
          </c:cat>
          <c:val>
            <c:numRef>
              <c:f>Sheet1!$E$2:$E$8</c:f>
              <c:numCache>
                <c:formatCode>#,##0</c:formatCode>
                <c:ptCount val="7"/>
                <c:pt idx="0">
                  <c:v>10173</c:v>
                </c:pt>
                <c:pt idx="1">
                  <c:v>8811</c:v>
                </c:pt>
                <c:pt idx="2">
                  <c:v>8531</c:v>
                </c:pt>
                <c:pt idx="3">
                  <c:v>9800</c:v>
                </c:pt>
                <c:pt idx="4">
                  <c:v>10601</c:v>
                </c:pt>
                <c:pt idx="5" formatCode="0">
                  <c:v>8424.30303030303</c:v>
                </c:pt>
                <c:pt idx="6" formatCode="General">
                  <c:v>7411</c:v>
                </c:pt>
              </c:numCache>
            </c:numRef>
          </c:val>
          <c:smooth val="0"/>
          <c:extLst>
            <c:ext xmlns:c16="http://schemas.microsoft.com/office/drawing/2014/chart" uri="{C3380CC4-5D6E-409C-BE32-E72D297353CC}">
              <c16:uniqueId val="{00000003-883E-4C17-B2D7-A24A9F9C0445}"/>
            </c:ext>
          </c:extLst>
        </c:ser>
        <c:ser>
          <c:idx val="4"/>
          <c:order val="4"/>
          <c:tx>
            <c:strRef>
              <c:f>Sheet1!$F$1</c:f>
              <c:strCache>
                <c:ptCount val="1"/>
                <c:pt idx="0">
                  <c:v>Russian</c:v>
                </c:pt>
              </c:strCache>
            </c:strRef>
          </c:tx>
          <c:spPr>
            <a:ln w="28575" cap="rnd">
              <a:solidFill>
                <a:schemeClr val="accent5"/>
              </a:solidFill>
              <a:round/>
            </a:ln>
            <a:effectLst/>
          </c:spPr>
          <c:marker>
            <c:symbol val="none"/>
          </c:marker>
          <c:cat>
            <c:numRef>
              <c:f>Sheet1!$A$2:$A$8</c:f>
              <c:numCache>
                <c:formatCode>General</c:formatCode>
                <c:ptCount val="7"/>
                <c:pt idx="0">
                  <c:v>2019</c:v>
                </c:pt>
                <c:pt idx="1">
                  <c:v>2020</c:v>
                </c:pt>
                <c:pt idx="2">
                  <c:v>2021</c:v>
                </c:pt>
                <c:pt idx="3">
                  <c:v>2022</c:v>
                </c:pt>
                <c:pt idx="4">
                  <c:v>2023</c:v>
                </c:pt>
                <c:pt idx="5">
                  <c:v>2024</c:v>
                </c:pt>
                <c:pt idx="6">
                  <c:v>2025</c:v>
                </c:pt>
              </c:numCache>
            </c:numRef>
          </c:cat>
          <c:val>
            <c:numRef>
              <c:f>Sheet1!$F$2:$F$8</c:f>
              <c:numCache>
                <c:formatCode>#,##0</c:formatCode>
                <c:ptCount val="7"/>
                <c:pt idx="0">
                  <c:v>8706</c:v>
                </c:pt>
                <c:pt idx="1">
                  <c:v>8463</c:v>
                </c:pt>
                <c:pt idx="2">
                  <c:v>7501</c:v>
                </c:pt>
                <c:pt idx="3">
                  <c:v>8202</c:v>
                </c:pt>
                <c:pt idx="4">
                  <c:v>9691</c:v>
                </c:pt>
                <c:pt idx="5" formatCode="0">
                  <c:v>7955.30303030303</c:v>
                </c:pt>
                <c:pt idx="6" formatCode="General">
                  <c:v>6523</c:v>
                </c:pt>
              </c:numCache>
            </c:numRef>
          </c:val>
          <c:smooth val="0"/>
          <c:extLst>
            <c:ext xmlns:c16="http://schemas.microsoft.com/office/drawing/2014/chart" uri="{C3380CC4-5D6E-409C-BE32-E72D297353CC}">
              <c16:uniqueId val="{00000004-883E-4C17-B2D7-A24A9F9C0445}"/>
            </c:ext>
          </c:extLst>
        </c:ser>
        <c:ser>
          <c:idx val="5"/>
          <c:order val="5"/>
          <c:tx>
            <c:strRef>
              <c:f>Sheet1!$G$1</c:f>
              <c:strCache>
                <c:ptCount val="1"/>
                <c:pt idx="0">
                  <c:v>Spanish</c:v>
                </c:pt>
              </c:strCache>
            </c:strRef>
          </c:tx>
          <c:spPr>
            <a:ln w="28575" cap="rnd">
              <a:solidFill>
                <a:srgbClr val="92D050"/>
              </a:solidFill>
              <a:round/>
            </a:ln>
            <a:effectLst/>
          </c:spPr>
          <c:marker>
            <c:symbol val="none"/>
          </c:marker>
          <c:cat>
            <c:numRef>
              <c:f>Sheet1!$A$2:$A$8</c:f>
              <c:numCache>
                <c:formatCode>General</c:formatCode>
                <c:ptCount val="7"/>
                <c:pt idx="0">
                  <c:v>2019</c:v>
                </c:pt>
                <c:pt idx="1">
                  <c:v>2020</c:v>
                </c:pt>
                <c:pt idx="2">
                  <c:v>2021</c:v>
                </c:pt>
                <c:pt idx="3">
                  <c:v>2022</c:v>
                </c:pt>
                <c:pt idx="4">
                  <c:v>2023</c:v>
                </c:pt>
                <c:pt idx="5">
                  <c:v>2024</c:v>
                </c:pt>
                <c:pt idx="6">
                  <c:v>2025</c:v>
                </c:pt>
              </c:numCache>
            </c:numRef>
          </c:cat>
          <c:val>
            <c:numRef>
              <c:f>Sheet1!$G$2:$G$8</c:f>
              <c:numCache>
                <c:formatCode>#,##0</c:formatCode>
                <c:ptCount val="7"/>
                <c:pt idx="0">
                  <c:v>8928</c:v>
                </c:pt>
                <c:pt idx="1">
                  <c:v>8215</c:v>
                </c:pt>
                <c:pt idx="2">
                  <c:v>8072</c:v>
                </c:pt>
                <c:pt idx="3">
                  <c:v>9174</c:v>
                </c:pt>
                <c:pt idx="4">
                  <c:v>10049</c:v>
                </c:pt>
                <c:pt idx="5" formatCode="0">
                  <c:v>7773.30303030303</c:v>
                </c:pt>
                <c:pt idx="6" formatCode="General">
                  <c:v>7609</c:v>
                </c:pt>
              </c:numCache>
            </c:numRef>
          </c:val>
          <c:smooth val="0"/>
          <c:extLst>
            <c:ext xmlns:c16="http://schemas.microsoft.com/office/drawing/2014/chart" uri="{C3380CC4-5D6E-409C-BE32-E72D297353CC}">
              <c16:uniqueId val="{00000005-883E-4C17-B2D7-A24A9F9C0445}"/>
            </c:ext>
          </c:extLst>
        </c:ser>
        <c:dLbls>
          <c:showLegendKey val="0"/>
          <c:showVal val="0"/>
          <c:showCatName val="0"/>
          <c:showSerName val="0"/>
          <c:showPercent val="0"/>
          <c:showBubbleSize val="0"/>
        </c:dLbls>
        <c:smooth val="0"/>
        <c:axId val="1143774496"/>
        <c:axId val="1143775328"/>
      </c:lineChart>
      <c:catAx>
        <c:axId val="1143774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143775328"/>
        <c:crosses val="autoZero"/>
        <c:auto val="1"/>
        <c:lblAlgn val="ctr"/>
        <c:lblOffset val="100"/>
        <c:noMultiLvlLbl val="0"/>
      </c:catAx>
      <c:valAx>
        <c:axId val="11437753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143774496"/>
        <c:crosses val="autoZero"/>
        <c:crossBetween val="between"/>
      </c:valAx>
      <c:spPr>
        <a:noFill/>
        <a:ln>
          <a:noFill/>
        </a:ln>
        <a:effectLst/>
      </c:spPr>
    </c:plotArea>
    <c:legend>
      <c:legendPos val="b"/>
      <c:layout>
        <c:manualLayout>
          <c:xMode val="edge"/>
          <c:yMode val="edge"/>
          <c:x val="2.6445740084016216E-2"/>
          <c:y val="0.77964975689514215"/>
          <c:w val="0.52654094989718647"/>
          <c:h val="0.19751503256730446"/>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4E447ED7B9DA4C9F10BB2808D9DCA9" ma:contentTypeVersion="3" ma:contentTypeDescription="Create a new document." ma:contentTypeScope="" ma:versionID="7c7b6365ae85304ed038584fec3de209">
  <xsd:schema xmlns:xsd="http://www.w3.org/2001/XMLSchema" xmlns:xs="http://www.w3.org/2001/XMLSchema" xmlns:p="http://schemas.microsoft.com/office/2006/metadata/properties" xmlns:ns2="a4c22657-7647-457b-a399-8471255bb166" targetNamespace="http://schemas.microsoft.com/office/2006/metadata/properties" ma:root="true" ma:fieldsID="716c1f24c9963eeb1e0ffe3860f8f798" ns2:_="">
    <xsd:import namespace="a4c22657-7647-457b-a399-8471255bb16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22657-7647-457b-a399-8471255bb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73A727-1D45-4D32-902A-2E97E7BA0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22657-7647-457b-a399-8471255bb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9097EB-14C3-47E1-B404-18E100E6D132}">
  <ds:schemaRefs>
    <ds:schemaRef ds:uri="http://schemas.microsoft.com/office/2006/documentManagement/types"/>
    <ds:schemaRef ds:uri="http://purl.org/dc/dcmitype/"/>
    <ds:schemaRef ds:uri="http://schemas.microsoft.com/office/2006/metadata/properties"/>
    <ds:schemaRef ds:uri="http://purl.org/dc/terms/"/>
    <ds:schemaRef ds:uri="http://schemas.openxmlformats.org/package/2006/metadata/core-properties"/>
    <ds:schemaRef ds:uri="http://schemas.microsoft.com/office/infopath/2007/PartnerControls"/>
    <ds:schemaRef ds:uri="a4c22657-7647-457b-a399-8471255bb166"/>
    <ds:schemaRef ds:uri="http://www.w3.org/XML/1998/namespace"/>
    <ds:schemaRef ds:uri="http://purl.org/dc/elements/1.1/"/>
  </ds:schemaRefs>
</ds:datastoreItem>
</file>

<file path=customXml/itemProps3.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4.xml><?xml version="1.0" encoding="utf-8"?>
<ds:datastoreItem xmlns:ds="http://schemas.openxmlformats.org/officeDocument/2006/customXml" ds:itemID="{821010F8-09BC-432C-9623-F5562562B9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13</Pages>
  <Words>3410</Words>
  <Characters>22209</Characters>
  <Application>Microsoft Office Word</Application>
  <DocSecurity>0</DocSecurity>
  <Lines>600</Lines>
  <Paragraphs>350</Paragraphs>
  <ScaleCrop>false</ScaleCrop>
  <HeadingPairs>
    <vt:vector size="2" baseType="variant">
      <vt:variant>
        <vt:lpstr>Title</vt:lpstr>
      </vt:variant>
      <vt:variant>
        <vt:i4>1</vt:i4>
      </vt:variant>
    </vt:vector>
  </HeadingPairs>
  <TitlesOfParts>
    <vt:vector size="1" baseType="lpstr">
      <vt:lpstr>Implementation of Resolution 154 (rev. Bucharest, 2022) and Resolution 1372 (C15, last amended C24)</vt:lpstr>
    </vt:vector>
  </TitlesOfParts>
  <Manager/>
  <Company/>
  <LinksUpToDate>false</LinksUpToDate>
  <CharactersWithSpaces>25269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Implementation of Resolution 154 (rev. Bucharest, 2022) and Resolution 1372 (C15, last amended C24)</dc:title>
  <dc:subject>ITU Council Working Group on the use of the six official languages of the Union</dc:subject>
  <cp:keywords>CWG-LANG; C26; Council-26</cp:keywords>
  <dc:description/>
  <dcterms:created xsi:type="dcterms:W3CDTF">2025-12-10T19:46:00Z</dcterms:created>
  <dcterms:modified xsi:type="dcterms:W3CDTF">2025-12-11T11:09:00Z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16f9518e-b2ef-4335-a968-2d54fb3b6914</vt:lpwstr>
  </property>
  <property fmtid="{D5CDD505-2E9C-101B-9397-08002B2CF9AE}" pid="3" name="ContentTypeId">
    <vt:lpwstr>0x010100814E447ED7B9DA4C9F10BB2808D9DCA9</vt:lpwstr>
  </property>
  <property fmtid="{D5CDD505-2E9C-101B-9397-08002B2CF9AE}" pid="4" name="docLang">
    <vt:lpwstr>en</vt:lpwstr>
  </property>
</Properties>
</file>