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8CD1ACB" w14:textId="77777777" w:rsidTr="00C70164">
        <w:trPr>
          <w:cantSplit/>
          <w:jc w:val="center"/>
        </w:trPr>
        <w:tc>
          <w:tcPr>
            <w:tcW w:w="10031" w:type="dxa"/>
            <w:gridSpan w:val="2"/>
            <w:tcMar>
              <w:left w:w="0" w:type="dxa"/>
              <w:right w:w="0" w:type="dxa"/>
            </w:tcMar>
            <w:vAlign w:val="center"/>
          </w:tcPr>
          <w:p w14:paraId="656A445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944AE95" wp14:editId="4AEA48D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27FB9B7" w14:textId="77777777" w:rsidTr="00C70164">
        <w:trPr>
          <w:cantSplit/>
          <w:trHeight w:val="283"/>
          <w:jc w:val="center"/>
        </w:trPr>
        <w:tc>
          <w:tcPr>
            <w:tcW w:w="10031" w:type="dxa"/>
            <w:gridSpan w:val="2"/>
            <w:tcBorders>
              <w:bottom w:val="single" w:sz="12" w:space="0" w:color="71716F"/>
            </w:tcBorders>
          </w:tcPr>
          <w:p w14:paraId="2F89BF6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7B80888" w14:textId="77777777" w:rsidTr="00C70164">
        <w:trPr>
          <w:cantSplit/>
          <w:trHeight w:val="255"/>
          <w:jc w:val="center"/>
        </w:trPr>
        <w:tc>
          <w:tcPr>
            <w:tcW w:w="7230" w:type="dxa"/>
            <w:tcBorders>
              <w:top w:val="single" w:sz="12" w:space="0" w:color="71716F"/>
            </w:tcBorders>
          </w:tcPr>
          <w:p w14:paraId="0904744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AED969F" w14:textId="77777777" w:rsidR="001A16ED" w:rsidRPr="00D96B4B" w:rsidRDefault="001A16ED" w:rsidP="000B596F">
            <w:pPr>
              <w:spacing w:before="0"/>
              <w:rPr>
                <w:rFonts w:cstheme="minorHAnsi"/>
                <w:sz w:val="20"/>
              </w:rPr>
            </w:pPr>
          </w:p>
        </w:tc>
      </w:tr>
      <w:tr w:rsidR="001A16ED" w:rsidRPr="00C324A8" w14:paraId="0F41C6B7" w14:textId="77777777" w:rsidTr="00C70164">
        <w:trPr>
          <w:cantSplit/>
          <w:trHeight w:val="23"/>
          <w:jc w:val="center"/>
        </w:trPr>
        <w:tc>
          <w:tcPr>
            <w:tcW w:w="7230" w:type="dxa"/>
          </w:tcPr>
          <w:p w14:paraId="4A2C412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ECBE5F6" w14:textId="77777777" w:rsidR="001A16ED" w:rsidRPr="00F44B1A" w:rsidRDefault="001A16ED" w:rsidP="000B596F">
            <w:pPr>
              <w:tabs>
                <w:tab w:val="left" w:pos="851"/>
              </w:tabs>
              <w:spacing w:before="0"/>
              <w:rPr>
                <w:rFonts w:cstheme="minorHAnsi"/>
                <w:b/>
                <w:szCs w:val="24"/>
              </w:rPr>
            </w:pPr>
            <w:r>
              <w:rPr>
                <w:rFonts w:cstheme="minorHAnsi"/>
                <w:b/>
                <w:szCs w:val="24"/>
              </w:rPr>
              <w:t>Document 97</w:t>
            </w:r>
            <w:r w:rsidR="00F44B1A" w:rsidRPr="00F44B1A">
              <w:rPr>
                <w:rFonts w:cstheme="minorHAnsi"/>
                <w:b/>
                <w:szCs w:val="24"/>
              </w:rPr>
              <w:t>-E</w:t>
            </w:r>
          </w:p>
        </w:tc>
      </w:tr>
      <w:tr w:rsidR="001A16ED" w:rsidRPr="00C324A8" w14:paraId="3D4F2200" w14:textId="77777777" w:rsidTr="00C70164">
        <w:trPr>
          <w:cantSplit/>
          <w:trHeight w:val="23"/>
          <w:jc w:val="center"/>
        </w:trPr>
        <w:tc>
          <w:tcPr>
            <w:tcW w:w="7230" w:type="dxa"/>
          </w:tcPr>
          <w:p w14:paraId="697124B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49B1A5D"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C3B4061" w14:textId="77777777" w:rsidTr="00C70164">
        <w:trPr>
          <w:cantSplit/>
          <w:trHeight w:val="23"/>
          <w:jc w:val="center"/>
        </w:trPr>
        <w:tc>
          <w:tcPr>
            <w:tcW w:w="7230" w:type="dxa"/>
          </w:tcPr>
          <w:p w14:paraId="1FD8270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25E06E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DA24621" w14:textId="77777777" w:rsidTr="00C70164">
        <w:trPr>
          <w:cantSplit/>
          <w:trHeight w:val="23"/>
          <w:jc w:val="center"/>
        </w:trPr>
        <w:tc>
          <w:tcPr>
            <w:tcW w:w="10031" w:type="dxa"/>
            <w:gridSpan w:val="2"/>
          </w:tcPr>
          <w:p w14:paraId="7821A420" w14:textId="77777777" w:rsidR="001A16ED" w:rsidRPr="00D96B4B" w:rsidRDefault="001A16ED" w:rsidP="000B596F">
            <w:pPr>
              <w:tabs>
                <w:tab w:val="left" w:pos="993"/>
              </w:tabs>
              <w:rPr>
                <w:rFonts w:ascii="Verdana" w:hAnsi="Verdana"/>
                <w:b/>
                <w:szCs w:val="24"/>
              </w:rPr>
            </w:pPr>
          </w:p>
        </w:tc>
      </w:tr>
      <w:tr w:rsidR="001A16ED" w:rsidRPr="00C324A8" w14:paraId="7DE56DD3" w14:textId="77777777" w:rsidTr="00C70164">
        <w:trPr>
          <w:cantSplit/>
          <w:trHeight w:val="23"/>
          <w:jc w:val="center"/>
        </w:trPr>
        <w:tc>
          <w:tcPr>
            <w:tcW w:w="10031" w:type="dxa"/>
            <w:gridSpan w:val="2"/>
          </w:tcPr>
          <w:p w14:paraId="1569260D" w14:textId="77777777" w:rsidR="001A16ED" w:rsidRDefault="001A16ED" w:rsidP="000B596F">
            <w:pPr>
              <w:pStyle w:val="Source"/>
            </w:pPr>
            <w:r>
              <w:t>United Arab Emirates</w:t>
            </w:r>
          </w:p>
        </w:tc>
      </w:tr>
      <w:tr w:rsidR="001A16ED" w:rsidRPr="00C324A8" w14:paraId="29724749" w14:textId="77777777" w:rsidTr="00C70164">
        <w:trPr>
          <w:cantSplit/>
          <w:trHeight w:val="23"/>
          <w:jc w:val="center"/>
        </w:trPr>
        <w:tc>
          <w:tcPr>
            <w:tcW w:w="10031" w:type="dxa"/>
            <w:gridSpan w:val="2"/>
          </w:tcPr>
          <w:p w14:paraId="65B34531" w14:textId="77777777" w:rsidR="001A16ED" w:rsidRDefault="001A16ED" w:rsidP="000B596F">
            <w:pPr>
              <w:pStyle w:val="Title1"/>
            </w:pPr>
            <w:r>
              <w:t>Proposals for the work of the conference</w:t>
            </w:r>
          </w:p>
        </w:tc>
      </w:tr>
      <w:tr w:rsidR="001A16ED" w:rsidRPr="00C324A8" w14:paraId="5D2798DC" w14:textId="77777777" w:rsidTr="00C70164">
        <w:trPr>
          <w:cantSplit/>
          <w:trHeight w:val="23"/>
          <w:jc w:val="center"/>
        </w:trPr>
        <w:tc>
          <w:tcPr>
            <w:tcW w:w="10031" w:type="dxa"/>
            <w:gridSpan w:val="2"/>
          </w:tcPr>
          <w:p w14:paraId="2025973C" w14:textId="77777777" w:rsidR="001A16ED" w:rsidRDefault="001A16ED" w:rsidP="000B596F">
            <w:pPr>
              <w:pStyle w:val="Title2"/>
            </w:pPr>
            <w:r>
              <w:t>Draft new Resolution - Protection, resilience and continuity of critical telecommunication/ICT infrastructure</w:t>
            </w:r>
          </w:p>
        </w:tc>
      </w:tr>
      <w:tr w:rsidR="001A16ED" w:rsidRPr="00C324A8" w14:paraId="10E0DB78" w14:textId="77777777" w:rsidTr="00C70164">
        <w:trPr>
          <w:cantSplit/>
          <w:trHeight w:val="23"/>
          <w:jc w:val="center"/>
        </w:trPr>
        <w:tc>
          <w:tcPr>
            <w:tcW w:w="10031" w:type="dxa"/>
            <w:gridSpan w:val="2"/>
          </w:tcPr>
          <w:p w14:paraId="53201560" w14:textId="77777777" w:rsidR="001A16ED" w:rsidRPr="00106131" w:rsidRDefault="001A16ED" w:rsidP="000B596F">
            <w:pPr>
              <w:pStyle w:val="Agendaitem"/>
              <w:rPr>
                <w:lang w:val="en-GB"/>
              </w:rPr>
            </w:pPr>
          </w:p>
        </w:tc>
      </w:tr>
      <w:bookmarkEnd w:id="6"/>
      <w:bookmarkEnd w:id="7"/>
    </w:tbl>
    <w:p w14:paraId="1D504B09" w14:textId="77777777" w:rsidR="001A16ED" w:rsidRDefault="001A16ED" w:rsidP="00AB2D04"/>
    <w:p w14:paraId="2C5B53D7" w14:textId="77777777" w:rsidR="0008540E" w:rsidRPr="0008540E" w:rsidRDefault="001A16ED" w:rsidP="00004F8B">
      <w:r>
        <w:br w:type="page"/>
      </w:r>
    </w:p>
    <w:p w14:paraId="46AC2217" w14:textId="77777777" w:rsidR="0083610C" w:rsidRDefault="00000000">
      <w:pPr>
        <w:pStyle w:val="Proposal"/>
      </w:pPr>
      <w:r>
        <w:lastRenderedPageBreak/>
        <w:t>ADD</w:t>
      </w:r>
      <w:r>
        <w:tab/>
        <w:t>UAE/97/1</w:t>
      </w:r>
    </w:p>
    <w:p w14:paraId="54A4B508" w14:textId="77777777" w:rsidR="0083610C" w:rsidRDefault="00000000">
      <w:pPr>
        <w:pStyle w:val="ResNo"/>
      </w:pPr>
      <w:r>
        <w:t>Draft New Resolution [UAE-1]</w:t>
      </w:r>
    </w:p>
    <w:p w14:paraId="4DC1C43B" w14:textId="4A09E93F" w:rsidR="0083610C" w:rsidRDefault="00BE753F">
      <w:pPr>
        <w:pStyle w:val="Restitle"/>
      </w:pPr>
      <w:r w:rsidRPr="00BE753F">
        <w:t>Protection, resilience and continuity of critical telecommunication/information and communication technology infrastructure</w:t>
      </w:r>
    </w:p>
    <w:p w14:paraId="31E12B78" w14:textId="77777777" w:rsidR="00E46A03" w:rsidRPr="00E46A03" w:rsidRDefault="00E46A03" w:rsidP="00E46A03">
      <w:pPr>
        <w:pStyle w:val="Normalaftertitle"/>
      </w:pPr>
      <w:r w:rsidRPr="00E46A03">
        <w:t>The Plenipotentiary Conference of the International Telecommunication Union (Doha, 2026),</w:t>
      </w:r>
    </w:p>
    <w:p w14:paraId="264D6D77" w14:textId="77777777" w:rsidR="00E46A03" w:rsidRPr="00E46A03" w:rsidRDefault="00E46A03" w:rsidP="00E46A03">
      <w:pPr>
        <w:pStyle w:val="Call"/>
      </w:pPr>
      <w:r w:rsidRPr="00E46A03">
        <w:t>recalling</w:t>
      </w:r>
    </w:p>
    <w:p w14:paraId="036D4407" w14:textId="0128D9C5" w:rsidR="00E46A03" w:rsidRPr="00E46A03" w:rsidRDefault="00E46A03" w:rsidP="00E46A03">
      <w:r w:rsidRPr="00E46A03">
        <w:rPr>
          <w:i/>
        </w:rPr>
        <w:t>a)</w:t>
      </w:r>
      <w:r w:rsidRPr="00E46A03">
        <w:tab/>
        <w:t>Article 1 of the Constitution of the International Telecommunication Union and</w:t>
      </w:r>
      <w:r w:rsidR="00587C87">
        <w:t>,</w:t>
      </w:r>
      <w:r w:rsidRPr="00E46A03">
        <w:t xml:space="preserve"> in particular</w:t>
      </w:r>
      <w:r w:rsidR="00587C87">
        <w:t>,</w:t>
      </w:r>
      <w:r w:rsidRPr="00E46A03">
        <w:t xml:space="preserve"> the purposes of the Union to maintain and extend international cooperation among all Member States for the improvement and rational use of telecommunications of all kinds, to promote the extension of the benefits of the new telecommunication technologies to all the world's inhabitants, and to promote the adoption of measures for ensuring the safety of life through the cooperation of telecommunication services;</w:t>
      </w:r>
    </w:p>
    <w:p w14:paraId="3F7C2C23" w14:textId="77777777" w:rsidR="00D806FB" w:rsidRPr="00D806FB" w:rsidRDefault="00D806FB" w:rsidP="00E46A03">
      <w:r w:rsidRPr="00D806FB">
        <w:rPr>
          <w:i/>
        </w:rPr>
        <w:t>b)</w:t>
      </w:r>
      <w:r w:rsidRPr="00D806FB">
        <w:tab/>
        <w:t>Article 38 of the Constitution, on the establishment, operation and protection of telecommunication channels and installations, under which Member States shall take such steps as may be necessary to ensure the establishment, under the best technical conditions, of the channels and installations necessary to carry on the rapid and uninterrupted exchange of international telecommunications, and shall safeguard those channels and installations within their jurisdiction;</w:t>
      </w:r>
    </w:p>
    <w:p w14:paraId="19B603FF" w14:textId="77777777" w:rsidR="00D806FB" w:rsidRPr="00D806FB" w:rsidRDefault="00D806FB" w:rsidP="00E46A03">
      <w:r w:rsidRPr="00D806FB">
        <w:rPr>
          <w:i/>
        </w:rPr>
        <w:t>c)</w:t>
      </w:r>
      <w:r w:rsidRPr="00D806FB">
        <w:tab/>
        <w:t>Article 40 of the Constitution, on the priority of telecommunications concerning safety of life, and Article 46 of the Constitution, on distress calls and messages;</w:t>
      </w:r>
    </w:p>
    <w:p w14:paraId="76C419D6" w14:textId="77777777" w:rsidR="00D806FB" w:rsidRPr="00D806FB" w:rsidRDefault="00D806FB" w:rsidP="00E46A03">
      <w:r w:rsidRPr="00D806FB">
        <w:rPr>
          <w:i/>
        </w:rPr>
        <w:t>d)</w:t>
      </w:r>
      <w:r w:rsidRPr="00D806FB">
        <w:tab/>
        <w:t>Resolution 130 (Rev. Bucharest, 2022) of the Plenipotentiary Conference, on strengthening the role of ITU in building confidence and security in the use of information and communication technologies;</w:t>
      </w:r>
    </w:p>
    <w:p w14:paraId="5C201C87" w14:textId="77777777" w:rsidR="00D806FB" w:rsidRPr="00D806FB" w:rsidRDefault="00D806FB" w:rsidP="00E46A03">
      <w:pPr>
        <w:rPr>
          <w:rtl/>
          <w:lang w:bidi="ar-AE"/>
        </w:rPr>
      </w:pPr>
      <w:r w:rsidRPr="00D806FB">
        <w:rPr>
          <w:i/>
        </w:rPr>
        <w:t>e)</w:t>
      </w:r>
      <w:r w:rsidRPr="00D806FB">
        <w:tab/>
        <w:t>Resolution 136 (Rev. Bucharest, 2022) of the Plenipotentiary Conference, on the use of telecommunications/information and communication technologies (ICTs) for humanitarian assistance and for monitoring and management in emergency and disaster situations, including health-related emergencies, for early warning, prevention, mitigation and relief, and the relevant work undertaken pursuant to that Resolution on infrastructure resilience and continuity of essential services;</w:t>
      </w:r>
    </w:p>
    <w:p w14:paraId="56F35590" w14:textId="77777777" w:rsidR="00D806FB" w:rsidRPr="00D806FB" w:rsidRDefault="00D806FB" w:rsidP="00E46A03">
      <w:r w:rsidRPr="00D806FB">
        <w:rPr>
          <w:i/>
        </w:rPr>
        <w:t>f)</w:t>
      </w:r>
      <w:r w:rsidRPr="00D806FB">
        <w:tab/>
        <w:t xml:space="preserve">Resolution 182 (Rev. Bucharest, 2022) of the Plenipotentiary Conference, on the role of telecommunications/ICTs </w:t>
      </w:r>
      <w:proofErr w:type="gramStart"/>
      <w:r w:rsidRPr="00D806FB">
        <w:t>in regard to</w:t>
      </w:r>
      <w:proofErr w:type="gramEnd"/>
      <w:r w:rsidRPr="00D806FB">
        <w:t xml:space="preserve"> climate change and the protection of the environment;</w:t>
      </w:r>
    </w:p>
    <w:p w14:paraId="50264C14" w14:textId="77777777" w:rsidR="00D806FB" w:rsidRPr="00D806FB" w:rsidRDefault="00D806FB" w:rsidP="00E46A03">
      <w:r w:rsidRPr="00D806FB">
        <w:rPr>
          <w:i/>
        </w:rPr>
        <w:t>g)</w:t>
      </w:r>
      <w:r w:rsidRPr="00D806FB">
        <w:tab/>
        <w:t>Resolution 34 (Rev. Baku, 2025) of the World Telecommunication Development Conference, on the role of telecommunications/ICTs in disaster preparedness, early warning, rescue, mitigation, relief and response;</w:t>
      </w:r>
    </w:p>
    <w:p w14:paraId="342A87FB" w14:textId="77777777" w:rsidR="00D806FB" w:rsidRPr="00D806FB" w:rsidRDefault="00D806FB" w:rsidP="00C126E9">
      <w:pPr>
        <w:pStyle w:val="Call"/>
      </w:pPr>
      <w:r w:rsidRPr="00D806FB">
        <w:t>recognizing</w:t>
      </w:r>
    </w:p>
    <w:p w14:paraId="5EAF670C" w14:textId="77777777" w:rsidR="00D806FB" w:rsidRPr="00D806FB" w:rsidRDefault="00D806FB" w:rsidP="00E46A03">
      <w:r w:rsidRPr="00D806FB">
        <w:rPr>
          <w:i/>
        </w:rPr>
        <w:t>a)</w:t>
      </w:r>
      <w:r w:rsidRPr="00D806FB">
        <w:tab/>
        <w:t>that telecommunication/ICT infrastructure supports the continuity of essential services, including health care, emergency and early-warning services, water and energy systems, financial settlement, transport, food supply, public administration and education;</w:t>
      </w:r>
    </w:p>
    <w:p w14:paraId="0A11206A" w14:textId="77777777" w:rsidR="00D806FB" w:rsidRPr="00D806FB" w:rsidRDefault="00D806FB" w:rsidP="00E46A03">
      <w:r w:rsidRPr="00D806FB">
        <w:rPr>
          <w:i/>
        </w:rPr>
        <w:lastRenderedPageBreak/>
        <w:t>b)</w:t>
      </w:r>
      <w:r w:rsidRPr="00D806FB">
        <w:tab/>
        <w:t xml:space="preserve">that this infrastructure comprises interdependent domains – terrestrial transmission and access networks, submarine cable systems and their landing stations, satellite systems and earth stations, data </w:t>
      </w:r>
      <w:proofErr w:type="spellStart"/>
      <w:r w:rsidRPr="00D806FB">
        <w:t>centers</w:t>
      </w:r>
      <w:proofErr w:type="spellEnd"/>
      <w:r w:rsidRPr="00D806FB">
        <w:t xml:space="preserve"> and cloud infrastructure, and Internet exchange points – whose operation may depend upon one another and upon supporting infrastructure, including reliable electrical power;</w:t>
      </w:r>
    </w:p>
    <w:p w14:paraId="4E1528F2" w14:textId="77777777" w:rsidR="00D806FB" w:rsidRPr="00D806FB" w:rsidRDefault="00D806FB" w:rsidP="00E46A03">
      <w:r w:rsidRPr="00D806FB">
        <w:rPr>
          <w:i/>
        </w:rPr>
        <w:t>c)</w:t>
      </w:r>
      <w:r w:rsidRPr="00D806FB">
        <w:tab/>
        <w:t>that the concentration of computing, routing and traffic-exchange functions in a limited number of facilities and geographical locations, and the passage of a substantial share of international traffic through a limited number of maritime corridors and chokepoints, may create systemic vulnerabilities that can be difficult to assess and address in aggregate;</w:t>
      </w:r>
    </w:p>
    <w:p w14:paraId="1CD0ACB9" w14:textId="77777777" w:rsidR="00D806FB" w:rsidRPr="00D806FB" w:rsidRDefault="00D806FB" w:rsidP="00E46A03">
      <w:r w:rsidRPr="00D806FB">
        <w:rPr>
          <w:i/>
        </w:rPr>
        <w:t>d)</w:t>
      </w:r>
      <w:r w:rsidRPr="00D806FB">
        <w:tab/>
        <w:t xml:space="preserve">the continued growth and concentration of </w:t>
      </w:r>
      <w:proofErr w:type="gramStart"/>
      <w:r w:rsidRPr="00D806FB">
        <w:t>data-</w:t>
      </w:r>
      <w:proofErr w:type="spellStart"/>
      <w:r w:rsidRPr="00D806FB">
        <w:t>center</w:t>
      </w:r>
      <w:proofErr w:type="spellEnd"/>
      <w:proofErr w:type="gramEnd"/>
      <w:r w:rsidRPr="00D806FB">
        <w:t xml:space="preserve"> and computing infrastructure increases the importance of understanding energy, connectivity and geographical dependencies relevant to the continuity of telecommunication/ICT services;</w:t>
      </w:r>
    </w:p>
    <w:p w14:paraId="0C7F02C3" w14:textId="77777777" w:rsidR="00D806FB" w:rsidRPr="00B04F16" w:rsidRDefault="00D806FB" w:rsidP="00E46A03">
      <w:pPr>
        <w:rPr>
          <w:iCs/>
        </w:rPr>
      </w:pPr>
      <w:r w:rsidRPr="00D806FB">
        <w:rPr>
          <w:i/>
        </w:rPr>
        <w:t>e)</w:t>
      </w:r>
      <w:r w:rsidRPr="00D806FB">
        <w:rPr>
          <w:i/>
        </w:rPr>
        <w:tab/>
      </w:r>
      <w:r w:rsidRPr="00B04F16">
        <w:rPr>
          <w:iCs/>
        </w:rPr>
        <w:t>that the resilience of telecommunication/ICT infrastructure is a matter of common interest to the entire membership of the Union, and that a disruption originating in the territory of one Member State may propagate across borders and affect the connectivity of many others,</w:t>
      </w:r>
    </w:p>
    <w:p w14:paraId="7F99A63D" w14:textId="77777777" w:rsidR="00D806FB" w:rsidRPr="00D806FB" w:rsidRDefault="00D806FB" w:rsidP="00C126E9">
      <w:pPr>
        <w:pStyle w:val="Call"/>
      </w:pPr>
      <w:r w:rsidRPr="00D806FB">
        <w:t>considering</w:t>
      </w:r>
    </w:p>
    <w:p w14:paraId="448B633A" w14:textId="77777777" w:rsidR="00D806FB" w:rsidRPr="00D806FB" w:rsidRDefault="00D806FB" w:rsidP="00E46A03">
      <w:r w:rsidRPr="00D806FB">
        <w:rPr>
          <w:i/>
        </w:rPr>
        <w:t>a)</w:t>
      </w:r>
      <w:r w:rsidRPr="00D806FB">
        <w:tab/>
        <w:t>that disruptions of telecommunication/ICT infrastructure arise from a spectrum of causes including natural hazards, extreme weather and climate-related events, space weather and geomagnetic disturbance, accidental damage from maritime and terrestrial activity, technical and cascading failure, malicious cyber activity, sabotage and physical attack, and that the engineering and many measures for preparedness, resilience, continuity and restoration are relevant across different causes of disruption;</w:t>
      </w:r>
    </w:p>
    <w:p w14:paraId="326A85A8" w14:textId="77777777" w:rsidR="00D806FB" w:rsidRPr="00D806FB" w:rsidRDefault="00D806FB" w:rsidP="00E46A03">
      <w:r w:rsidRPr="00D806FB">
        <w:rPr>
          <w:i/>
        </w:rPr>
        <w:t>b)</w:t>
      </w:r>
      <w:r w:rsidRPr="00D806FB">
        <w:tab/>
        <w:t>that studies indicate that a large share of digital service disruptions associated with natural hazards result from secondary cascading effects rather than from the initial physical damage, and that the number of persons ultimately affected may greatly exceed the number initially exposed;</w:t>
      </w:r>
    </w:p>
    <w:p w14:paraId="3B9652DA" w14:textId="77777777" w:rsidR="00D806FB" w:rsidRPr="00D806FB" w:rsidRDefault="00D806FB" w:rsidP="00E46A03">
      <w:r w:rsidRPr="00D806FB">
        <w:rPr>
          <w:i/>
        </w:rPr>
        <w:t>c)</w:t>
      </w:r>
      <w:r w:rsidRPr="00D806FB">
        <w:tab/>
        <w:t xml:space="preserve">that such disruptions are frequently invisible at their onset, producing no observable physical signal, which delays the recognition of severity and postpones the activation of response mechanisms </w:t>
      </w:r>
      <w:proofErr w:type="gramStart"/>
      <w:r w:rsidRPr="00D806FB">
        <w:t>at the moment</w:t>
      </w:r>
      <w:proofErr w:type="gramEnd"/>
      <w:r w:rsidRPr="00D806FB">
        <w:t xml:space="preserve"> when timely action is most consequential;</w:t>
      </w:r>
    </w:p>
    <w:p w14:paraId="10F5405A" w14:textId="77777777" w:rsidR="00D806FB" w:rsidRPr="00D806FB" w:rsidRDefault="00D806FB" w:rsidP="00E46A03">
      <w:r w:rsidRPr="00D806FB">
        <w:rPr>
          <w:i/>
        </w:rPr>
        <w:t>d)</w:t>
      </w:r>
      <w:r w:rsidRPr="00D806FB">
        <w:tab/>
        <w:t>that the capacity of societies and institutions to operate without digital systems has diminished, that non-digital fallback arrangements have in many sectors been decommissioned or are no longer exercised, and that this loss of redundancy is itself a component of systemic risk;</w:t>
      </w:r>
    </w:p>
    <w:p w14:paraId="2BB2774A" w14:textId="77777777" w:rsidR="00D806FB" w:rsidRPr="00D806FB" w:rsidRDefault="00D806FB" w:rsidP="00E46A03">
      <w:r w:rsidRPr="00D806FB">
        <w:rPr>
          <w:i/>
        </w:rPr>
        <w:t>e)</w:t>
      </w:r>
      <w:r w:rsidRPr="00D806FB">
        <w:tab/>
        <w:t>that small island developing States, least developed countries, landlocked developing countries and other underserved regions frequently depend upon a single submarine cable system or a single international route, and therefore face distinct and in some cases more acute vulnerabilities;</w:t>
      </w:r>
    </w:p>
    <w:p w14:paraId="78972D5E" w14:textId="77777777" w:rsidR="00D806FB" w:rsidRPr="00D806FB" w:rsidRDefault="00D806FB" w:rsidP="00E46A03">
      <w:r w:rsidRPr="00D806FB">
        <w:rPr>
          <w:i/>
        </w:rPr>
        <w:t>f)</w:t>
      </w:r>
      <w:r w:rsidRPr="00D806FB">
        <w:tab/>
        <w:t>that existing resolutions and ongoing work address important aspects of emergency telecommunications, network resilience, cybersecurity and submarine cable protection, while guidance on the interdependencies among telecommunication/ICT infrastructure systems and their implications for service continuity would complement that work;</w:t>
      </w:r>
    </w:p>
    <w:p w14:paraId="5AB46708" w14:textId="77777777" w:rsidR="00D806FB" w:rsidRPr="00D806FB" w:rsidRDefault="00D806FB" w:rsidP="00C126E9">
      <w:pPr>
        <w:pStyle w:val="Call"/>
      </w:pPr>
      <w:r w:rsidRPr="00D806FB">
        <w:t>noting</w:t>
      </w:r>
    </w:p>
    <w:p w14:paraId="55E18FB9" w14:textId="71E0255F" w:rsidR="00D806FB" w:rsidRPr="00D806FB" w:rsidRDefault="00D806FB" w:rsidP="00E46A03">
      <w:r w:rsidRPr="00D806FB">
        <w:rPr>
          <w:i/>
        </w:rPr>
        <w:t>a)</w:t>
      </w:r>
      <w:r w:rsidRPr="00D806FB">
        <w:tab/>
        <w:t xml:space="preserve">the work of the International Advisory Body on Submarine Cable Resilience, established jointly by ITU and the International Cable Protection Committee, the Abuja Declaration of </w:t>
      </w:r>
      <w:r w:rsidRPr="00D806FB">
        <w:lastRenderedPageBreak/>
        <w:t>26</w:t>
      </w:r>
      <w:r w:rsidR="00D0275A">
        <w:t> </w:t>
      </w:r>
      <w:r w:rsidRPr="00D806FB">
        <w:t>February</w:t>
      </w:r>
      <w:r w:rsidR="00D0275A">
        <w:t> </w:t>
      </w:r>
      <w:r w:rsidRPr="00D806FB">
        <w:t>2025, the Porto Declaration of 3</w:t>
      </w:r>
      <w:r w:rsidR="003D79B7">
        <w:t> </w:t>
      </w:r>
      <w:r w:rsidRPr="00D806FB">
        <w:t>February</w:t>
      </w:r>
      <w:r w:rsidR="003D79B7">
        <w:t> </w:t>
      </w:r>
      <w:r w:rsidRPr="00D806FB">
        <w:t>2026, and the Report of the Working Groups of the Advisory Body published in 2026;</w:t>
      </w:r>
    </w:p>
    <w:p w14:paraId="495382AD" w14:textId="0C633BBB" w:rsidR="00D806FB" w:rsidRPr="00D806FB" w:rsidRDefault="00D806FB" w:rsidP="00E46A03">
      <w:r w:rsidRPr="00D806FB">
        <w:rPr>
          <w:i/>
        </w:rPr>
        <w:t>b)</w:t>
      </w:r>
      <w:r w:rsidRPr="00D806FB">
        <w:tab/>
        <w:t>the outcomes of the seventh World Telecommunication/ICT Policy Forum (Nassau, 2026)</w:t>
      </w:r>
      <w:proofErr w:type="gramStart"/>
      <w:r w:rsidRPr="00D806FB">
        <w:t>, in particular</w:t>
      </w:r>
      <w:r w:rsidR="00A44907">
        <w:t>,</w:t>
      </w:r>
      <w:r w:rsidRPr="00D806FB">
        <w:t xml:space="preserve"> its</w:t>
      </w:r>
      <w:proofErr w:type="gramEnd"/>
      <w:r w:rsidRPr="00D806FB">
        <w:t xml:space="preserve"> Opinion on the resilience of telecommunications/ICTs;</w:t>
      </w:r>
    </w:p>
    <w:p w14:paraId="23C8F1DA" w14:textId="543DA679" w:rsidR="00D806FB" w:rsidRPr="00D806FB" w:rsidRDefault="00D806FB" w:rsidP="00E46A03">
      <w:r w:rsidRPr="00D806FB">
        <w:rPr>
          <w:i/>
        </w:rPr>
        <w:t>c)</w:t>
      </w:r>
      <w:r w:rsidRPr="00D806FB">
        <w:tab/>
        <w:t>the report “When digital systems fail: the hidden risks of our digital world” (2026), prepared by ITU together with the United Nations Office for Disaster Risk Reduction and the Paris School of International Affairs of Sciences;</w:t>
      </w:r>
    </w:p>
    <w:p w14:paraId="6EF30B37" w14:textId="77777777" w:rsidR="00D806FB" w:rsidRPr="00D806FB" w:rsidRDefault="00D806FB" w:rsidP="00E46A03">
      <w:r w:rsidRPr="00D806FB">
        <w:rPr>
          <w:i/>
        </w:rPr>
        <w:t>d)</w:t>
      </w:r>
      <w:r w:rsidRPr="00D806FB">
        <w:tab/>
        <w:t>the relevant work of the study groups of the three Sectors of the Union, including on network resilience, disaster relief systems, emergency telecommunications, submarine cable technologies, satellite systems and security standardization, and the work of the ITU Global Forum on Emergency Telecommunications;</w:t>
      </w:r>
    </w:p>
    <w:p w14:paraId="7D0220B5" w14:textId="77777777" w:rsidR="00D806FB" w:rsidRPr="00D806FB" w:rsidRDefault="00D806FB" w:rsidP="00E46A03">
      <w:r w:rsidRPr="00D806FB">
        <w:rPr>
          <w:i/>
        </w:rPr>
        <w:t>e)</w:t>
      </w:r>
      <w:r w:rsidRPr="00D806FB">
        <w:tab/>
        <w:t>the Science Monitoring and Reliable Telecommunications (SMART) submarine cable initiative, referred to in Resolution 182 (Rev. Bucharest, 2022) and Resolution 34 (Rev. Baku, 2025), through which submarine cable systems may additionally serve environmental and hazard monitoring purposes;</w:t>
      </w:r>
    </w:p>
    <w:p w14:paraId="55ADB6F7" w14:textId="77777777" w:rsidR="00D806FB" w:rsidRPr="00D806FB" w:rsidRDefault="00D806FB" w:rsidP="00E46A03">
      <w:r w:rsidRPr="00D806FB">
        <w:rPr>
          <w:i/>
        </w:rPr>
        <w:t>f)</w:t>
      </w:r>
      <w:r w:rsidRPr="00D806FB">
        <w:tab/>
        <w:t>the relevant work of other international organizations, including the International Maritime Organization, the International Hydrographic Organization, the United Nations Office for Disaster Risk Reduction and the World Meteorological Organization, and, as applicable, the provisions of the United Nations Convention on the Law of the Sea concerning submarine cables,</w:t>
      </w:r>
    </w:p>
    <w:p w14:paraId="31C4623B" w14:textId="77777777" w:rsidR="00D806FB" w:rsidRPr="00D806FB" w:rsidRDefault="00D806FB" w:rsidP="00C126E9">
      <w:pPr>
        <w:pStyle w:val="Call"/>
      </w:pPr>
      <w:r w:rsidRPr="00D806FB">
        <w:t>resolves</w:t>
      </w:r>
    </w:p>
    <w:p w14:paraId="55F934F1" w14:textId="77777777" w:rsidR="00D806FB" w:rsidRPr="00D806FB" w:rsidRDefault="00D806FB" w:rsidP="00E46A03">
      <w:r w:rsidRPr="00D806FB">
        <w:t>1</w:t>
      </w:r>
      <w:r w:rsidRPr="00D806FB">
        <w:tab/>
        <w:t>to strengthen the protection, resilience and continuity of critical telecommunication/ICT infrastructure through a coordinated approach to identifying shared infrastructure dependencies and maintaining service continuity, consistent with the purposes and relevant provisions of the Constitution;</w:t>
      </w:r>
    </w:p>
    <w:p w14:paraId="5470F4A4" w14:textId="77777777" w:rsidR="00D806FB" w:rsidRPr="00D806FB" w:rsidRDefault="00D806FB" w:rsidP="00E46A03">
      <w:r w:rsidRPr="00D806FB">
        <w:t>2</w:t>
      </w:r>
      <w:r w:rsidRPr="00D806FB">
        <w:tab/>
        <w:t xml:space="preserve">that the Union shall, within its mandate, address the resilience of telecommunication/ICT infrastructure in a manner that reflects its interconnected and interdependent nature, comprising terrestrial networks, submarine cable systems and landing stations, satellite systems and earth stations, data </w:t>
      </w:r>
      <w:proofErr w:type="spellStart"/>
      <w:r w:rsidRPr="00D806FB">
        <w:t>centers</w:t>
      </w:r>
      <w:proofErr w:type="spellEnd"/>
      <w:r w:rsidRPr="00D806FB">
        <w:t xml:space="preserve"> and cloud infrastructure, and Internet exchange points, in so far as relevant to the continuity of telecommunication/ICT services, while taking into account dependencies upon electrical power and other supporting infrastructure relevant to the continuity of telecommunication/ICT services;</w:t>
      </w:r>
    </w:p>
    <w:p w14:paraId="0C66116C" w14:textId="77777777" w:rsidR="00D806FB" w:rsidRPr="00D806FB" w:rsidRDefault="00D806FB" w:rsidP="00E46A03">
      <w:r w:rsidRPr="00D806FB">
        <w:t>3</w:t>
      </w:r>
      <w:r w:rsidRPr="00D806FB">
        <w:tab/>
        <w:t>that the activities undertaken pursuant to this Resolution shall address infrastructure dependencies and service continuity across different causes of disruption, including natural hazards, climate-related events, space weather, accidental damage, technical failures, malicious cyber activity and physical damage, without prejudice to the mandates of relevant ITU bodies and existing work;</w:t>
      </w:r>
    </w:p>
    <w:p w14:paraId="42B7078B" w14:textId="77777777" w:rsidR="00D806FB" w:rsidRPr="00D806FB" w:rsidRDefault="00D806FB" w:rsidP="00E46A03">
      <w:r w:rsidRPr="00D806FB">
        <w:t>4</w:t>
      </w:r>
      <w:r w:rsidRPr="00D806FB">
        <w:tab/>
        <w:t>to promote redundancy, infrastructure resilience and the availability of energy supply, together with geographical diversity, route diversity and, where appropriate, other forms of infrastructure and technological diversity, and the maintenance of tested fallback arrangements, as foundational principles of infrastructure planning, and that resilience should be built into all stages of telecommunication/ICT design, development and deployment;</w:t>
      </w:r>
    </w:p>
    <w:p w14:paraId="02A938E4" w14:textId="77777777" w:rsidR="00D806FB" w:rsidRPr="00D806FB" w:rsidRDefault="00D806FB" w:rsidP="00E46A03">
      <w:r w:rsidRPr="00D806FB">
        <w:lastRenderedPageBreak/>
        <w:t>5</w:t>
      </w:r>
      <w:r w:rsidRPr="00D806FB">
        <w:tab/>
        <w:t xml:space="preserve">to </w:t>
      </w:r>
      <w:proofErr w:type="gramStart"/>
      <w:r w:rsidRPr="00D806FB">
        <w:t>take into account</w:t>
      </w:r>
      <w:proofErr w:type="gramEnd"/>
      <w:r w:rsidRPr="00D806FB">
        <w:t xml:space="preserve"> the circumstances and needs of developing countries, particularly least developed countries, small island developing States and landlocked developing countries, when developing and applying the guidance under this Resolution;</w:t>
      </w:r>
    </w:p>
    <w:p w14:paraId="30F82AB1" w14:textId="77777777" w:rsidR="00D806FB" w:rsidRPr="00D806FB" w:rsidRDefault="00D806FB" w:rsidP="00E46A03">
      <w:r w:rsidRPr="00D806FB">
        <w:t>6</w:t>
      </w:r>
      <w:r w:rsidRPr="00D806FB">
        <w:tab/>
        <w:t xml:space="preserve">that the accessibility requirements of persons with disabilities and persons with specific needs shall be </w:t>
      </w:r>
      <w:proofErr w:type="gramStart"/>
      <w:r w:rsidRPr="00D806FB">
        <w:t>taken into account</w:t>
      </w:r>
      <w:proofErr w:type="gramEnd"/>
      <w:r w:rsidRPr="00D806FB">
        <w:t xml:space="preserve"> in the design of resilient infrastructure and of emergency alerting arrangements,</w:t>
      </w:r>
    </w:p>
    <w:p w14:paraId="3B8A940E" w14:textId="77777777" w:rsidR="00D806FB" w:rsidRPr="00D806FB" w:rsidRDefault="00D806FB" w:rsidP="00C126E9">
      <w:pPr>
        <w:pStyle w:val="Call"/>
      </w:pPr>
      <w:r w:rsidRPr="00D806FB">
        <w:t>instructs the Secretary-General</w:t>
      </w:r>
    </w:p>
    <w:p w14:paraId="4E5EC011" w14:textId="77777777" w:rsidR="00D806FB" w:rsidRPr="00D806FB" w:rsidRDefault="00D806FB" w:rsidP="00E46A03">
      <w:r w:rsidRPr="00D806FB">
        <w:t>1</w:t>
      </w:r>
      <w:r w:rsidRPr="00D806FB">
        <w:tab/>
        <w:t>to coordinate, within existing budgetary resources and in accordance with Resolution 191 (Rev. Bucharest, 2022), the activities of the three Sectors and the General Secretariat relating to the protection, resilience and continuity of critical telecommunication/ICT infrastructure, and to avoid duplication of effort;</w:t>
      </w:r>
    </w:p>
    <w:p w14:paraId="23FB23FE" w14:textId="77777777" w:rsidR="00D806FB" w:rsidRPr="00D806FB" w:rsidRDefault="00D806FB" w:rsidP="00E46A03">
      <w:r w:rsidRPr="00D806FB">
        <w:t>2</w:t>
      </w:r>
      <w:r w:rsidRPr="00D806FB">
        <w:tab/>
        <w:t>to report biennially to the Council on progress and developments relating to telecommunication/ICT infrastructure resilience and the implementation of this Resolution, drawing upon information voluntarily provided by Member States, Sector Members and relevant international organizations, and addressing, as appropriate, significant infrastructure disruptions, restoration and repair experience, identified concentration and dependency risks, good practices and remaining resilience gaps;</w:t>
      </w:r>
    </w:p>
    <w:p w14:paraId="74A09C9D" w14:textId="77777777" w:rsidR="00D806FB" w:rsidRPr="00D806FB" w:rsidRDefault="00D806FB" w:rsidP="00E46A03">
      <w:r w:rsidRPr="00D806FB">
        <w:t>3</w:t>
      </w:r>
      <w:r w:rsidRPr="00D806FB">
        <w:tab/>
        <w:t>to cooperate with the relevant organizations of the United Nations system and other competent international organizations, including the International Maritime Organization, the International Hydrographic Organization, the United Nations Office for Disaster Risk Reduction and the World Meteorological Organization, on matters relating to infrastructure resilience, early warning and space weather;</w:t>
      </w:r>
    </w:p>
    <w:p w14:paraId="50A52EF7" w14:textId="77777777" w:rsidR="00D806FB" w:rsidRPr="00D806FB" w:rsidRDefault="00D806FB" w:rsidP="00E46A03">
      <w:r w:rsidRPr="00D806FB">
        <w:t>4</w:t>
      </w:r>
      <w:r w:rsidRPr="00D806FB">
        <w:tab/>
        <w:t>to submit a report to the next plenipotentiary conference on the implementation of this Resolution,</w:t>
      </w:r>
    </w:p>
    <w:p w14:paraId="6C07A45A" w14:textId="77777777" w:rsidR="00D806FB" w:rsidRPr="00D806FB" w:rsidRDefault="00D806FB" w:rsidP="00C126E9">
      <w:pPr>
        <w:pStyle w:val="Call"/>
      </w:pPr>
      <w:r w:rsidRPr="00D806FB">
        <w:t>instructs the Directors of the Bureaux</w:t>
      </w:r>
    </w:p>
    <w:p w14:paraId="7C38FCBD" w14:textId="77777777" w:rsidR="00D806FB" w:rsidRPr="00D806FB" w:rsidRDefault="00D806FB" w:rsidP="00E46A03">
      <w:r w:rsidRPr="00D806FB">
        <w:t>1</w:t>
      </w:r>
      <w:r w:rsidRPr="00D806FB">
        <w:tab/>
        <w:t>to consolidate relevant existing work and, where gaps are identified, to develop, within their respective mandates, within existing budgetary resources and in coordination with one another, complementary guidelines and best practices on the resilience of critical telecommunication/ICT infrastructure, addressing in particular:</w:t>
      </w:r>
    </w:p>
    <w:p w14:paraId="3144DC2B" w14:textId="77777777" w:rsidR="00D806FB" w:rsidRPr="00D806FB" w:rsidRDefault="00D806FB" w:rsidP="009B306C">
      <w:pPr>
        <w:pStyle w:val="enumlev1"/>
      </w:pPr>
      <w:proofErr w:type="spellStart"/>
      <w:r w:rsidRPr="00D806FB">
        <w:t>i</w:t>
      </w:r>
      <w:proofErr w:type="spellEnd"/>
      <w:r w:rsidRPr="00D806FB">
        <w:t>)</w:t>
      </w:r>
      <w:r w:rsidRPr="00D806FB">
        <w:tab/>
        <w:t>cross-sector dependency mapping, including the identification of dependencies upon electrical power supply, cooling, transport and other infrastructure;</w:t>
      </w:r>
    </w:p>
    <w:p w14:paraId="39BF1AB0" w14:textId="77777777" w:rsidR="00D806FB" w:rsidRPr="00D806FB" w:rsidRDefault="00D806FB" w:rsidP="009B306C">
      <w:pPr>
        <w:pStyle w:val="enumlev1"/>
      </w:pPr>
      <w:r w:rsidRPr="00D806FB">
        <w:t>ii)</w:t>
      </w:r>
      <w:r w:rsidRPr="00D806FB">
        <w:tab/>
        <w:t>the resilience of data centres, cloud infrastructure and Internet exchange points, including geographical concentration risk, energy and cooling dependency, and the effect of extreme heat and flooding, in so far as relevant to the continuity and resilience of telecommunication/ICT services;</w:t>
      </w:r>
    </w:p>
    <w:p w14:paraId="736FAD33" w14:textId="77777777" w:rsidR="00D806FB" w:rsidRPr="00D806FB" w:rsidRDefault="00D806FB" w:rsidP="009B306C">
      <w:pPr>
        <w:pStyle w:val="enumlev1"/>
      </w:pPr>
      <w:r w:rsidRPr="00D806FB">
        <w:t>iii)</w:t>
      </w:r>
      <w:r w:rsidRPr="00D806FB">
        <w:tab/>
        <w:t>the resilience of submarine cable systems, including route diversity, landing-station security and protection, repair capacity and restoration planning, drawing upon the recommendations of the International Advisory Body on Submarine Cable Resilience;</w:t>
      </w:r>
    </w:p>
    <w:p w14:paraId="1E546083" w14:textId="77777777" w:rsidR="00D806FB" w:rsidRPr="00D806FB" w:rsidRDefault="00D806FB" w:rsidP="009B306C">
      <w:pPr>
        <w:pStyle w:val="enumlev1"/>
      </w:pPr>
      <w:r w:rsidRPr="00D806FB">
        <w:t>iv)</w:t>
      </w:r>
      <w:r w:rsidRPr="00D806FB">
        <w:tab/>
        <w:t>the resilience of satellite systems and earth stations, including preparedness for space weather and geomagnetic disturbance, and the dependency of terrestrial services upon satellite-derived positioning, navigation and timing;</w:t>
      </w:r>
    </w:p>
    <w:p w14:paraId="2607331F" w14:textId="77777777" w:rsidR="00D806FB" w:rsidRPr="00D806FB" w:rsidRDefault="00D806FB" w:rsidP="009B306C">
      <w:pPr>
        <w:pStyle w:val="enumlev1"/>
      </w:pPr>
      <w:r w:rsidRPr="00D806FB">
        <w:lastRenderedPageBreak/>
        <w:t>v)</w:t>
      </w:r>
      <w:r w:rsidRPr="00D806FB">
        <w:tab/>
        <w:t>the resilience of terrestrial networks, including power autonomy at network sites, transmission diversity and the continuity of emergency alerting and cell-broadcast systems during degraded operation;</w:t>
      </w:r>
    </w:p>
    <w:p w14:paraId="7D40E235" w14:textId="77777777" w:rsidR="00D806FB" w:rsidRPr="00D806FB" w:rsidRDefault="00D806FB" w:rsidP="009B306C">
      <w:pPr>
        <w:pStyle w:val="enumlev1"/>
      </w:pPr>
      <w:r w:rsidRPr="00D806FB">
        <w:t>vi)</w:t>
      </w:r>
      <w:r w:rsidRPr="00D806FB">
        <w:tab/>
        <w:t>preparedness for compound events, in which two or more disruptions occur simultaneously or in close succession;</w:t>
      </w:r>
    </w:p>
    <w:p w14:paraId="3D330311" w14:textId="77777777" w:rsidR="00D806FB" w:rsidRPr="00D806FB" w:rsidRDefault="00D806FB" w:rsidP="009B306C">
      <w:pPr>
        <w:pStyle w:val="enumlev1"/>
      </w:pPr>
      <w:r w:rsidRPr="00D806FB">
        <w:t>vii)</w:t>
      </w:r>
      <w:r w:rsidRPr="00D806FB">
        <w:tab/>
        <w:t>the maintenance and periodic exercise of non-digital and degraded-mode fallback arrangements;</w:t>
      </w:r>
    </w:p>
    <w:p w14:paraId="690967BC" w14:textId="77777777" w:rsidR="00D806FB" w:rsidRPr="00D806FB" w:rsidRDefault="00D806FB" w:rsidP="00E46A03">
      <w:r w:rsidRPr="00D806FB">
        <w:t>2</w:t>
      </w:r>
      <w:r w:rsidRPr="00D806FB">
        <w:tab/>
        <w:t xml:space="preserve">to support Member States, upon request, and </w:t>
      </w:r>
      <w:proofErr w:type="gramStart"/>
      <w:r w:rsidRPr="00D806FB">
        <w:t>taking into account</w:t>
      </w:r>
      <w:proofErr w:type="gramEnd"/>
      <w:r w:rsidRPr="00D806FB">
        <w:t xml:space="preserve"> their national circumstances, in the preparation of national telecommunication/ICT infrastructure resilience strategies and in the conduct of resilience audits, stress tests and cross-sector exercises;</w:t>
      </w:r>
    </w:p>
    <w:p w14:paraId="28DD78DB" w14:textId="77777777" w:rsidR="00D806FB" w:rsidRPr="00D806FB" w:rsidRDefault="00D806FB" w:rsidP="00E46A03">
      <w:r w:rsidRPr="00D806FB">
        <w:t>3</w:t>
      </w:r>
      <w:r w:rsidRPr="00D806FB">
        <w:tab/>
        <w:t>to continue and to strengthen, within the study groups of the three Sectors, the study of technical measures for infrastructure resilience, including in relation to emerging technologies and evolving network architectures, such as non-terrestrial networks and direct-to-device satellite connectivity, edge computing, and advanced monitoring techniques for the detection of threats to submarine and terrestrial cables;</w:t>
      </w:r>
    </w:p>
    <w:p w14:paraId="53723011" w14:textId="77777777" w:rsidR="00D806FB" w:rsidRPr="00D806FB" w:rsidRDefault="00D806FB" w:rsidP="00E46A03">
      <w:r w:rsidRPr="00D806FB">
        <w:t>4</w:t>
      </w:r>
      <w:r w:rsidRPr="00D806FB">
        <w:tab/>
        <w:t>to assist Member States, upon request, in the restoration of telecommunication services following significant infrastructure disruption, and to facilitate the sharing of experience and lessons learned;</w:t>
      </w:r>
    </w:p>
    <w:p w14:paraId="5EAAD317" w14:textId="77777777" w:rsidR="00D806FB" w:rsidRPr="00D806FB" w:rsidRDefault="00D806FB" w:rsidP="00E46A03">
      <w:r w:rsidRPr="00D806FB">
        <w:t>5</w:t>
      </w:r>
      <w:r w:rsidRPr="00D806FB">
        <w:tab/>
        <w:t>to support capacity building and training, with particular attention to developing countries, in particular small island developing States, least developed countries and landlocked developing countries, including through regional workshops and the ITU Academy;</w:t>
      </w:r>
    </w:p>
    <w:p w14:paraId="5A710E2B" w14:textId="77777777" w:rsidR="00D806FB" w:rsidRPr="00D806FB" w:rsidRDefault="00D806FB" w:rsidP="00C126E9">
      <w:pPr>
        <w:pStyle w:val="Call"/>
      </w:pPr>
      <w:r w:rsidRPr="00D806FB">
        <w:t>invites Member States</w:t>
      </w:r>
    </w:p>
    <w:p w14:paraId="3E396847" w14:textId="77777777" w:rsidR="00D806FB" w:rsidRPr="00D806FB" w:rsidRDefault="00D806FB" w:rsidP="00E46A03">
      <w:r w:rsidRPr="00D806FB">
        <w:t>1</w:t>
      </w:r>
      <w:r w:rsidRPr="00D806FB">
        <w:tab/>
        <w:t>to consider, as appropriate and in accordance with their national legal and policy frameworks, recognizing critical telecommunication/ICT infrastructure as critical national infrastructure;</w:t>
      </w:r>
    </w:p>
    <w:p w14:paraId="3B6251C5" w14:textId="6F7CF856" w:rsidR="00D806FB" w:rsidRPr="00D806FB" w:rsidRDefault="00D806FB" w:rsidP="00E46A03">
      <w:r w:rsidRPr="00D806FB">
        <w:t>2</w:t>
      </w:r>
      <w:r w:rsidRPr="00D806FB">
        <w:tab/>
        <w:t>to consider developing or strengthening national strategies for the resilience of telecommunication/ICT infrastructure, informed by evidence and by the mapping of cross-sector dependencies, and to review those strategies periodically;</w:t>
      </w:r>
    </w:p>
    <w:p w14:paraId="45E7D493" w14:textId="77777777" w:rsidR="00D806FB" w:rsidRPr="00D806FB" w:rsidRDefault="00D806FB" w:rsidP="00E46A03">
      <w:r w:rsidRPr="00D806FB">
        <w:t>3</w:t>
      </w:r>
      <w:r w:rsidRPr="00D806FB">
        <w:tab/>
        <w:t>to consider strengthening coordination between competent national authorities and relevant infrastructure operators for the identification of shared dependencies and the conduct of continuity exercises, in accordance with national circumstances;</w:t>
      </w:r>
    </w:p>
    <w:p w14:paraId="69D2D55B" w14:textId="77777777" w:rsidR="00D806FB" w:rsidRPr="00D806FB" w:rsidRDefault="00D806FB" w:rsidP="00E46A03">
      <w:r w:rsidRPr="00D806FB">
        <w:t>4</w:t>
      </w:r>
      <w:r w:rsidRPr="00D806FB">
        <w:tab/>
        <w:t>to share, on a voluntary basis, relevant experiences and good practices concerning infrastructure dependencies and continuity exercises, in accordance with national law and without prejudice to national security or commercial confidentiality;</w:t>
      </w:r>
    </w:p>
    <w:p w14:paraId="584FE89C" w14:textId="77777777" w:rsidR="00D806FB" w:rsidRPr="00D806FB" w:rsidRDefault="00D806FB" w:rsidP="00E46A03">
      <w:r w:rsidRPr="00D806FB">
        <w:t>5</w:t>
      </w:r>
      <w:r w:rsidRPr="00D806FB">
        <w:tab/>
        <w:t>to cooperate regionally and internationally on infrastructure resilience, including through regional and bilateral arrangements for mutual assistance, shared repair capacity and spare-equipment stockpiles for restoration and repair,</w:t>
      </w:r>
    </w:p>
    <w:p w14:paraId="0C9B9FBD" w14:textId="77777777" w:rsidR="00D806FB" w:rsidRPr="00D806FB" w:rsidRDefault="00D806FB" w:rsidP="00C126E9">
      <w:pPr>
        <w:pStyle w:val="Call"/>
      </w:pPr>
      <w:r w:rsidRPr="00D806FB">
        <w:lastRenderedPageBreak/>
        <w:t>invites Sector Members, Associates and Academia</w:t>
      </w:r>
    </w:p>
    <w:p w14:paraId="494BBAD3" w14:textId="77777777" w:rsidR="00D806FB" w:rsidRPr="00D806FB" w:rsidRDefault="00D806FB" w:rsidP="00162A1E">
      <w:pPr>
        <w:keepNext/>
      </w:pPr>
      <w:r w:rsidRPr="00D806FB">
        <w:t>1</w:t>
      </w:r>
      <w:r w:rsidRPr="00D806FB">
        <w:tab/>
        <w:t>to contribute technical expertise, operational experience and research to the work of the Union on infrastructure resilience;</w:t>
      </w:r>
    </w:p>
    <w:p w14:paraId="794B0E16" w14:textId="77777777" w:rsidR="00D806FB" w:rsidRPr="00D806FB" w:rsidRDefault="00D806FB" w:rsidP="00E46A03">
      <w:r w:rsidRPr="00D806FB">
        <w:t>2</w:t>
      </w:r>
      <w:r w:rsidRPr="00D806FB">
        <w:tab/>
        <w:t>to share, on a voluntary basis and consistent with commercial confidentiality and applicable national law, information on infrastructure disruptions, restoration practices and effective mitigation measures;</w:t>
      </w:r>
    </w:p>
    <w:p w14:paraId="4F684F3D" w14:textId="77777777" w:rsidR="00D806FB" w:rsidRPr="00D806FB" w:rsidRDefault="00D806FB" w:rsidP="00E46A03">
      <w:r w:rsidRPr="00D806FB">
        <w:t>3</w:t>
      </w:r>
      <w:r w:rsidRPr="00D806FB">
        <w:tab/>
        <w:t>to participate in the development of standards, guidelines and best practices for resilient infrastructure design, deployment, monitoring and restoration;</w:t>
      </w:r>
    </w:p>
    <w:p w14:paraId="6FB4AAB4" w14:textId="77777777" w:rsidR="00D806FB" w:rsidRPr="00D806FB" w:rsidRDefault="00D806FB" w:rsidP="00C126E9">
      <w:pPr>
        <w:pStyle w:val="Call"/>
      </w:pPr>
      <w:r w:rsidRPr="00D806FB">
        <w:t>invites the Council</w:t>
      </w:r>
    </w:p>
    <w:p w14:paraId="0105A98A" w14:textId="447447AB" w:rsidR="00D806FB" w:rsidRPr="00D806FB" w:rsidRDefault="00D806FB" w:rsidP="00E46A03">
      <w:r w:rsidRPr="00D806FB">
        <w:t xml:space="preserve">to consider the biennial reports of the Secretary-General referred to in </w:t>
      </w:r>
      <w:r w:rsidRPr="00D806FB">
        <w:rPr>
          <w:i/>
        </w:rPr>
        <w:t>instructs the Secretary-General</w:t>
      </w:r>
      <w:r w:rsidRPr="00D806FB">
        <w:t xml:space="preserve"> 2 above, and to make such recommendations as it considers appropriate regarding the continued implementation of this Resolution</w:t>
      </w:r>
      <w:r w:rsidR="00332D1F">
        <w:t>.</w:t>
      </w:r>
    </w:p>
    <w:p w14:paraId="7F7792B9" w14:textId="30620489" w:rsidR="0083610C" w:rsidRDefault="0083610C">
      <w:pPr>
        <w:pStyle w:val="Reasons"/>
      </w:pPr>
    </w:p>
    <w:p w14:paraId="4A6A8666" w14:textId="18161D2D" w:rsidR="00106131" w:rsidRDefault="00106131" w:rsidP="00106131">
      <w:pPr>
        <w:jc w:val="center"/>
      </w:pPr>
      <w:r>
        <w:t>_______________</w:t>
      </w:r>
    </w:p>
    <w:sectPr w:rsidR="00106131"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23228" w14:textId="77777777" w:rsidR="000B1AE3" w:rsidRDefault="000B1AE3">
      <w:r>
        <w:separator/>
      </w:r>
    </w:p>
  </w:endnote>
  <w:endnote w:type="continuationSeparator" w:id="0">
    <w:p w14:paraId="3584B590" w14:textId="77777777" w:rsidR="000B1AE3" w:rsidRDefault="000B1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92EA"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0BB78"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AFD0"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63011" w14:textId="77777777" w:rsidR="000B1AE3" w:rsidRDefault="000B1AE3">
      <w:r>
        <w:t>____________________</w:t>
      </w:r>
    </w:p>
  </w:footnote>
  <w:footnote w:type="continuationSeparator" w:id="0">
    <w:p w14:paraId="15C7B821" w14:textId="77777777" w:rsidR="000B1AE3" w:rsidRDefault="000B1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BAB1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00E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C6862B4" w14:textId="77777777" w:rsidR="00CE1B90" w:rsidRDefault="00CE1B90" w:rsidP="004F7925">
    <w:pPr>
      <w:pStyle w:val="Header"/>
    </w:pPr>
    <w:r>
      <w:t>PP</w:t>
    </w:r>
    <w:r w:rsidR="000235EC">
      <w:t>2</w:t>
    </w:r>
    <w:r w:rsidR="00EF3B7A">
      <w:t>6</w:t>
    </w:r>
    <w:r>
      <w:t>/97-E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0B88E"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1AE3"/>
    <w:rsid w:val="000B596F"/>
    <w:rsid w:val="000B5BB9"/>
    <w:rsid w:val="000B7152"/>
    <w:rsid w:val="000C4701"/>
    <w:rsid w:val="000E4C7A"/>
    <w:rsid w:val="000E5E15"/>
    <w:rsid w:val="000F5A9A"/>
    <w:rsid w:val="000F73D1"/>
    <w:rsid w:val="001001C5"/>
    <w:rsid w:val="00105EFE"/>
    <w:rsid w:val="00106131"/>
    <w:rsid w:val="00106777"/>
    <w:rsid w:val="0011489E"/>
    <w:rsid w:val="00114BA3"/>
    <w:rsid w:val="00115DEC"/>
    <w:rsid w:val="0012014C"/>
    <w:rsid w:val="00123F09"/>
    <w:rsid w:val="00127FA6"/>
    <w:rsid w:val="00136175"/>
    <w:rsid w:val="00140FF0"/>
    <w:rsid w:val="00142F28"/>
    <w:rsid w:val="00146057"/>
    <w:rsid w:val="00161C12"/>
    <w:rsid w:val="00161CDA"/>
    <w:rsid w:val="00162A1E"/>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2D1F"/>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D79B7"/>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87C87"/>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3610C"/>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0709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B306C"/>
    <w:rsid w:val="009B7925"/>
    <w:rsid w:val="009E425E"/>
    <w:rsid w:val="009E4322"/>
    <w:rsid w:val="009F4384"/>
    <w:rsid w:val="009F442D"/>
    <w:rsid w:val="009F50DA"/>
    <w:rsid w:val="00A06D56"/>
    <w:rsid w:val="00A314A2"/>
    <w:rsid w:val="00A44907"/>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04F16"/>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4535"/>
    <w:rsid w:val="00BE753F"/>
    <w:rsid w:val="00BF43BA"/>
    <w:rsid w:val="00BF5722"/>
    <w:rsid w:val="00BF6268"/>
    <w:rsid w:val="00BF720B"/>
    <w:rsid w:val="00C04511"/>
    <w:rsid w:val="00C112A3"/>
    <w:rsid w:val="00C126E9"/>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275A"/>
    <w:rsid w:val="00D07696"/>
    <w:rsid w:val="00D11956"/>
    <w:rsid w:val="00D15A98"/>
    <w:rsid w:val="00D500DC"/>
    <w:rsid w:val="00D54B39"/>
    <w:rsid w:val="00D64FF3"/>
    <w:rsid w:val="00D657A2"/>
    <w:rsid w:val="00D75620"/>
    <w:rsid w:val="00D760C8"/>
    <w:rsid w:val="00D806FB"/>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46A03"/>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2DE5"/>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40119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8f0e1efe-9567-4bf4-b58b-36c8a78733be">DPM</DPM_x0020_Author>
    <DPM_x0020_File_x0020_name xmlns="8f0e1efe-9567-4bf4-b58b-36c8a78733be">S26-PP-C-0097!!MSW-E</DPM_x0020_File_x0020_name>
    <DPM_x0020_Version xmlns="8f0e1efe-9567-4bf4-b58b-36c8a78733b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f0e1efe-9567-4bf4-b58b-36c8a78733be" targetNamespace="http://schemas.microsoft.com/office/2006/metadata/properties" ma:root="true" ma:fieldsID="d41af5c836d734370eb92e7ee5f83852" ns2:_="" ns3:_="">
    <xsd:import namespace="996b2e75-67fd-4955-a3b0-5ab9934cb50b"/>
    <xsd:import namespace="8f0e1efe-9567-4bf4-b58b-36c8a78733b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f0e1efe-9567-4bf4-b58b-36c8a78733b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f0e1efe-9567-4bf4-b58b-36c8a78733be"/>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f0e1efe-9567-4bf4-b58b-36c8a78733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2208</Words>
  <Characters>14180</Characters>
  <Application>Microsoft Office Word</Application>
  <DocSecurity>0</DocSecurity>
  <Lines>1289</Lines>
  <Paragraphs>682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15706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S26-PP-C-0097!!MSW-E</dc:title>
  <dc:subject>ITU Plenipotentiary Conference (PP-26)</dc:subject>
  <dc:creator>Documents Proposals Manager (DPM)</dc:creator>
  <cp:keywords>DPM_v2026.8.25.1_prod</cp:keywords>
  <cp:lastModifiedBy>MCB</cp:lastModifiedBy>
  <cp:revision>17</cp:revision>
  <dcterms:created xsi:type="dcterms:W3CDTF">2026-10-22T15:18:00Z</dcterms:created>
  <dcterms:modified xsi:type="dcterms:W3CDTF">2026-10-22T15:35:00Z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