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4A0" w:firstRow="1" w:lastRow="0" w:firstColumn="1" w:lastColumn="0" w:noHBand="0" w:noVBand="1"/>
      </w:tblPr>
      <w:tblGrid>
        <w:gridCol w:w="7230"/>
        <w:gridCol w:w="2801"/>
      </w:tblGrid>
      <w:tr w:rsidR="00FA039A" w14:paraId="4BD71B4F" w14:textId="77777777">
        <w:trPr>
          <w:cantSplit/>
          <w:trHeight w:hRule="exact" w:val="1417"/>
        </w:trPr>
        <w:tc>
          <w:tcPr>
            <w:tcW w:w="10031" w:type="dxa"/>
            <w:gridSpan w:val="2"/>
            <w:tcMar>
              <w:left w:w="0" w:type="dxa"/>
              <w:right w:w="0" w:type="dxa"/>
            </w:tcMar>
            <w:vAlign w:val="center"/>
          </w:tcPr>
          <w:p w14:paraId="31CE210F" w14:textId="77777777" w:rsidR="00FA039A" w:rsidRDefault="004215B3">
            <w:pPr>
              <w:spacing w:before="0" w:line="240" w:lineRule="atLeast"/>
              <w:rPr>
                <w:rFonts w:cstheme="minorHAnsi"/>
              </w:rPr>
            </w:pPr>
            <w:r>
              <w:rPr>
                <w:rFonts w:cstheme="minorHAnsi"/>
                <w:noProof/>
              </w:rPr>
              <mc:AlternateContent>
                <mc:Choice Requires="wpg">
                  <w:drawing>
                    <wp:anchor distT="0" distB="0" distL="0" distR="0" simplePos="0" relativeHeight="251659264" behindDoc="1" locked="0" layoutInCell="1" allowOverlap="1" wp14:anchorId="0028C32D" wp14:editId="36D4459A">
                      <wp:simplePos x="0" y="0"/>
                      <wp:positionH relativeFrom="column">
                        <wp:posOffset>0</wp:posOffset>
                      </wp:positionH>
                      <wp:positionV relativeFrom="paragraph">
                        <wp:posOffset>24130</wp:posOffset>
                      </wp:positionV>
                      <wp:extent cx="6659880" cy="972185"/>
                      <wp:effectExtent l="0" t="0" r="0" b="0"/>
                      <wp:wrapTight wrapText="bothSides">
                        <wp:wrapPolygon edited="0">
                          <wp:start x="0" y="0"/>
                          <wp:lineTo x="0" y="21176"/>
                          <wp:lineTo x="21501" y="21176"/>
                          <wp:lineTo x="21501" y="0"/>
                          <wp:lineTo x="0" y="0"/>
                        </wp:wrapPolygon>
                      </wp:wrapTight>
                      <wp:docPr id="1"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a:picLocks noChangeAspect="1"/>
                              </pic:cNvPicPr>
                            </pic:nvPicPr>
                            <pic:blipFill>
                              <a:blip r:embed="rId6"/>
                              <a:stretch/>
                            </pic:blipFill>
                            <pic:spPr>
                              <a:xfrm>
                                <a:off x="0" y="0"/>
                                <a:ext cx="6660000" cy="9720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0.00pt;mso-position-horizontal:absolute;mso-position-vertical-relative:text;margin-top:1.90pt;mso-position-vertical:absolute;width:524.40pt;height:76.55pt;mso-wrap-distance-left:0.00pt;mso-wrap-distance-top:0.00pt;mso-wrap-distance-right:0.00pt;mso-wrap-distance-bottom:0.00pt;" wrapcoords="0 0 0 98037 99542 98037 99542 0 0 0" stroked="false">
                      <v:path textboxrect="0,0,0,0"/>
                      <w10:wrap type="tight"/>
                      <v:imagedata r:id="rId10" o:title=""/>
                    </v:shape>
                  </w:pict>
                </mc:Fallback>
              </mc:AlternateContent>
            </w:r>
          </w:p>
        </w:tc>
      </w:tr>
      <w:tr w:rsidR="00FA039A" w14:paraId="1CCD65A7" w14:textId="77777777">
        <w:trPr>
          <w:cantSplit/>
          <w:trHeight w:val="283"/>
        </w:trPr>
        <w:tc>
          <w:tcPr>
            <w:tcW w:w="10031" w:type="dxa"/>
            <w:gridSpan w:val="2"/>
            <w:tcBorders>
              <w:bottom w:val="single" w:sz="12" w:space="0" w:color="71716F"/>
            </w:tcBorders>
          </w:tcPr>
          <w:p w14:paraId="163F7DE5" w14:textId="77777777" w:rsidR="00FA039A" w:rsidRDefault="00FA039A">
            <w:pPr>
              <w:spacing w:before="0"/>
              <w:rPr>
                <w:rFonts w:cstheme="minorHAnsi"/>
                <w:szCs w:val="24"/>
              </w:rPr>
            </w:pPr>
            <w:bookmarkStart w:id="0" w:name="ditulogo"/>
            <w:bookmarkStart w:id="1" w:name="dhead"/>
            <w:bookmarkEnd w:id="0"/>
          </w:p>
        </w:tc>
      </w:tr>
      <w:tr w:rsidR="00FA039A" w14:paraId="6AE9723E" w14:textId="77777777">
        <w:trPr>
          <w:cantSplit/>
          <w:trHeight w:val="255"/>
        </w:trPr>
        <w:tc>
          <w:tcPr>
            <w:tcW w:w="7230" w:type="dxa"/>
            <w:tcBorders>
              <w:top w:val="single" w:sz="12" w:space="0" w:color="71716F"/>
            </w:tcBorders>
          </w:tcPr>
          <w:p w14:paraId="0EC178A2" w14:textId="77777777" w:rsidR="00FA039A" w:rsidRDefault="00FA039A">
            <w:pPr>
              <w:spacing w:before="0"/>
              <w:rPr>
                <w:rFonts w:cstheme="minorHAnsi"/>
                <w:b/>
                <w:smallCaps/>
                <w:sz w:val="20"/>
              </w:rPr>
            </w:pPr>
          </w:p>
        </w:tc>
        <w:tc>
          <w:tcPr>
            <w:tcW w:w="2801" w:type="dxa"/>
            <w:tcBorders>
              <w:top w:val="single" w:sz="12" w:space="0" w:color="71716F"/>
            </w:tcBorders>
            <w:tcMar>
              <w:right w:w="0" w:type="dxa"/>
            </w:tcMar>
          </w:tcPr>
          <w:p w14:paraId="2F3DA4D6" w14:textId="77777777" w:rsidR="00FA039A" w:rsidRDefault="00FA039A">
            <w:pPr>
              <w:spacing w:before="0"/>
              <w:rPr>
                <w:rFonts w:cstheme="minorHAnsi"/>
                <w:sz w:val="20"/>
              </w:rPr>
            </w:pPr>
          </w:p>
        </w:tc>
      </w:tr>
      <w:tr w:rsidR="00FA039A" w14:paraId="31285D6B" w14:textId="77777777">
        <w:trPr>
          <w:cantSplit/>
          <w:trHeight w:val="23"/>
        </w:trPr>
        <w:tc>
          <w:tcPr>
            <w:tcW w:w="7230" w:type="dxa"/>
          </w:tcPr>
          <w:p w14:paraId="18D09FD3" w14:textId="77777777" w:rsidR="00FA039A" w:rsidRDefault="004215B3">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6901954" w14:textId="77777777" w:rsidR="00FA039A" w:rsidRDefault="004215B3">
            <w:pPr>
              <w:tabs>
                <w:tab w:val="left" w:pos="851"/>
              </w:tabs>
              <w:spacing w:before="0"/>
              <w:rPr>
                <w:rFonts w:cstheme="minorHAnsi"/>
                <w:b/>
                <w:szCs w:val="24"/>
              </w:rPr>
            </w:pPr>
            <w:r>
              <w:rPr>
                <w:rFonts w:cstheme="minorHAnsi"/>
                <w:b/>
                <w:szCs w:val="24"/>
              </w:rPr>
              <w:t>Document xx-E</w:t>
            </w:r>
          </w:p>
        </w:tc>
      </w:tr>
      <w:tr w:rsidR="00FA039A" w14:paraId="4444F24E" w14:textId="77777777">
        <w:trPr>
          <w:cantSplit/>
          <w:trHeight w:val="23"/>
        </w:trPr>
        <w:tc>
          <w:tcPr>
            <w:tcW w:w="7230" w:type="dxa"/>
          </w:tcPr>
          <w:p w14:paraId="7494AAA9" w14:textId="77777777" w:rsidR="00FA039A" w:rsidRDefault="00FA039A">
            <w:pPr>
              <w:tabs>
                <w:tab w:val="left" w:pos="851"/>
              </w:tabs>
              <w:spacing w:before="0"/>
              <w:rPr>
                <w:rFonts w:asciiTheme="minorHAnsi" w:hAnsiTheme="minorHAnsi" w:cstheme="minorHAnsi"/>
                <w:b/>
                <w:szCs w:val="24"/>
              </w:rPr>
            </w:pPr>
            <w:bookmarkStart w:id="4" w:name="dblank" w:colFirst="0" w:colLast="0"/>
            <w:bookmarkStart w:id="5" w:name="ddate" w:colFirst="1" w:colLast="1"/>
            <w:bookmarkEnd w:id="2"/>
            <w:bookmarkEnd w:id="3"/>
          </w:p>
        </w:tc>
        <w:tc>
          <w:tcPr>
            <w:tcW w:w="2801" w:type="dxa"/>
            <w:tcMar>
              <w:right w:w="0" w:type="dxa"/>
            </w:tcMar>
          </w:tcPr>
          <w:p w14:paraId="0663F89A" w14:textId="77777777" w:rsidR="00FA039A" w:rsidRDefault="004215B3">
            <w:pPr>
              <w:spacing w:before="0"/>
              <w:rPr>
                <w:rFonts w:cstheme="minorHAnsi"/>
                <w:szCs w:val="24"/>
              </w:rPr>
            </w:pPr>
            <w:r>
              <w:rPr>
                <w:rFonts w:cstheme="minorHAnsi"/>
                <w:b/>
                <w:szCs w:val="24"/>
              </w:rPr>
              <w:t>DD MM YY</w:t>
            </w:r>
          </w:p>
        </w:tc>
      </w:tr>
      <w:tr w:rsidR="00FA039A" w14:paraId="6F34EBCE" w14:textId="77777777">
        <w:trPr>
          <w:cantSplit/>
          <w:trHeight w:val="23"/>
        </w:trPr>
        <w:tc>
          <w:tcPr>
            <w:tcW w:w="7230" w:type="dxa"/>
          </w:tcPr>
          <w:p w14:paraId="24106351" w14:textId="77777777" w:rsidR="00FA039A" w:rsidRDefault="00FA039A">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3BEF11F" w14:textId="77777777" w:rsidR="00FA039A" w:rsidRDefault="004215B3">
            <w:pPr>
              <w:tabs>
                <w:tab w:val="left" w:pos="993"/>
              </w:tabs>
              <w:spacing w:before="0"/>
              <w:rPr>
                <w:rFonts w:cstheme="minorHAnsi"/>
                <w:b/>
                <w:szCs w:val="24"/>
              </w:rPr>
            </w:pPr>
            <w:r>
              <w:rPr>
                <w:rFonts w:cstheme="minorHAnsi"/>
                <w:b/>
                <w:szCs w:val="24"/>
              </w:rPr>
              <w:t>Original: English</w:t>
            </w:r>
          </w:p>
        </w:tc>
      </w:tr>
      <w:tr w:rsidR="00FA039A" w14:paraId="3143F87D" w14:textId="77777777">
        <w:trPr>
          <w:cantSplit/>
          <w:trHeight w:val="23"/>
        </w:trPr>
        <w:tc>
          <w:tcPr>
            <w:tcW w:w="10031" w:type="dxa"/>
            <w:gridSpan w:val="2"/>
          </w:tcPr>
          <w:p w14:paraId="5C472ADB" w14:textId="77777777" w:rsidR="00FA039A" w:rsidRDefault="00FA039A">
            <w:pPr>
              <w:tabs>
                <w:tab w:val="left" w:pos="993"/>
              </w:tabs>
              <w:rPr>
                <w:rFonts w:ascii="Verdana" w:hAnsi="Verdana"/>
                <w:b/>
                <w:szCs w:val="24"/>
              </w:rPr>
            </w:pPr>
          </w:p>
        </w:tc>
      </w:tr>
      <w:tr w:rsidR="00FA039A" w14:paraId="083D77C8" w14:textId="77777777">
        <w:trPr>
          <w:cantSplit/>
          <w:trHeight w:val="23"/>
        </w:trPr>
        <w:tc>
          <w:tcPr>
            <w:tcW w:w="10031" w:type="dxa"/>
            <w:gridSpan w:val="2"/>
          </w:tcPr>
          <w:p w14:paraId="17A0A097" w14:textId="77777777" w:rsidR="00FA039A" w:rsidRDefault="004215B3">
            <w:pPr>
              <w:pStyle w:val="Source"/>
            </w:pPr>
            <w:r>
              <w:rPr>
                <w:lang w:val="en-US"/>
              </w:rPr>
              <w:t>Russian Federation</w:t>
            </w:r>
          </w:p>
        </w:tc>
      </w:tr>
      <w:tr w:rsidR="00FA039A" w14:paraId="7209AB94" w14:textId="77777777">
        <w:trPr>
          <w:cantSplit/>
          <w:trHeight w:val="23"/>
        </w:trPr>
        <w:tc>
          <w:tcPr>
            <w:tcW w:w="10031" w:type="dxa"/>
            <w:gridSpan w:val="2"/>
          </w:tcPr>
          <w:p w14:paraId="3928EC9A" w14:textId="77777777" w:rsidR="00FA039A" w:rsidRDefault="004215B3">
            <w:pPr>
              <w:pStyle w:val="Title1"/>
              <w:rPr>
                <w:lang w:val="en-US"/>
              </w:rPr>
            </w:pPr>
            <w:r>
              <w:rPr>
                <w:lang w:val="en-US"/>
              </w:rPr>
              <w:t>recommendations</w:t>
            </w:r>
            <w:r>
              <w:rPr>
                <w:lang w:val="en-US"/>
              </w:rPr>
              <w:br/>
              <w:t>on the format and the underlying methodology of ITu draft four-year financial plans, biennial operational plans and related budgets</w:t>
            </w:r>
          </w:p>
        </w:tc>
      </w:tr>
      <w:tr w:rsidR="00FA039A" w14:paraId="72552E10" w14:textId="77777777">
        <w:trPr>
          <w:cantSplit/>
          <w:trHeight w:val="23"/>
        </w:trPr>
        <w:tc>
          <w:tcPr>
            <w:tcW w:w="10031" w:type="dxa"/>
            <w:gridSpan w:val="2"/>
          </w:tcPr>
          <w:p w14:paraId="78085296" w14:textId="77777777" w:rsidR="00FA039A" w:rsidRDefault="00FA039A">
            <w:pPr>
              <w:pStyle w:val="Title2"/>
            </w:pPr>
          </w:p>
        </w:tc>
      </w:tr>
      <w:tr w:rsidR="00FA039A" w14:paraId="323EDB99" w14:textId="77777777">
        <w:trPr>
          <w:cantSplit/>
          <w:trHeight w:val="23"/>
        </w:trPr>
        <w:tc>
          <w:tcPr>
            <w:tcW w:w="10031" w:type="dxa"/>
            <w:gridSpan w:val="2"/>
          </w:tcPr>
          <w:p w14:paraId="48D51978" w14:textId="77777777" w:rsidR="00FA039A" w:rsidRDefault="00FA039A">
            <w:pPr>
              <w:pStyle w:val="Agendaitem"/>
            </w:pPr>
          </w:p>
        </w:tc>
      </w:tr>
    </w:tbl>
    <w:bookmarkEnd w:id="6"/>
    <w:bookmarkEnd w:id="7"/>
    <w:p w14:paraId="307B4F9B" w14:textId="77777777" w:rsidR="00FA039A" w:rsidRDefault="004215B3">
      <w:pPr>
        <w:spacing w:before="0"/>
        <w:contextualSpacing/>
      </w:pPr>
      <w:r>
        <w:rPr>
          <w:b/>
          <w:bCs/>
        </w:rPr>
        <w:t>Purpose</w:t>
      </w:r>
      <w:r>
        <w:rPr>
          <w:b/>
          <w:bCs/>
        </w:rPr>
        <w:br/>
      </w:r>
      <w:r>
        <w:br/>
      </w:r>
      <w:r>
        <w:t>The objective of presenting these recommendations for consideration by PP–26 is to help transform the four-year Financial Plan, the biennial Operational Plans and the related biennial budgets into a genuine strategic financial-management tool with decision-support capability.</w:t>
      </w:r>
      <w:r>
        <w:br/>
      </w:r>
    </w:p>
    <w:p w14:paraId="05A9AAAE" w14:textId="77777777" w:rsidR="00FA039A" w:rsidRDefault="004215B3">
      <w:pPr>
        <w:spacing w:before="0"/>
        <w:contextualSpacing/>
      </w:pPr>
      <w:r>
        <w:t>Member States need to be able to see the actual flow of resources, their substantive linkage to priorities, and the financial pressure points likely to arise over the next four years.</w:t>
      </w:r>
      <w:r>
        <w:br/>
      </w:r>
      <w:r>
        <w:br/>
      </w:r>
      <w:r>
        <w:t>The current form of the four-year Financial Plan, biennial Operating Plans and related budgets does not yet fully meet this objective.</w:t>
      </w:r>
      <w:r>
        <w:br/>
      </w:r>
      <w:r>
        <w:br/>
      </w:r>
      <w:r>
        <w:rPr>
          <w:b/>
          <w:bCs/>
        </w:rPr>
        <w:t>Action required</w:t>
      </w:r>
      <w:r>
        <w:br/>
      </w:r>
      <w:r>
        <w:br/>
        <w:t xml:space="preserve">The Plenipotentiary Conference is invited </w:t>
      </w:r>
      <w:r>
        <w:rPr>
          <w:b/>
          <w:bCs/>
        </w:rPr>
        <w:t>to consider</w:t>
      </w:r>
      <w:r>
        <w:t xml:space="preserve"> this document and </w:t>
      </w:r>
      <w:r>
        <w:rPr>
          <w:b/>
          <w:bCs/>
        </w:rPr>
        <w:t>to provide</w:t>
      </w:r>
      <w:r>
        <w:t xml:space="preserve"> the Secretariat with such </w:t>
      </w:r>
      <w:r>
        <w:rPr>
          <w:b/>
          <w:bCs/>
        </w:rPr>
        <w:t xml:space="preserve">guidance </w:t>
      </w:r>
      <w:r>
        <w:t>as it considers appropriate regarding the preparation of future Financial Plans, Operational Plans and related biennial budgets for approval by the Council.</w:t>
      </w:r>
    </w:p>
    <w:p w14:paraId="59057F9F" w14:textId="77777777" w:rsidR="00FA039A" w:rsidRDefault="004215B3">
      <w:pPr>
        <w:tabs>
          <w:tab w:val="clear" w:pos="567"/>
          <w:tab w:val="clear" w:pos="1134"/>
          <w:tab w:val="clear" w:pos="1701"/>
          <w:tab w:val="clear" w:pos="2268"/>
          <w:tab w:val="clear" w:pos="2835"/>
        </w:tabs>
        <w:spacing w:before="0"/>
        <w:contextualSpacing/>
      </w:pPr>
      <w:r>
        <w:br w:type="page" w:clear="all"/>
      </w:r>
    </w:p>
    <w:p w14:paraId="42FDC942" w14:textId="77777777" w:rsidR="00FA039A" w:rsidRDefault="004215B3">
      <w:pPr>
        <w:spacing w:before="0"/>
      </w:pPr>
      <w:r>
        <w:lastRenderedPageBreak/>
        <w:br/>
      </w:r>
      <w:r>
        <w:br/>
      </w:r>
      <w:r>
        <w:rPr>
          <w:b/>
          <w:bCs/>
        </w:rPr>
        <w:t>1. Indicative nature of resource allocations</w:t>
      </w:r>
      <w:r>
        <w:rPr>
          <w:b/>
          <w:bCs/>
        </w:rPr>
        <w:br/>
      </w:r>
      <w:r>
        <w:br/>
      </w:r>
      <w:r>
        <w:t>The ITU Financial Plan provides the high-level financial framework for implementing the Strategic Plan over a four-year period and sets limits on the amount of expenditure.</w:t>
      </w:r>
    </w:p>
    <w:p w14:paraId="1D1EC24B" w14:textId="77777777" w:rsidR="00FA039A" w:rsidRDefault="00FA039A">
      <w:pPr>
        <w:spacing w:before="0"/>
      </w:pPr>
    </w:p>
    <w:p w14:paraId="40107E81" w14:textId="77777777" w:rsidR="00FA039A" w:rsidRDefault="004215B3">
      <w:pPr>
        <w:spacing w:before="0"/>
      </w:pPr>
      <w:r>
        <w:t>However, it also includes Table 3, which is based largely on an extrapolation of expenditure levels from previous years.</w:t>
      </w:r>
    </w:p>
    <w:p w14:paraId="53D1EABC" w14:textId="77777777" w:rsidR="00FA039A" w:rsidRDefault="00FA039A">
      <w:pPr>
        <w:spacing w:before="0"/>
      </w:pPr>
    </w:p>
    <w:p w14:paraId="37272043" w14:textId="77777777" w:rsidR="00FA039A" w:rsidRDefault="004215B3">
      <w:pPr>
        <w:spacing w:before="0"/>
      </w:pPr>
      <w:r>
        <w:t>While Table 3 is entitled “Sector allocations by priority (indicative)”, it should be additionally clarified that the term “indicative” means that only the total financial limits are binding, and that allocations within those limits are planning estimates subject to reallocation during the preparation of the biennial budgets.</w:t>
      </w:r>
    </w:p>
    <w:p w14:paraId="730D8EBE" w14:textId="755840B5" w:rsidR="00FA039A" w:rsidRDefault="004215B3">
      <w:pPr>
        <w:spacing w:before="0"/>
      </w:pPr>
      <w:r>
        <w:br/>
      </w:r>
      <w:r>
        <w:t>Decision 5 should therefore be clarified to emphasize the non-binding nature of allocations by Sector and strategic priority. Subject to legal and procedural verification, the following wording is proposed for Decision 5:</w:t>
      </w:r>
      <w:r>
        <w:br/>
      </w:r>
      <w:r>
        <w:br/>
        <w:t xml:space="preserve">“Unless expressly stated otherwise, the allocations by organizational unit, strategic priority and expenditure category presented in this Plan are indicative planning estimates, derived from extrapolations and existing methodologies. They do not constitute the approved </w:t>
      </w:r>
      <w:proofErr w:type="gramStart"/>
      <w:r>
        <w:t>amount</w:t>
      </w:r>
      <w:proofErr w:type="gramEnd"/>
      <w:r>
        <w:t xml:space="preserve"> of biennial appropriations and may be modified and refined through the operating-plan and biennial-budget processes, subject to the binding financial limits and other provisions of the Financial Plan 2028–2031 and the applicable approval procedures.”</w:t>
      </w:r>
      <w:r>
        <w:br/>
      </w:r>
      <w:r>
        <w:br/>
      </w:r>
      <w:r>
        <w:rPr>
          <w:b/>
          <w:bCs/>
        </w:rPr>
        <w:t>2. Inter-sectoral resource-allocation methodology</w:t>
      </w:r>
      <w:r>
        <w:rPr>
          <w:b/>
          <w:bCs/>
        </w:rPr>
        <w:br/>
      </w:r>
      <w:r>
        <w:rPr>
          <w:b/>
          <w:bCs/>
        </w:rPr>
        <w:br/>
      </w:r>
      <w:r>
        <w:t>The inter-sectoral resource-allocation methodology should be re-examined and reformed. As currently presented, the mapping appears to produce results that are institutionally implausible.</w:t>
      </w:r>
      <w:r>
        <w:br/>
      </w:r>
      <w:r>
        <w:br/>
      </w:r>
      <w:r>
        <w:t>Table 3 of the draft presents indicative allocations by organizational unit and strategic priority. Under priorities such as “Spectrum Use for Space and Terrestrial Services” and “Global ICT Interoperability”, the allocations attributed to the General Secretariat exceed those attributed to the corresponding specialized Bureaux.</w:t>
      </w:r>
      <w:r>
        <w:br/>
      </w:r>
      <w:r>
        <w:br/>
        <w:t xml:space="preserve">This may result from a cost-attribution methodology that </w:t>
      </w:r>
      <w:r w:rsidR="00123222">
        <w:t xml:space="preserve">assigns </w:t>
      </w:r>
      <w:r>
        <w:t>to the General Secretariat substantial costs which are, in fact, generated and incurred by the two Bureaux.</w:t>
      </w:r>
      <w:r>
        <w:br/>
      </w:r>
      <w:r>
        <w:br/>
        <w:t>Table 3 should clearly present the actual expenditure relating to each organizational unit. Without such information, Member States cannot determine whether the distribution reflects the underlying use of resources for a given priority or merely the organizational location at which expenditure is recorded.</w:t>
      </w:r>
    </w:p>
    <w:p w14:paraId="6A29F825" w14:textId="77777777" w:rsidR="00FA039A" w:rsidRDefault="004215B3">
      <w:pPr>
        <w:tabs>
          <w:tab w:val="clear" w:pos="567"/>
          <w:tab w:val="clear" w:pos="1134"/>
          <w:tab w:val="clear" w:pos="1701"/>
          <w:tab w:val="clear" w:pos="2268"/>
          <w:tab w:val="clear" w:pos="2835"/>
        </w:tabs>
        <w:spacing w:before="0"/>
      </w:pPr>
      <w:r>
        <w:br w:type="page" w:clear="all"/>
      </w:r>
    </w:p>
    <w:p w14:paraId="67219DA6" w14:textId="55B743EF" w:rsidR="00FA039A" w:rsidRDefault="004215B3">
      <w:pPr>
        <w:spacing w:before="0"/>
      </w:pPr>
      <w:r>
        <w:rPr>
          <w:b/>
          <w:bCs/>
        </w:rPr>
        <w:lastRenderedPageBreak/>
        <w:t>3. Actionable plan for improving budgeting</w:t>
      </w:r>
      <w:r>
        <w:rPr>
          <w:b/>
          <w:bCs/>
        </w:rPr>
        <w:br/>
      </w:r>
      <w:r>
        <w:br/>
      </w:r>
      <w:r>
        <w:t xml:space="preserve">The Secretariat should develop and publish an actionable plan to improve the budgeting process </w:t>
      </w:r>
      <w:r w:rsidR="008A4F81">
        <w:rPr>
          <w:lang w:val="en-US"/>
        </w:rPr>
        <w:t>bearing in mind the Joint Inspection Unit report on Budgeting in Organizations of the UN System (2024/3)</w:t>
      </w:r>
      <w:r>
        <w:t>.</w:t>
      </w:r>
      <w:r>
        <w:br/>
      </w:r>
      <w:r>
        <w:br/>
        <w:t>Paragraphs 4.5 and 4.6 of the draft Financial Plan for 2028–2031 envisage progressively strengthening the links between the Strategic Plan, the Operational Plans and the biennial budgets. The proposed improvements cover four areas:</w:t>
      </w:r>
      <w:r>
        <w:br/>
      </w:r>
      <w:r>
        <w:br/>
      </w:r>
      <w:r>
        <w:t>- mapping outputs and workstreams to strategic priorities and expected outcomes;</w:t>
      </w:r>
      <w:r>
        <w:br/>
        <w:t>- associating financial and human resources with those outputs and workstreams, including enabling and support costs;</w:t>
      </w:r>
      <w:r>
        <w:br/>
        <w:t>- using this information to support prioritization and budget preparation; and</w:t>
      </w:r>
      <w:r>
        <w:br/>
        <w:t>- improving reporting on resources used and results delivered.</w:t>
      </w:r>
      <w:r>
        <w:br/>
      </w:r>
      <w:r>
        <w:br/>
      </w:r>
      <w:r>
        <w:t>While these are appropriate objectives, the current statements of intent remain at the level of “progressive advancement” and lack an actionable timetable and quantified indicators. The commitment to progressive improvement should be accompanied by an implementation timetable, clearly defined responsibilities and measurable milestones.</w:t>
      </w:r>
      <w:r>
        <w:br/>
      </w:r>
      <w:r>
        <w:br/>
        <w:t>Without these elements, Member States will find it difficult to assess whether the intended improvements are being delivered.</w:t>
      </w:r>
      <w:r>
        <w:br/>
      </w:r>
    </w:p>
    <w:p w14:paraId="06EBFBC5" w14:textId="72B5FC1E" w:rsidR="00585FF4" w:rsidRDefault="004215B3">
      <w:pPr>
        <w:spacing w:before="0"/>
      </w:pPr>
      <w:r>
        <w:rPr>
          <w:b/>
          <w:bCs/>
        </w:rPr>
        <w:t>4. Staff-cost attribution</w:t>
      </w:r>
      <w:r>
        <w:rPr>
          <w:b/>
          <w:bCs/>
        </w:rPr>
        <w:br/>
      </w:r>
      <w:r>
        <w:br/>
      </w:r>
      <w:r>
        <w:t>Where appropriate, time surveys should be replaced with time tracking for the attribution of staff costs.</w:t>
      </w:r>
      <w:r>
        <w:br/>
      </w:r>
      <w:r>
        <w:br/>
        <w:t>Staff costs account for the majority of ITU’s total costs. Accurate allocation of these costs to outputs is therefore critical. The ITU Secretariat currently uses time surveys, rather than time tracking, to record the actual allocation of staff costs to outputs.</w:t>
      </w:r>
      <w:r>
        <w:br/>
      </w:r>
      <w:r>
        <w:br/>
        <w:t xml:space="preserve">We express concern </w:t>
      </w:r>
      <w:r w:rsidR="005607E2">
        <w:t xml:space="preserve">about </w:t>
      </w:r>
      <w:r>
        <w:t>this approach and recommend that time tracking be restored as the core methodology for attributing staff costs to outputs and priorities. Where greater precision is justified, structured time recording should be introduced progressively.</w:t>
      </w:r>
      <w:r>
        <w:br/>
      </w:r>
      <w:r>
        <w:br/>
        <w:t>Time tracking would capture actual working time, reduce inaccuracies and generate auditable data suitable for cost-recovery activities, including satellite network filing processing.</w:t>
      </w:r>
    </w:p>
    <w:p w14:paraId="11A55BC2" w14:textId="77777777" w:rsidR="00585FF4" w:rsidRDefault="00585FF4">
      <w:pPr>
        <w:spacing w:before="0"/>
      </w:pPr>
    </w:p>
    <w:p w14:paraId="0B1B51EC" w14:textId="77777777" w:rsidR="00A05228" w:rsidRDefault="00585FF4">
      <w:pPr>
        <w:spacing w:before="0"/>
      </w:pPr>
      <w:r>
        <w:t>Additionally, to improve transparency the Secretariat should include in the Biennial budget information on the planned vacancy rate, if applicable, as well as disclose the standard staff costs for each category</w:t>
      </w:r>
      <w:r w:rsidR="003C4AAD">
        <w:t xml:space="preserve"> and grade</w:t>
      </w:r>
      <w:r>
        <w:t>.</w:t>
      </w:r>
    </w:p>
    <w:p w14:paraId="3C2E0DCC" w14:textId="77777777" w:rsidR="00A05228" w:rsidRDefault="00A05228">
      <w:pPr>
        <w:spacing w:before="0"/>
      </w:pPr>
    </w:p>
    <w:p w14:paraId="0946A3FB" w14:textId="4A3CF474" w:rsidR="00A05228" w:rsidRDefault="00A05228">
      <w:pPr>
        <w:spacing w:before="0"/>
      </w:pPr>
      <w:r>
        <w:t xml:space="preserve">In terms of staff costs planning, it is premature to grant to the Secretariat the ability to withdraw from the Reserve Account an amount up to CHF 6 million to finance any cost-reduction programme, as suggested in the current draft Decision 5 Revenue and expenses for the Union for </w:t>
      </w:r>
      <w:r>
        <w:lastRenderedPageBreak/>
        <w:t>the period 2028-2031. Before any such decision is made the Secretariat</w:t>
      </w:r>
      <w:r w:rsidR="004273A0">
        <w:t xml:space="preserve"> should</w:t>
      </w:r>
      <w:r>
        <w:t xml:space="preserve"> submit for </w:t>
      </w:r>
      <w:r w:rsidR="00976FC7">
        <w:t>the Council’s decision</w:t>
      </w:r>
      <w:r>
        <w:t xml:space="preserve"> a draft cost-reduction programme which would provide the underlying methodology accompanied with comprehensive analysis</w:t>
      </w:r>
      <w:r w:rsidR="001379FC">
        <w:t xml:space="preserve">, including implications for </w:t>
      </w:r>
      <w:r w:rsidR="006848B2">
        <w:t xml:space="preserve">equitable </w:t>
      </w:r>
      <w:r w:rsidR="001379FC">
        <w:t xml:space="preserve">geographic distribution, as well as </w:t>
      </w:r>
      <w:r>
        <w:t>IMAC assessment.</w:t>
      </w:r>
    </w:p>
    <w:p w14:paraId="0FA9CCF6" w14:textId="572A0A31" w:rsidR="00FA039A" w:rsidRDefault="00585FF4">
      <w:pPr>
        <w:spacing w:before="0"/>
      </w:pPr>
      <w:r>
        <w:br/>
      </w:r>
      <w:r>
        <w:br/>
      </w:r>
      <w:r>
        <w:rPr>
          <w:b/>
          <w:bCs/>
        </w:rPr>
        <w:t>5. Budget and audited financial statements</w:t>
      </w:r>
      <w:r>
        <w:rPr>
          <w:b/>
          <w:bCs/>
        </w:rPr>
        <w:br/>
      </w:r>
      <w:r>
        <w:br/>
        <w:t xml:space="preserve">The </w:t>
      </w:r>
      <w:r w:rsidR="008A4F81">
        <w:t xml:space="preserve">Secretariat should consider </w:t>
      </w:r>
      <w:r w:rsidR="00932767">
        <w:t>the feasibility</w:t>
      </w:r>
      <w:r w:rsidR="008A4F81">
        <w:t xml:space="preserve"> of bridging the </w:t>
      </w:r>
      <w:r>
        <w:t xml:space="preserve">gap between the budget and the audited financial statements </w:t>
      </w:r>
      <w:r w:rsidR="008A4F81">
        <w:t>to ensure comparability</w:t>
      </w:r>
      <w:r>
        <w:t>.</w:t>
      </w:r>
      <w:r>
        <w:br/>
      </w:r>
      <w:r>
        <w:br/>
        <w:t xml:space="preserve">The </w:t>
      </w:r>
      <w:r w:rsidR="006D68BD">
        <w:t xml:space="preserve">basis and scope of the </w:t>
      </w:r>
      <w:r>
        <w:t xml:space="preserve">ITU Financial Plan and, more critically, </w:t>
      </w:r>
      <w:r w:rsidR="006D68BD">
        <w:t xml:space="preserve">of </w:t>
      </w:r>
      <w:r>
        <w:t xml:space="preserve">the biennial budgets </w:t>
      </w:r>
      <w:r w:rsidR="006D68BD">
        <w:t>differ</w:t>
      </w:r>
      <w:r>
        <w:t xml:space="preserve"> from </w:t>
      </w:r>
      <w:r w:rsidR="004977B2">
        <w:t>those of the</w:t>
      </w:r>
      <w:r>
        <w:t xml:space="preserve"> audited financial statements. The budgets are prepared on a modified cash basis, whereas the financial statements are prepared under IPSAS accrual accounting.</w:t>
      </w:r>
      <w:r>
        <w:br/>
      </w:r>
      <w:r>
        <w:br/>
        <w:t>Relevant differences include:</w:t>
      </w:r>
      <w:r>
        <w:br/>
        <w:t>- capital expenditure, capitalization and depreciation;</w:t>
      </w:r>
      <w:r>
        <w:br/>
        <w:t>- impairment of receivables;</w:t>
      </w:r>
      <w:r>
        <w:br/>
        <w:t>- employee-benefit expenses and movements in ASHI liabilities;</w:t>
      </w:r>
      <w:r>
        <w:br/>
        <w:t>- investment gains and losses;</w:t>
      </w:r>
      <w:r>
        <w:br/>
        <w:t>- loan principal repayments and related accounting treatments; and</w:t>
      </w:r>
      <w:r>
        <w:br/>
        <w:t>- revenues and expenses outside the regular-budget perimeter.</w:t>
      </w:r>
      <w:r>
        <w:br/>
      </w:r>
      <w:r>
        <w:br/>
      </w:r>
      <w:r w:rsidR="00A84391" w:rsidRPr="0051373E">
        <w:t xml:space="preserve">These differences limit Member States’ ability to </w:t>
      </w:r>
      <w:r>
        <w:t>compare budgeted amounts with actual results.</w:t>
      </w:r>
      <w:r w:rsidR="00A84391">
        <w:t xml:space="preserve"> </w:t>
      </w:r>
      <w:r w:rsidR="00A84391" w:rsidRPr="0051373E">
        <w:t xml:space="preserve">To enhance transparency and accountability, </w:t>
      </w:r>
      <w:r w:rsidR="00A84391">
        <w:t xml:space="preserve">the Secretariat </w:t>
      </w:r>
      <w:r w:rsidR="00A84391" w:rsidRPr="0051373E">
        <w:t>should present a clear reconciliation between the modified cash basis budget and the IPSAS accrual-based financial statements, explaining material variances arising from differences in accounting treatment</w:t>
      </w:r>
      <w:r w:rsidR="00A84391">
        <w:t xml:space="preserve">, </w:t>
      </w:r>
      <w:r w:rsidR="00A84391" w:rsidRPr="0051373E">
        <w:t>thereby improving comparability, oversight, and stakeholder understanding of financial performance.</w:t>
      </w:r>
      <w:r w:rsidR="008A4F81">
        <w:t xml:space="preserve"> As a way forward the Secretariat could</w:t>
      </w:r>
      <w:r w:rsidR="00A84391">
        <w:t>, for instance,</w:t>
      </w:r>
      <w:r w:rsidR="008A4F81">
        <w:t xml:space="preserve"> explore the experience of </w:t>
      </w:r>
      <w:r w:rsidR="00A84391">
        <w:t>other international organizations</w:t>
      </w:r>
      <w:r w:rsidR="008A4F81">
        <w:t>,</w:t>
      </w:r>
      <w:r w:rsidR="00CB2382">
        <w:t xml:space="preserve"> where certain elements of </w:t>
      </w:r>
      <w:r w:rsidR="008A4F81">
        <w:t xml:space="preserve">the Program of Work and Budget </w:t>
      </w:r>
      <w:r w:rsidR="00CB2382">
        <w:t xml:space="preserve">are prepared </w:t>
      </w:r>
      <w:r w:rsidR="008A4F81">
        <w:t>on an accrual basis.</w:t>
      </w:r>
      <w:r>
        <w:br/>
      </w:r>
      <w:r>
        <w:br/>
      </w:r>
      <w:r>
        <w:rPr>
          <w:b/>
          <w:bCs/>
        </w:rPr>
        <w:t xml:space="preserve">6. </w:t>
      </w:r>
      <w:r w:rsidR="00D670D6">
        <w:rPr>
          <w:b/>
          <w:bCs/>
        </w:rPr>
        <w:t>C</w:t>
      </w:r>
      <w:r>
        <w:rPr>
          <w:b/>
          <w:bCs/>
        </w:rPr>
        <w:t>ash-flow projection</w:t>
      </w:r>
      <w:r>
        <w:rPr>
          <w:b/>
          <w:bCs/>
        </w:rPr>
        <w:br/>
      </w:r>
      <w:r>
        <w:br/>
        <w:t>A cash-flow projection should be introduced as an annex to the Financial Plans and budgets.</w:t>
      </w:r>
      <w:r>
        <w:br/>
      </w:r>
      <w:r>
        <w:br/>
        <w:t>The timing of contribution receipts, cost-recovery income, staff payments, capital expenditure and debt service may create funding pressures within the approved financial envelope.</w:t>
      </w:r>
      <w:r>
        <w:br/>
      </w:r>
      <w:r>
        <w:br/>
        <w:t>A cash-flow projection annexed to the Financial Plans and budgets should show, at a minimum on an annual basis:</w:t>
      </w:r>
      <w:r>
        <w:br/>
      </w:r>
      <w:r>
        <w:br/>
        <w:t>- opening cash and liquid investment balances;</w:t>
      </w:r>
      <w:r>
        <w:br/>
        <w:t>- expected contribution receipts and cost-recovery receipts;</w:t>
      </w:r>
      <w:r>
        <w:br/>
        <w:t>- other material cash inflows;</w:t>
      </w:r>
      <w:r>
        <w:br/>
        <w:t>- staff and non-staff operating payments;</w:t>
      </w:r>
      <w:r>
        <w:br/>
        <w:t>- capital expenditure and debt-service payments;</w:t>
      </w:r>
      <w:r>
        <w:br/>
      </w:r>
      <w:r>
        <w:lastRenderedPageBreak/>
        <w:t>- current ASHI payments and any transfers to dedicated funding arrangements; and</w:t>
      </w:r>
      <w:r>
        <w:br/>
        <w:t>- closing balances, distinguishing restricted resources from amounts available for regular-budget operations.</w:t>
      </w:r>
      <w:r>
        <w:br/>
      </w:r>
      <w:r>
        <w:br/>
        <w:t>The projection should also explicitly incorporate the potential effect of the headquarters project on the regular budget and liquidity, including remaining expenditure, committed financing, debt service, contingencies and material uncertainties.</w:t>
      </w:r>
      <w:r>
        <w:br/>
      </w:r>
      <w:r>
        <w:br/>
      </w:r>
      <w:r>
        <w:rPr>
          <w:b/>
          <w:bCs/>
        </w:rPr>
        <w:t>7. ASHI funding strategy</w:t>
      </w:r>
      <w:r>
        <w:rPr>
          <w:b/>
          <w:bCs/>
        </w:rPr>
        <w:br/>
      </w:r>
      <w:r>
        <w:br/>
        <w:t>The Financial Plans and budgets should incorporate a quantified ASHI funding strategy, a financial impact assessment of the strategy on ITU cash flows, and a defined implementation timetable.</w:t>
      </w:r>
    </w:p>
    <w:p w14:paraId="2BD162A5" w14:textId="77777777" w:rsidR="00A63347" w:rsidRDefault="00A63347">
      <w:pPr>
        <w:spacing w:before="0"/>
      </w:pPr>
    </w:p>
    <w:p w14:paraId="7BDB9508" w14:textId="34CFD801" w:rsidR="00A63347" w:rsidRDefault="00A63347">
      <w:pPr>
        <w:spacing w:before="0"/>
      </w:pPr>
      <w:r>
        <w:t>To ensure long term financial sustainability of the Union it would be critical to address the ASHI funding proactively</w:t>
      </w:r>
      <w:r w:rsidR="00F24F17">
        <w:t xml:space="preserve"> by </w:t>
      </w:r>
      <w:r w:rsidR="00564AEB">
        <w:t>introducing</w:t>
      </w:r>
      <w:r w:rsidR="00F24F17">
        <w:t xml:space="preserve"> the pay-as-you-accrue mechanism</w:t>
      </w:r>
      <w:r>
        <w:t>, rather than rely</w:t>
      </w:r>
      <w:r w:rsidR="00F24F17">
        <w:t>ing</w:t>
      </w:r>
      <w:r>
        <w:t xml:space="preserve"> upon the probability of budget surplus, as suggested in the current draft Decision 5 Revenue and expenses for the Union for the period 2028-2031. This could be achieved by </w:t>
      </w:r>
      <w:r w:rsidR="00BF3450">
        <w:t>establishing a fixed contribution rate based on staff costs, such as</w:t>
      </w:r>
      <w:r>
        <w:t xml:space="preserve"> a 1% </w:t>
      </w:r>
      <w:r w:rsidR="00BF3450">
        <w:t>rate</w:t>
      </w:r>
      <w:r>
        <w:t xml:space="preserve">. </w:t>
      </w:r>
      <w:r w:rsidR="008F68D1">
        <w:t>One of the options of</w:t>
      </w:r>
      <w:r>
        <w:t xml:space="preserve"> financ</w:t>
      </w:r>
      <w:r w:rsidR="008F68D1">
        <w:t>ing</w:t>
      </w:r>
      <w:r>
        <w:t xml:space="preserve"> this contribution </w:t>
      </w:r>
      <w:r w:rsidR="008F68D1">
        <w:t xml:space="preserve">could be the </w:t>
      </w:r>
      <w:r>
        <w:t>optimiz</w:t>
      </w:r>
      <w:r w:rsidR="008F68D1">
        <w:t xml:space="preserve">ation of </w:t>
      </w:r>
      <w:r>
        <w:t>overhead costs.</w:t>
      </w:r>
    </w:p>
    <w:p w14:paraId="49F09417" w14:textId="77777777" w:rsidR="00900998" w:rsidRDefault="00900998">
      <w:pPr>
        <w:spacing w:before="0"/>
      </w:pPr>
    </w:p>
    <w:p w14:paraId="2FAA488B" w14:textId="23631CCB" w:rsidR="00900998" w:rsidRPr="0051373E" w:rsidRDefault="00900998">
      <w:pPr>
        <w:spacing w:before="0"/>
        <w:rPr>
          <w:b/>
          <w:bCs/>
        </w:rPr>
      </w:pPr>
      <w:r w:rsidRPr="0051373E">
        <w:rPr>
          <w:b/>
          <w:bCs/>
        </w:rPr>
        <w:t>8. Digital transformation</w:t>
      </w:r>
    </w:p>
    <w:p w14:paraId="239DD1B0" w14:textId="77777777" w:rsidR="00900998" w:rsidRDefault="00900998">
      <w:pPr>
        <w:spacing w:before="0"/>
      </w:pPr>
    </w:p>
    <w:p w14:paraId="6FF619EB" w14:textId="0DE26AA6" w:rsidR="00900998" w:rsidRPr="0051373E" w:rsidRDefault="00900998">
      <w:pPr>
        <w:spacing w:before="0"/>
      </w:pPr>
      <w:r>
        <w:t xml:space="preserve">The draft Financial Plan for 2028-2031 includes continued investments in the modernization of core enterprise systems, that should translate into measurable operational efficiencies. However, no milestones or comprehensive assessment of financial implications have been provided to Member States. For accountability and transparency purposes it is suggested that the Secretariat provide </w:t>
      </w:r>
      <w:r w:rsidR="004273A0">
        <w:t xml:space="preserve">to the Council </w:t>
      </w:r>
      <w:r>
        <w:t xml:space="preserve">a comprehensive business case </w:t>
      </w:r>
      <w:r w:rsidR="00EA7221" w:rsidRPr="0051373E">
        <w:t>outlining the related costs, expected efficiency gains, implementation timeline, and IMAC's assessment</w:t>
      </w:r>
      <w:r>
        <w:t xml:space="preserve">. It is further suggested that </w:t>
      </w:r>
      <w:r w:rsidR="004273A0">
        <w:t xml:space="preserve">the </w:t>
      </w:r>
      <w:r>
        <w:t xml:space="preserve">efficiency gains </w:t>
      </w:r>
      <w:r w:rsidR="0051373E">
        <w:rPr>
          <w:lang w:val="en-US"/>
        </w:rPr>
        <w:t xml:space="preserve">be </w:t>
      </w:r>
      <w:r>
        <w:t>reflected in Operational Plans.</w:t>
      </w:r>
    </w:p>
    <w:sectPr w:rsidR="00900998" w:rsidRPr="0051373E">
      <w:headerReference w:type="default" r:id="rId11"/>
      <w:footerReference w:type="first" r:id="rId12"/>
      <w:type w:val="continuous"/>
      <w:pgSz w:w="11913" w:h="16834"/>
      <w:pgMar w:top="1418" w:right="1134" w:bottom="1418"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A2041" w14:textId="77777777" w:rsidR="004215B3" w:rsidRDefault="004215B3">
      <w:pPr>
        <w:spacing w:before="0"/>
      </w:pPr>
      <w:r>
        <w:separator/>
      </w:r>
    </w:p>
  </w:endnote>
  <w:endnote w:type="continuationSeparator" w:id="0">
    <w:p w14:paraId="369DFCFC" w14:textId="77777777" w:rsidR="004215B3" w:rsidRDefault="004215B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charset w:val="00"/>
    <w:family w:val="auto"/>
    <w:pitch w:val="default"/>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6FC6" w14:textId="77777777" w:rsidR="00FA039A" w:rsidRDefault="004215B3">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00FA039A">
        <w:rPr>
          <w:rStyle w:val="ac"/>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ECE8" w14:textId="77777777" w:rsidR="004215B3" w:rsidRDefault="004215B3">
      <w:pPr>
        <w:spacing w:before="0"/>
      </w:pPr>
      <w:r>
        <w:separator/>
      </w:r>
    </w:p>
  </w:footnote>
  <w:footnote w:type="continuationSeparator" w:id="0">
    <w:p w14:paraId="22CC758E" w14:textId="77777777" w:rsidR="004215B3" w:rsidRDefault="004215B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D84D" w14:textId="77777777" w:rsidR="00FA039A" w:rsidRDefault="004215B3">
    <w:pPr>
      <w:pStyle w:val="aa"/>
    </w:pPr>
    <w:r>
      <w:fldChar w:fldCharType="begin"/>
    </w:r>
    <w:r>
      <w:instrText xml:space="preserve"> PAGE   \* MERGEFORMAT </w:instrText>
    </w:r>
    <w:r>
      <w:fldChar w:fldCharType="separate"/>
    </w:r>
    <w:r>
      <w:t>2</w:t>
    </w:r>
    <w:r>
      <w:fldChar w:fldCharType="end"/>
    </w:r>
  </w:p>
  <w:p w14:paraId="695BC57B" w14:textId="77777777" w:rsidR="00FA039A" w:rsidRDefault="004215B3">
    <w:pPr>
      <w:pStyle w:val="aa"/>
    </w:pPr>
    <w:r>
      <w:t>PP26/xx-E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39A"/>
    <w:rsid w:val="000B78E5"/>
    <w:rsid w:val="00123222"/>
    <w:rsid w:val="001379FC"/>
    <w:rsid w:val="00155331"/>
    <w:rsid w:val="00216505"/>
    <w:rsid w:val="002612A7"/>
    <w:rsid w:val="002E0553"/>
    <w:rsid w:val="003C4AAD"/>
    <w:rsid w:val="004215B3"/>
    <w:rsid w:val="004273A0"/>
    <w:rsid w:val="004977B2"/>
    <w:rsid w:val="004B0B37"/>
    <w:rsid w:val="0051373E"/>
    <w:rsid w:val="0055360E"/>
    <w:rsid w:val="005607E2"/>
    <w:rsid w:val="00564AEB"/>
    <w:rsid w:val="00585FF4"/>
    <w:rsid w:val="005919BD"/>
    <w:rsid w:val="006848B2"/>
    <w:rsid w:val="006D68BD"/>
    <w:rsid w:val="00784194"/>
    <w:rsid w:val="007B3C07"/>
    <w:rsid w:val="008A4F81"/>
    <w:rsid w:val="008E0C92"/>
    <w:rsid w:val="008F68D1"/>
    <w:rsid w:val="00900998"/>
    <w:rsid w:val="009278D1"/>
    <w:rsid w:val="00932767"/>
    <w:rsid w:val="00976FC7"/>
    <w:rsid w:val="009C5020"/>
    <w:rsid w:val="00A05228"/>
    <w:rsid w:val="00A63347"/>
    <w:rsid w:val="00A84391"/>
    <w:rsid w:val="00B77BDD"/>
    <w:rsid w:val="00BC006B"/>
    <w:rsid w:val="00BF3450"/>
    <w:rsid w:val="00C24B61"/>
    <w:rsid w:val="00CB2382"/>
    <w:rsid w:val="00D670D6"/>
    <w:rsid w:val="00DA00DB"/>
    <w:rsid w:val="00EA7221"/>
    <w:rsid w:val="00F24F17"/>
    <w:rsid w:val="00F56B8D"/>
    <w:rsid w:val="00FA0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B4DBA"/>
  <w15:docId w15:val="{70A4DE6E-3F41-C843-ADAD-7AE0E230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abs>
        <w:tab w:val="left" w:pos="567"/>
        <w:tab w:val="left" w:pos="1134"/>
        <w:tab w:val="left" w:pos="1701"/>
        <w:tab w:val="left" w:pos="2268"/>
        <w:tab w:val="left" w:pos="2835"/>
      </w:tabs>
      <w:spacing w:before="120"/>
    </w:pPr>
    <w:rPr>
      <w:rFonts w:ascii="Calibri" w:eastAsia="Times New Roman" w:hAnsi="Calibri"/>
      <w:sz w:val="24"/>
      <w:lang w:val="en-GB" w:eastAsia="en-US"/>
    </w:rPr>
  </w:style>
  <w:style w:type="paragraph" w:styleId="1">
    <w:name w:val="heading 1"/>
    <w:basedOn w:val="a"/>
    <w:next w:val="a"/>
    <w:qFormat/>
    <w:pPr>
      <w:keepNext/>
      <w:keepLines/>
      <w:spacing w:before="480"/>
      <w:ind w:left="567" w:hanging="567"/>
      <w:outlineLvl w:val="0"/>
    </w:pPr>
    <w:rPr>
      <w:b/>
      <w:sz w:val="28"/>
    </w:rPr>
  </w:style>
  <w:style w:type="paragraph" w:styleId="2">
    <w:name w:val="heading 2"/>
    <w:basedOn w:val="1"/>
    <w:next w:val="a"/>
    <w:qFormat/>
    <w:pPr>
      <w:spacing w:before="320"/>
      <w:outlineLvl w:val="1"/>
    </w:pPr>
    <w:rPr>
      <w:sz w:val="24"/>
    </w:rPr>
  </w:style>
  <w:style w:type="paragraph" w:styleId="3">
    <w:name w:val="heading 3"/>
    <w:basedOn w:val="1"/>
    <w:next w:val="a"/>
    <w:qFormat/>
    <w:pPr>
      <w:spacing w:before="200"/>
      <w:outlineLvl w:val="2"/>
    </w:pPr>
    <w:rPr>
      <w:sz w:val="24"/>
    </w:rPr>
  </w:style>
  <w:style w:type="paragraph" w:styleId="4">
    <w:name w:val="heading 4"/>
    <w:basedOn w:val="3"/>
    <w:next w:val="a"/>
    <w:qFormat/>
    <w:pPr>
      <w:ind w:left="1134" w:hanging="1134"/>
      <w:outlineLvl w:val="3"/>
    </w:pPr>
  </w:style>
  <w:style w:type="paragraph" w:styleId="5">
    <w:name w:val="heading 5"/>
    <w:basedOn w:val="4"/>
    <w:next w:val="a"/>
    <w:qFormat/>
    <w:pPr>
      <w:outlineLvl w:val="4"/>
    </w:pPr>
  </w:style>
  <w:style w:type="paragraph" w:styleId="6">
    <w:name w:val="heading 6"/>
    <w:basedOn w:val="4"/>
    <w:next w:val="a"/>
    <w:qFormat/>
    <w:pPr>
      <w:outlineLvl w:val="5"/>
    </w:pPr>
  </w:style>
  <w:style w:type="paragraph" w:styleId="7">
    <w:name w:val="heading 7"/>
    <w:basedOn w:val="4"/>
    <w:next w:val="a"/>
    <w:qFormat/>
    <w:pPr>
      <w:ind w:left="1701" w:hanging="1701"/>
      <w:outlineLvl w:val="6"/>
    </w:pPr>
  </w:style>
  <w:style w:type="paragraph" w:styleId="8">
    <w:name w:val="heading 8"/>
    <w:basedOn w:val="4"/>
    <w:next w:val="a"/>
    <w:qFormat/>
    <w:pPr>
      <w:ind w:left="1701" w:hanging="1701"/>
      <w:outlineLvl w:val="7"/>
    </w:pPr>
  </w:style>
  <w:style w:type="paragraph" w:styleId="9">
    <w:name w:val="heading 9"/>
    <w:basedOn w:val="4"/>
    <w:next w:val="a"/>
    <w:qFormat/>
    <w:pPr>
      <w:ind w:left="1701" w:hanging="1701"/>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pPr>
      <w:spacing w:before="0"/>
    </w:pPr>
    <w:rPr>
      <w:rFonts w:ascii="Tahoma" w:hAnsi="Tahoma" w:cs="Tahoma"/>
      <w:sz w:val="16"/>
      <w:szCs w:val="16"/>
    </w:rPr>
  </w:style>
  <w:style w:type="paragraph" w:styleId="a5">
    <w:name w:val="Date"/>
    <w:basedOn w:val="a"/>
    <w:qFormat/>
    <w:pPr>
      <w:tabs>
        <w:tab w:val="clear" w:pos="2268"/>
        <w:tab w:val="left" w:pos="1843"/>
        <w:tab w:val="left" w:pos="2269"/>
        <w:tab w:val="left" w:pos="3544"/>
        <w:tab w:val="left" w:pos="3969"/>
      </w:tabs>
      <w:spacing w:before="192" w:line="240" w:lineRule="atLeast"/>
      <w:jc w:val="center"/>
    </w:pPr>
    <w:rPr>
      <w:sz w:val="20"/>
    </w:rPr>
  </w:style>
  <w:style w:type="character" w:styleId="a6">
    <w:name w:val="FollowedHyperlink"/>
    <w:basedOn w:val="a0"/>
    <w:qFormat/>
    <w:rPr>
      <w:color w:val="800080"/>
      <w:u w:val="single"/>
    </w:rPr>
  </w:style>
  <w:style w:type="paragraph" w:styleId="a7">
    <w:name w:val="footer"/>
    <w:basedOn w:val="a"/>
    <w:pPr>
      <w:tabs>
        <w:tab w:val="clear" w:pos="567"/>
        <w:tab w:val="clear" w:pos="1134"/>
        <w:tab w:val="clear" w:pos="1701"/>
        <w:tab w:val="clear" w:pos="2268"/>
        <w:tab w:val="clear" w:pos="2835"/>
        <w:tab w:val="left" w:pos="5954"/>
        <w:tab w:val="right" w:pos="9639"/>
      </w:tabs>
      <w:spacing w:before="0"/>
    </w:pPr>
    <w:rPr>
      <w:caps/>
      <w:sz w:val="16"/>
    </w:rPr>
  </w:style>
  <w:style w:type="character" w:styleId="a8">
    <w:name w:val="footnote reference"/>
    <w:basedOn w:val="a0"/>
    <w:rPr>
      <w:rFonts w:ascii="Calibri" w:hAnsi="Calibri"/>
      <w:position w:val="6"/>
      <w:sz w:val="16"/>
    </w:rPr>
  </w:style>
  <w:style w:type="paragraph" w:styleId="a9">
    <w:name w:val="footnote text"/>
    <w:basedOn w:val="a"/>
    <w:pPr>
      <w:keepLines/>
      <w:tabs>
        <w:tab w:val="left" w:pos="256"/>
      </w:tabs>
      <w:ind w:left="256" w:hanging="256"/>
    </w:pPr>
  </w:style>
  <w:style w:type="paragraph" w:styleId="aa">
    <w:name w:val="header"/>
    <w:basedOn w:val="a"/>
    <w:link w:val="ab"/>
    <w:pPr>
      <w:tabs>
        <w:tab w:val="clear" w:pos="567"/>
        <w:tab w:val="clear" w:pos="1134"/>
        <w:tab w:val="clear" w:pos="1701"/>
        <w:tab w:val="clear" w:pos="2268"/>
        <w:tab w:val="clear" w:pos="2835"/>
      </w:tabs>
      <w:spacing w:before="0"/>
      <w:jc w:val="center"/>
    </w:pPr>
    <w:rPr>
      <w:sz w:val="18"/>
    </w:rPr>
  </w:style>
  <w:style w:type="character" w:styleId="ac">
    <w:name w:val="Hyperlink"/>
    <w:basedOn w:val="a0"/>
    <w:uiPriority w:val="99"/>
    <w:qFormat/>
    <w:rPr>
      <w:rFonts w:ascii="Calibri" w:hAnsi="Calibri"/>
      <w:color w:val="0000FF"/>
      <w:u w:val="single"/>
    </w:rPr>
  </w:style>
  <w:style w:type="paragraph" w:styleId="ad">
    <w:name w:val="Normal (Web)"/>
    <w:basedOn w:val="a"/>
    <w:qFormat/>
    <w:rPr>
      <w:szCs w:val="24"/>
    </w:rPr>
  </w:style>
  <w:style w:type="paragraph" w:styleId="ae">
    <w:name w:val="Normal Indent"/>
    <w:basedOn w:val="a"/>
    <w:qFormat/>
    <w:pPr>
      <w:ind w:left="567"/>
    </w:pPr>
  </w:style>
  <w:style w:type="character" w:styleId="af">
    <w:name w:val="page number"/>
    <w:basedOn w:val="a0"/>
    <w:rPr>
      <w:rFonts w:ascii="Calibri" w:hAnsi="Calibri"/>
    </w:rPr>
  </w:style>
  <w:style w:type="character" w:styleId="af0">
    <w:name w:val="Strong"/>
    <w:basedOn w:val="a0"/>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toc 1"/>
    <w:basedOn w:val="a"/>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20">
    <w:name w:val="toc 2"/>
    <w:basedOn w:val="a"/>
    <w:next w:val="a"/>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30">
    <w:name w:val="toc 3"/>
    <w:basedOn w:val="a"/>
    <w:next w:val="a"/>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40">
    <w:name w:val="toc 4"/>
    <w:basedOn w:val="a"/>
    <w:next w:val="a"/>
    <w:pPr>
      <w:tabs>
        <w:tab w:val="clear" w:pos="567"/>
        <w:tab w:val="clear" w:pos="1134"/>
        <w:tab w:val="clear" w:pos="1701"/>
        <w:tab w:val="clear" w:pos="2268"/>
        <w:tab w:val="clear" w:pos="2835"/>
        <w:tab w:val="left" w:pos="964"/>
        <w:tab w:val="left" w:pos="8789"/>
        <w:tab w:val="right" w:pos="9639"/>
      </w:tabs>
      <w:ind w:left="964" w:hanging="964"/>
    </w:pPr>
  </w:style>
  <w:style w:type="paragraph" w:styleId="50">
    <w:name w:val="toc 5"/>
    <w:basedOn w:val="a"/>
    <w:next w:val="a"/>
    <w:qFormat/>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60">
    <w:name w:val="toc 6"/>
    <w:basedOn w:val="a"/>
    <w:next w:val="a"/>
    <w:qFormat/>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70">
    <w:name w:val="toc 7"/>
    <w:basedOn w:val="a"/>
    <w:next w:val="a"/>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80">
    <w:name w:val="toc 8"/>
    <w:basedOn w:val="a"/>
    <w:next w:val="a"/>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Tablelegend">
    <w:name w:val="Table_legend"/>
    <w:basedOn w:val="Tabletext"/>
    <w:pPr>
      <w:spacing w:before="120"/>
    </w:pPr>
  </w:style>
  <w:style w:type="paragraph" w:customStyle="1" w:styleId="Tabletext">
    <w:name w:val="Table_text"/>
    <w:basedOn w:val="a"/>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pPr>
      <w:tabs>
        <w:tab w:val="left" w:pos="2948"/>
        <w:tab w:val="left" w:pos="4082"/>
      </w:tabs>
      <w:spacing w:before="0"/>
    </w:pPr>
    <w:rPr>
      <w:b/>
      <w:caps w:val="0"/>
    </w:rPr>
  </w:style>
  <w:style w:type="paragraph" w:customStyle="1" w:styleId="TableNo">
    <w:name w:val="Table_No"/>
    <w:basedOn w:val="a"/>
    <w:next w:val="Tabletitle"/>
    <w:qFormat/>
    <w:pPr>
      <w:keepNext/>
      <w:spacing w:before="560" w:after="120"/>
      <w:jc w:val="center"/>
    </w:pPr>
    <w:rPr>
      <w:caps/>
    </w:rPr>
  </w:style>
  <w:style w:type="paragraph" w:customStyle="1" w:styleId="enumlev1">
    <w:name w:val="enumlev1"/>
    <w:basedOn w:val="a"/>
    <w:pPr>
      <w:spacing w:before="86"/>
      <w:ind w:left="567" w:hanging="567"/>
    </w:pPr>
  </w:style>
  <w:style w:type="paragraph" w:customStyle="1" w:styleId="enumlev2">
    <w:name w:val="enumlev2"/>
    <w:basedOn w:val="enumlev1"/>
    <w:pPr>
      <w:ind w:left="1134"/>
    </w:pPr>
  </w:style>
  <w:style w:type="paragraph" w:customStyle="1" w:styleId="enumlev3">
    <w:name w:val="enumlev3"/>
    <w:basedOn w:val="enumlev2"/>
    <w:pPr>
      <w:ind w:left="1701"/>
    </w:pPr>
  </w:style>
  <w:style w:type="paragraph" w:customStyle="1" w:styleId="Tablehead">
    <w:name w:val="Table_head"/>
    <w:basedOn w:val="Tabletext"/>
    <w:pPr>
      <w:spacing w:before="120" w:after="120"/>
      <w:jc w:val="center"/>
    </w:pPr>
    <w:rPr>
      <w:b/>
    </w:rPr>
  </w:style>
  <w:style w:type="paragraph" w:customStyle="1" w:styleId="Normalaftertitle">
    <w:name w:val="Normal after title"/>
    <w:basedOn w:val="a"/>
    <w:next w:val="a"/>
    <w:pPr>
      <w:spacing w:before="240"/>
    </w:pPr>
  </w:style>
  <w:style w:type="paragraph" w:customStyle="1" w:styleId="AnnexNo">
    <w:name w:val="Annex_No"/>
    <w:basedOn w:val="a"/>
    <w:next w:val="Annexref"/>
    <w:pPr>
      <w:spacing w:before="720"/>
      <w:jc w:val="center"/>
    </w:pPr>
    <w:rPr>
      <w:caps/>
      <w:sz w:val="28"/>
    </w:rPr>
  </w:style>
  <w:style w:type="paragraph" w:customStyle="1" w:styleId="Annexref">
    <w:name w:val="Annex_ref"/>
    <w:basedOn w:val="a"/>
    <w:next w:val="Annextitle"/>
    <w:pPr>
      <w:jc w:val="center"/>
    </w:pPr>
  </w:style>
  <w:style w:type="paragraph" w:customStyle="1" w:styleId="Annextitle">
    <w:name w:val="Annex_title"/>
    <w:basedOn w:val="a"/>
    <w:next w:val="a"/>
    <w:pPr>
      <w:spacing w:before="240" w:after="240"/>
      <w:jc w:val="center"/>
    </w:pPr>
    <w:rPr>
      <w:b/>
      <w:sz w:val="28"/>
    </w:rPr>
  </w:style>
  <w:style w:type="paragraph" w:customStyle="1" w:styleId="AppendixNo">
    <w:name w:val="Appendix_No"/>
    <w:basedOn w:val="AnnexNo"/>
    <w:next w:val="Appendixref"/>
  </w:style>
  <w:style w:type="paragraph" w:customStyle="1" w:styleId="Appendixref">
    <w:name w:val="Appendix_ref"/>
    <w:basedOn w:val="Annexref"/>
    <w:next w:val="Appendixtitle"/>
  </w:style>
  <w:style w:type="paragraph" w:customStyle="1" w:styleId="Appendixtitle">
    <w:name w:val="Appendix_title"/>
    <w:basedOn w:val="Annextitle"/>
    <w:next w:val="a"/>
  </w:style>
  <w:style w:type="paragraph" w:customStyle="1" w:styleId="Reftitle">
    <w:name w:val="Ref_title"/>
    <w:basedOn w:val="a"/>
    <w:next w:val="Reftext"/>
    <w:pPr>
      <w:spacing w:before="480"/>
      <w:jc w:val="center"/>
    </w:pPr>
    <w:rPr>
      <w:caps/>
      <w:sz w:val="28"/>
    </w:rPr>
  </w:style>
  <w:style w:type="paragraph" w:customStyle="1" w:styleId="Reftext">
    <w:name w:val="Ref_text"/>
    <w:basedOn w:val="a"/>
    <w:pPr>
      <w:ind w:left="567" w:hanging="567"/>
    </w:pPr>
  </w:style>
  <w:style w:type="paragraph" w:customStyle="1" w:styleId="Rectitle">
    <w:name w:val="Rec_title"/>
    <w:basedOn w:val="a"/>
    <w:next w:val="1"/>
    <w:pPr>
      <w:spacing w:before="240"/>
      <w:jc w:val="center"/>
    </w:pPr>
    <w:rPr>
      <w:b/>
      <w:sz w:val="28"/>
    </w:rPr>
  </w:style>
  <w:style w:type="paragraph" w:customStyle="1" w:styleId="Call">
    <w:name w:val="Call"/>
    <w:basedOn w:val="a"/>
    <w:next w:val="a"/>
    <w:pPr>
      <w:keepNext/>
      <w:keepLines/>
      <w:tabs>
        <w:tab w:val="clear" w:pos="1134"/>
        <w:tab w:val="clear" w:pos="1701"/>
        <w:tab w:val="clear" w:pos="2268"/>
        <w:tab w:val="clear" w:pos="2835"/>
      </w:tabs>
      <w:spacing w:before="160"/>
      <w:ind w:left="567"/>
    </w:pPr>
    <w:rPr>
      <w:i/>
    </w:rPr>
  </w:style>
  <w:style w:type="paragraph" w:customStyle="1" w:styleId="RecNo">
    <w:name w:val="Rec_No"/>
    <w:basedOn w:val="a"/>
    <w:next w:val="Rectitle"/>
    <w:qFormat/>
    <w:pPr>
      <w:spacing w:before="720"/>
      <w:jc w:val="center"/>
    </w:pPr>
    <w:rPr>
      <w:caps/>
      <w:sz w:val="28"/>
    </w:rPr>
  </w:style>
  <w:style w:type="paragraph" w:customStyle="1" w:styleId="toc0">
    <w:name w:val="toc 0"/>
    <w:basedOn w:val="a"/>
    <w:next w:val="10"/>
    <w:qFormat/>
    <w:pPr>
      <w:tabs>
        <w:tab w:val="clear" w:pos="567"/>
        <w:tab w:val="clear" w:pos="1134"/>
        <w:tab w:val="clear" w:pos="1701"/>
        <w:tab w:val="clear" w:pos="2268"/>
        <w:tab w:val="clear" w:pos="2835"/>
        <w:tab w:val="right" w:pos="9781"/>
      </w:tabs>
    </w:pPr>
    <w:rPr>
      <w:b/>
    </w:rPr>
  </w:style>
  <w:style w:type="paragraph" w:customStyle="1" w:styleId="Part">
    <w:name w:val="Part"/>
    <w:basedOn w:val="a"/>
    <w:next w:val="a"/>
    <w:qFormat/>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a"/>
    <w:pPr>
      <w:tabs>
        <w:tab w:val="clear" w:pos="567"/>
        <w:tab w:val="left" w:pos="851"/>
      </w:tabs>
    </w:pPr>
  </w:style>
  <w:style w:type="paragraph" w:customStyle="1" w:styleId="MinusFootnote">
    <w:name w:val="MinusFootnote"/>
    <w:basedOn w:val="a"/>
    <w:pPr>
      <w:ind w:left="-1701" w:hanging="284"/>
    </w:pPr>
  </w:style>
  <w:style w:type="paragraph" w:customStyle="1" w:styleId="Title3">
    <w:name w:val="Title 3"/>
    <w:basedOn w:val="Title2"/>
    <w:next w:val="Normalaftertitle"/>
    <w:rPr>
      <w:caps w:val="0"/>
    </w:rPr>
  </w:style>
  <w:style w:type="paragraph" w:customStyle="1" w:styleId="Title2">
    <w:name w:val="Title 2"/>
    <w:basedOn w:val="Source"/>
    <w:next w:val="Title3"/>
    <w:pPr>
      <w:spacing w:before="240"/>
    </w:pPr>
    <w:rPr>
      <w:b w:val="0"/>
      <w:caps/>
    </w:rPr>
  </w:style>
  <w:style w:type="paragraph" w:customStyle="1" w:styleId="Source">
    <w:name w:val="Source"/>
    <w:basedOn w:val="a"/>
    <w:next w:val="Title1"/>
    <w:autoRedefine/>
    <w:pPr>
      <w:spacing w:before="840"/>
      <w:jc w:val="center"/>
    </w:pPr>
    <w:rPr>
      <w:b/>
      <w:sz w:val="28"/>
    </w:rPr>
  </w:style>
  <w:style w:type="paragraph" w:customStyle="1" w:styleId="Title1">
    <w:name w:val="Title 1"/>
    <w:basedOn w:val="Source"/>
    <w:next w:val="Title2"/>
    <w:pPr>
      <w:spacing w:before="240"/>
    </w:pPr>
    <w:rPr>
      <w:b w:val="0"/>
      <w:caps/>
    </w:rPr>
  </w:style>
  <w:style w:type="paragraph" w:customStyle="1" w:styleId="ArtNo">
    <w:name w:val="Art_No"/>
    <w:basedOn w:val="a"/>
    <w:next w:val="Arttitl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a"/>
    <w:next w:val="a"/>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qFormat/>
  </w:style>
  <w:style w:type="paragraph" w:customStyle="1" w:styleId="Chaptitle">
    <w:name w:val="Chap_title"/>
    <w:basedOn w:val="Arttitle"/>
    <w:next w:val="a"/>
    <w:qFormat/>
  </w:style>
  <w:style w:type="paragraph" w:customStyle="1" w:styleId="Reasons">
    <w:name w:val="Reasons"/>
    <w:basedOn w:val="a"/>
    <w:qFormat/>
  </w:style>
  <w:style w:type="paragraph" w:customStyle="1" w:styleId="ResNo">
    <w:name w:val="Res_No"/>
    <w:basedOn w:val="AnnexNo"/>
    <w:next w:val="Restitle"/>
    <w:qFormat/>
  </w:style>
  <w:style w:type="paragraph" w:customStyle="1" w:styleId="Restitle">
    <w:name w:val="Res_title"/>
    <w:basedOn w:val="Annextitle"/>
    <w:next w:val="a"/>
    <w:qFormat/>
  </w:style>
  <w:style w:type="paragraph" w:customStyle="1" w:styleId="AnnexNoS2">
    <w:name w:val="Annex_No_S2"/>
    <w:basedOn w:val="AnnexNo"/>
    <w:next w:val="AnnexrefS2"/>
    <w:qFormat/>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qFormat/>
    <w:pPr>
      <w:tabs>
        <w:tab w:val="clear" w:pos="567"/>
        <w:tab w:val="clear" w:pos="1134"/>
        <w:tab w:val="clear" w:pos="1701"/>
        <w:tab w:val="clear" w:pos="2268"/>
        <w:tab w:val="clear" w:pos="2835"/>
        <w:tab w:val="left" w:pos="851"/>
      </w:tabs>
      <w:jc w:val="left"/>
    </w:pPr>
    <w:rPr>
      <w:b/>
    </w:rPr>
  </w:style>
  <w:style w:type="paragraph" w:customStyle="1" w:styleId="AnnextitleS2">
    <w:name w:val="Annex_title_S2"/>
    <w:basedOn w:val="Annextitle"/>
    <w:next w:val="NormalS2"/>
    <w:qFormat/>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a"/>
    <w:qFormat/>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a"/>
    <w:qFormat/>
    <w:rPr>
      <w:caps w:val="0"/>
    </w:rPr>
  </w:style>
  <w:style w:type="paragraph" w:customStyle="1" w:styleId="Section2">
    <w:name w:val="Section 2"/>
    <w:basedOn w:val="Section1"/>
    <w:next w:val="a"/>
    <w:qFormat/>
    <w:pPr>
      <w:spacing w:before="240"/>
    </w:pPr>
    <w:rPr>
      <w:b/>
      <w:i/>
    </w:rPr>
  </w:style>
  <w:style w:type="paragraph" w:customStyle="1" w:styleId="AppendixNoS2">
    <w:name w:val="Appendix_No_S2"/>
    <w:basedOn w:val="AppendixNo"/>
    <w:next w:val="AppendixrefS2"/>
    <w:qFormat/>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qFormat/>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qFormat/>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qFormat/>
    <w:pPr>
      <w:tabs>
        <w:tab w:val="left" w:pos="851"/>
      </w:tabs>
      <w:jc w:val="left"/>
    </w:pPr>
    <w:rPr>
      <w:b/>
      <w:sz w:val="24"/>
    </w:rPr>
  </w:style>
  <w:style w:type="paragraph" w:customStyle="1" w:styleId="ArttitleS2">
    <w:name w:val="Art_title_S2"/>
    <w:basedOn w:val="Arttitle"/>
    <w:next w:val="NormalS2"/>
    <w:qFormat/>
    <w:pPr>
      <w:tabs>
        <w:tab w:val="left" w:pos="851"/>
      </w:tabs>
      <w:jc w:val="left"/>
    </w:pPr>
    <w:rPr>
      <w:sz w:val="24"/>
    </w:rPr>
  </w:style>
  <w:style w:type="paragraph" w:customStyle="1" w:styleId="ChapNoS2">
    <w:name w:val="Chap_No_S2"/>
    <w:basedOn w:val="ChapNo"/>
    <w:next w:val="ChaptitleS2"/>
    <w:qFormat/>
    <w:pPr>
      <w:tabs>
        <w:tab w:val="left" w:pos="851"/>
      </w:tabs>
      <w:jc w:val="left"/>
    </w:pPr>
    <w:rPr>
      <w:b/>
      <w:sz w:val="24"/>
    </w:rPr>
  </w:style>
  <w:style w:type="paragraph" w:customStyle="1" w:styleId="ChaptitleS2">
    <w:name w:val="Chap_title_S2"/>
    <w:basedOn w:val="Chaptitle"/>
    <w:next w:val="NormalS2"/>
    <w:qFormat/>
    <w:pPr>
      <w:tabs>
        <w:tab w:val="left" w:pos="851"/>
      </w:tabs>
      <w:jc w:val="left"/>
    </w:pPr>
    <w:rPr>
      <w:sz w:val="24"/>
    </w:rPr>
  </w:style>
  <w:style w:type="paragraph" w:customStyle="1" w:styleId="enumlev1S2">
    <w:name w:val="enumlev1_S2"/>
    <w:basedOn w:val="enumlev1"/>
    <w:qFormat/>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qFormat/>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qFormat/>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a9"/>
    <w:qFormat/>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1"/>
    <w:next w:val="NormalS2"/>
    <w:qFormat/>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2"/>
    <w:next w:val="NormalS2"/>
    <w:qFormat/>
    <w:pPr>
      <w:tabs>
        <w:tab w:val="clear" w:pos="567"/>
        <w:tab w:val="clear" w:pos="1134"/>
        <w:tab w:val="clear" w:pos="1701"/>
        <w:tab w:val="clear" w:pos="2268"/>
        <w:tab w:val="clear" w:pos="2835"/>
        <w:tab w:val="left" w:pos="851"/>
      </w:tabs>
    </w:pPr>
  </w:style>
  <w:style w:type="paragraph" w:customStyle="1" w:styleId="Heading3S2">
    <w:name w:val="Heading 3_S2"/>
    <w:basedOn w:val="3"/>
    <w:next w:val="NormalS2"/>
    <w:qFormat/>
    <w:pPr>
      <w:tabs>
        <w:tab w:val="clear" w:pos="567"/>
        <w:tab w:val="clear" w:pos="1134"/>
        <w:tab w:val="clear" w:pos="1701"/>
        <w:tab w:val="clear" w:pos="2268"/>
        <w:tab w:val="clear" w:pos="2835"/>
        <w:tab w:val="left" w:pos="851"/>
      </w:tabs>
    </w:pPr>
  </w:style>
  <w:style w:type="paragraph" w:customStyle="1" w:styleId="Heading4S2">
    <w:name w:val="Heading 4_S2"/>
    <w:basedOn w:val="4"/>
    <w:next w:val="NormalS2"/>
    <w:qFormat/>
    <w:pPr>
      <w:tabs>
        <w:tab w:val="clear" w:pos="567"/>
        <w:tab w:val="clear" w:pos="1134"/>
        <w:tab w:val="clear" w:pos="1701"/>
        <w:tab w:val="clear" w:pos="2268"/>
        <w:tab w:val="clear" w:pos="2835"/>
        <w:tab w:val="left" w:pos="851"/>
      </w:tabs>
    </w:pPr>
  </w:style>
  <w:style w:type="paragraph" w:customStyle="1" w:styleId="Heading5S2">
    <w:name w:val="Heading 5_S2"/>
    <w:basedOn w:val="5"/>
    <w:next w:val="NormalS2"/>
    <w:qFormat/>
    <w:pPr>
      <w:tabs>
        <w:tab w:val="clear" w:pos="567"/>
        <w:tab w:val="clear" w:pos="1134"/>
        <w:tab w:val="clear" w:pos="1701"/>
        <w:tab w:val="clear" w:pos="2268"/>
        <w:tab w:val="clear" w:pos="2835"/>
        <w:tab w:val="left" w:pos="851"/>
      </w:tabs>
    </w:pPr>
  </w:style>
  <w:style w:type="paragraph" w:customStyle="1" w:styleId="Heading6S2">
    <w:name w:val="Heading 6_S2"/>
    <w:basedOn w:val="6"/>
    <w:next w:val="NormalS2"/>
    <w:qFormat/>
    <w:pPr>
      <w:tabs>
        <w:tab w:val="clear" w:pos="567"/>
        <w:tab w:val="clear" w:pos="1134"/>
        <w:tab w:val="clear" w:pos="1701"/>
        <w:tab w:val="clear" w:pos="2268"/>
        <w:tab w:val="clear" w:pos="2835"/>
        <w:tab w:val="left" w:pos="851"/>
      </w:tabs>
    </w:pPr>
  </w:style>
  <w:style w:type="paragraph" w:customStyle="1" w:styleId="Heading7S2">
    <w:name w:val="Heading 7_S2"/>
    <w:basedOn w:val="7"/>
    <w:next w:val="NormalS2"/>
    <w:qFormat/>
    <w:pPr>
      <w:tabs>
        <w:tab w:val="clear" w:pos="567"/>
        <w:tab w:val="clear" w:pos="1134"/>
        <w:tab w:val="clear" w:pos="1701"/>
        <w:tab w:val="clear" w:pos="2268"/>
        <w:tab w:val="clear" w:pos="2835"/>
        <w:tab w:val="left" w:pos="851"/>
      </w:tabs>
    </w:pPr>
  </w:style>
  <w:style w:type="paragraph" w:customStyle="1" w:styleId="Heading8S2">
    <w:name w:val="Heading 8_S2"/>
    <w:basedOn w:val="8"/>
    <w:next w:val="NormalS2"/>
    <w:qFormat/>
    <w:pPr>
      <w:tabs>
        <w:tab w:val="clear" w:pos="567"/>
        <w:tab w:val="clear" w:pos="1134"/>
        <w:tab w:val="clear" w:pos="1701"/>
        <w:tab w:val="clear" w:pos="2268"/>
        <w:tab w:val="clear" w:pos="2835"/>
        <w:tab w:val="left" w:pos="851"/>
      </w:tabs>
    </w:pPr>
  </w:style>
  <w:style w:type="paragraph" w:customStyle="1" w:styleId="Heading9S2">
    <w:name w:val="Heading 9_S2"/>
    <w:basedOn w:val="9"/>
    <w:next w:val="NormalS2"/>
    <w:qFormat/>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qFormat/>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ae"/>
    <w:qFormat/>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qFormat/>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qFormat/>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qFormat/>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qFormat/>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qFormat/>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qFormat/>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qFormat/>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qFormat/>
    <w:pPr>
      <w:tabs>
        <w:tab w:val="left" w:pos="851"/>
      </w:tabs>
      <w:jc w:val="left"/>
    </w:pPr>
    <w:rPr>
      <w:caps/>
      <w:sz w:val="24"/>
    </w:rPr>
  </w:style>
  <w:style w:type="paragraph" w:customStyle="1" w:styleId="Section2S2">
    <w:name w:val="Section 2_S2"/>
    <w:basedOn w:val="Section2"/>
    <w:next w:val="NormalS2"/>
    <w:qFormat/>
    <w:pPr>
      <w:tabs>
        <w:tab w:val="left" w:pos="851"/>
      </w:tabs>
      <w:jc w:val="left"/>
    </w:pPr>
    <w:rPr>
      <w:sz w:val="24"/>
    </w:rPr>
  </w:style>
  <w:style w:type="paragraph" w:customStyle="1" w:styleId="TableNoS2">
    <w:name w:val="Table_No_S2"/>
    <w:basedOn w:val="TableNo"/>
    <w:next w:val="TabletitleS2"/>
    <w:qFormat/>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pPr>
      <w:keepNext w:val="0"/>
      <w:tabs>
        <w:tab w:val="clear" w:pos="2948"/>
        <w:tab w:val="clear" w:pos="4082"/>
        <w:tab w:val="left" w:pos="851"/>
      </w:tabs>
      <w:jc w:val="left"/>
    </w:pPr>
  </w:style>
  <w:style w:type="paragraph" w:customStyle="1" w:styleId="TabletextS2">
    <w:name w:val="Table_text_S2"/>
    <w:basedOn w:val="Tabletext"/>
    <w:qFormat/>
    <w:pPr>
      <w:tabs>
        <w:tab w:val="left" w:pos="851"/>
      </w:tabs>
    </w:pPr>
    <w:rPr>
      <w:b/>
    </w:rPr>
  </w:style>
  <w:style w:type="paragraph" w:customStyle="1" w:styleId="TablelegendS2">
    <w:name w:val="Table_legend_S2"/>
    <w:basedOn w:val="Tablelegend"/>
    <w:qFormat/>
    <w:pPr>
      <w:tabs>
        <w:tab w:val="left" w:pos="851"/>
      </w:tabs>
      <w:spacing w:after="0"/>
    </w:pPr>
    <w:rPr>
      <w:b/>
    </w:rPr>
  </w:style>
  <w:style w:type="paragraph" w:customStyle="1" w:styleId="FooterS2">
    <w:name w:val="Footer_S2"/>
    <w:basedOn w:val="a7"/>
    <w:pPr>
      <w:tabs>
        <w:tab w:val="clear" w:pos="5954"/>
        <w:tab w:val="clear" w:pos="9639"/>
        <w:tab w:val="left" w:pos="3686"/>
        <w:tab w:val="right" w:pos="7655"/>
      </w:tabs>
      <w:ind w:left="-1985"/>
    </w:pPr>
  </w:style>
  <w:style w:type="paragraph" w:customStyle="1" w:styleId="HeaderS2">
    <w:name w:val="Header_S2"/>
    <w:basedOn w:val="a"/>
    <w:qFormat/>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a"/>
    <w:next w:val="Normalaftertitle"/>
    <w:qFormat/>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qFormat/>
    <w:pPr>
      <w:tabs>
        <w:tab w:val="left" w:pos="851"/>
      </w:tabs>
      <w:jc w:val="left"/>
    </w:pPr>
  </w:style>
  <w:style w:type="paragraph" w:customStyle="1" w:styleId="NoteS2">
    <w:name w:val="Note_S2"/>
    <w:basedOn w:val="Note"/>
    <w:qFormat/>
    <w:pPr>
      <w:tabs>
        <w:tab w:val="clear" w:pos="1134"/>
        <w:tab w:val="clear" w:pos="1701"/>
        <w:tab w:val="clear" w:pos="2268"/>
        <w:tab w:val="clear" w:pos="2835"/>
      </w:tabs>
    </w:pPr>
    <w:rPr>
      <w:b/>
    </w:rPr>
  </w:style>
  <w:style w:type="paragraph" w:customStyle="1" w:styleId="HeadingbS2">
    <w:name w:val="Headingb_S2"/>
    <w:basedOn w:val="Headingb"/>
    <w:next w:val="NormalS2"/>
    <w:pPr>
      <w:tabs>
        <w:tab w:val="left" w:pos="851"/>
      </w:tabs>
    </w:pPr>
  </w:style>
  <w:style w:type="paragraph" w:customStyle="1" w:styleId="Headingb">
    <w:name w:val="Heading_b"/>
    <w:basedOn w:val="3"/>
    <w:next w:val="a"/>
    <w:pPr>
      <w:spacing w:before="160"/>
      <w:outlineLvl w:val="0"/>
    </w:pPr>
  </w:style>
  <w:style w:type="paragraph" w:customStyle="1" w:styleId="HeadingiS2">
    <w:name w:val="Headingi_S2"/>
    <w:basedOn w:val="Headingi"/>
    <w:next w:val="NormalS2"/>
    <w:pPr>
      <w:tabs>
        <w:tab w:val="left" w:pos="851"/>
      </w:tabs>
    </w:pPr>
    <w:rPr>
      <w:b/>
      <w:i w:val="0"/>
    </w:rPr>
  </w:style>
  <w:style w:type="paragraph" w:customStyle="1" w:styleId="Headingi">
    <w:name w:val="Heading_i"/>
    <w:basedOn w:val="3"/>
    <w:next w:val="a"/>
    <w:pPr>
      <w:spacing w:before="160"/>
      <w:outlineLvl w:val="0"/>
    </w:pPr>
    <w:rPr>
      <w:rFonts w:asciiTheme="minorHAnsi" w:hAnsiTheme="minorHAnsi"/>
      <w:b w:val="0"/>
      <w:i/>
    </w:rPr>
  </w:style>
  <w:style w:type="paragraph" w:customStyle="1" w:styleId="FirstFooter">
    <w:name w:val="FirstFooter"/>
    <w:basedOn w:val="a7"/>
    <w:rPr>
      <w:caps w:val="0"/>
    </w:rPr>
  </w:style>
  <w:style w:type="paragraph" w:customStyle="1" w:styleId="Heading1c">
    <w:name w:val="Heading 1c"/>
    <w:basedOn w:val="1"/>
    <w:next w:val="a"/>
    <w:qFormat/>
    <w:pPr>
      <w:ind w:left="0" w:firstLine="0"/>
      <w:jc w:val="center"/>
      <w:outlineLvl w:val="9"/>
    </w:pPr>
  </w:style>
  <w:style w:type="paragraph" w:customStyle="1" w:styleId="Heading1cS2">
    <w:name w:val="Heading 1c_S2"/>
    <w:basedOn w:val="Heading1c"/>
    <w:next w:val="NormalS2"/>
    <w:qFormat/>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2"/>
    <w:next w:val="a"/>
    <w:qFormat/>
    <w:rPr>
      <w:b w:val="0"/>
      <w:i/>
    </w:rPr>
  </w:style>
  <w:style w:type="paragraph" w:customStyle="1" w:styleId="Heading2iS2">
    <w:name w:val="Heading 2i_S2"/>
    <w:basedOn w:val="Heading2i"/>
    <w:next w:val="NormalS2"/>
    <w:qFormat/>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a"/>
    <w:qFormat/>
    <w:pPr>
      <w:tabs>
        <w:tab w:val="clear" w:pos="567"/>
        <w:tab w:val="clear" w:pos="1134"/>
        <w:tab w:val="clear" w:pos="1701"/>
        <w:tab w:val="clear" w:pos="2268"/>
        <w:tab w:val="clear" w:pos="2835"/>
      </w:tabs>
      <w:spacing w:before="100" w:beforeAutospacing="1" w:after="100" w:afterAutospacing="1"/>
    </w:pPr>
    <w:rPr>
      <w:rFonts w:eastAsia="SimSun"/>
      <w:szCs w:val="24"/>
      <w:lang w:val="en-US" w:eastAsia="zh-CN"/>
    </w:rPr>
  </w:style>
  <w:style w:type="paragraph" w:customStyle="1" w:styleId="Normalpv">
    <w:name w:val="Normal pv"/>
    <w:basedOn w:val="a"/>
    <w:qFormat/>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1"/>
    <w:next w:val="Normalpv"/>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pPr>
      <w:spacing w:before="320"/>
      <w:outlineLvl w:val="1"/>
    </w:pPr>
    <w:rPr>
      <w:sz w:val="24"/>
    </w:rPr>
  </w:style>
  <w:style w:type="paragraph" w:customStyle="1" w:styleId="Heading3pv">
    <w:name w:val="Heading 3pv"/>
    <w:basedOn w:val="Heading1pv"/>
    <w:next w:val="Normalpv"/>
    <w:qFormat/>
    <w:pPr>
      <w:spacing w:before="200"/>
      <w:outlineLvl w:val="2"/>
    </w:pPr>
    <w:rPr>
      <w:sz w:val="24"/>
    </w:rPr>
  </w:style>
  <w:style w:type="paragraph" w:customStyle="1" w:styleId="SpecialFooter">
    <w:name w:val="Special Footer"/>
    <w:basedOn w:val="a7"/>
    <w:qFormat/>
    <w:pPr>
      <w:tabs>
        <w:tab w:val="left" w:pos="567"/>
        <w:tab w:val="left" w:pos="1134"/>
        <w:tab w:val="left" w:pos="1701"/>
        <w:tab w:val="left" w:pos="2268"/>
        <w:tab w:val="left" w:pos="2835"/>
      </w:tabs>
      <w:jc w:val="both"/>
    </w:pPr>
    <w:rPr>
      <w:rFonts w:ascii="Times New Roman" w:hAnsi="Times New Roman"/>
      <w:caps w:val="0"/>
    </w:rPr>
  </w:style>
  <w:style w:type="paragraph" w:customStyle="1" w:styleId="NormalendS2">
    <w:name w:val="Normal_end_S2"/>
    <w:basedOn w:val="a"/>
    <w:qFormat/>
  </w:style>
  <w:style w:type="paragraph" w:customStyle="1" w:styleId="Dectitle">
    <w:name w:val="Dec_title"/>
    <w:basedOn w:val="Restitle"/>
    <w:next w:val="Normalaftertitle"/>
    <w:qFormat/>
  </w:style>
  <w:style w:type="paragraph" w:customStyle="1" w:styleId="DecNo">
    <w:name w:val="Dec_No"/>
    <w:basedOn w:val="ResNo"/>
    <w:next w:val="Dectitle"/>
    <w:qFormat/>
  </w:style>
  <w:style w:type="paragraph" w:customStyle="1" w:styleId="DectitleS2">
    <w:name w:val="Dec_title_S2"/>
    <w:basedOn w:val="RestitleS2"/>
    <w:next w:val="a"/>
    <w:qFormat/>
  </w:style>
  <w:style w:type="paragraph" w:customStyle="1" w:styleId="DecNoS2">
    <w:name w:val="Dec_No_S2"/>
    <w:basedOn w:val="ResNoS2"/>
    <w:next w:val="DectitleS2"/>
    <w:qFormat/>
  </w:style>
  <w:style w:type="paragraph" w:customStyle="1" w:styleId="Sectiontitle">
    <w:name w:val="Section_title"/>
    <w:basedOn w:val="Arttitle"/>
    <w:next w:val="Normalaftertitle"/>
    <w:qFormat/>
  </w:style>
  <w:style w:type="paragraph" w:customStyle="1" w:styleId="SectionNo">
    <w:name w:val="Section_No"/>
    <w:basedOn w:val="ArtNo"/>
    <w:next w:val="Sectiontitle"/>
    <w:qFormat/>
  </w:style>
  <w:style w:type="paragraph" w:customStyle="1" w:styleId="SectiontitleS2">
    <w:name w:val="Section_title_S2"/>
    <w:basedOn w:val="ArttitleS2"/>
    <w:next w:val="a"/>
    <w:qFormat/>
  </w:style>
  <w:style w:type="paragraph" w:customStyle="1" w:styleId="SectionNoS2">
    <w:name w:val="Section_No_S2"/>
    <w:basedOn w:val="ArtNoS2"/>
    <w:next w:val="SectiontitleS2"/>
    <w:qFormat/>
  </w:style>
  <w:style w:type="paragraph" w:customStyle="1" w:styleId="Proposal">
    <w:name w:val="Proposal"/>
    <w:basedOn w:val="a"/>
    <w:next w:val="a"/>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a"/>
    <w:next w:val="a"/>
    <w:qFormat/>
    <w:pPr>
      <w:tabs>
        <w:tab w:val="clear" w:pos="567"/>
        <w:tab w:val="clear" w:pos="1134"/>
        <w:tab w:val="clear" w:pos="1701"/>
        <w:tab w:val="clear" w:pos="2268"/>
        <w:tab w:val="clear" w:pos="2835"/>
      </w:tabs>
      <w:spacing w:before="240" w:after="200" w:line="276" w:lineRule="auto"/>
      <w:jc w:val="center"/>
    </w:pPr>
    <w:rPr>
      <w:rFonts w:asciiTheme="minorHAnsi" w:eastAsiaTheme="minorEastAsia" w:hAnsiTheme="minorHAnsi" w:cstheme="minorBidi"/>
      <w:sz w:val="28"/>
      <w:szCs w:val="22"/>
      <w:lang w:eastAsia="zh-CN"/>
    </w:rPr>
  </w:style>
  <w:style w:type="paragraph" w:customStyle="1" w:styleId="Committee">
    <w:name w:val="Committee"/>
    <w:basedOn w:val="a"/>
    <w:qFormat/>
    <w:pPr>
      <w:tabs>
        <w:tab w:val="clear" w:pos="567"/>
        <w:tab w:val="clear" w:pos="1134"/>
        <w:tab w:val="clear" w:pos="1701"/>
        <w:tab w:val="clear" w:pos="2268"/>
        <w:tab w:val="clear" w:pos="2835"/>
        <w:tab w:val="left" w:pos="851"/>
      </w:tabs>
      <w:spacing w:before="0" w:after="200" w:line="240" w:lineRule="atLeast"/>
    </w:pPr>
    <w:rPr>
      <w:rFonts w:asciiTheme="minorHAnsi" w:eastAsiaTheme="minorEastAsia" w:hAnsiTheme="minorHAnsi" w:cstheme="minorHAnsi"/>
      <w:b/>
      <w:szCs w:val="24"/>
      <w:lang w:val="en-US" w:eastAsia="zh-CN"/>
    </w:rPr>
  </w:style>
  <w:style w:type="character" w:customStyle="1" w:styleId="ab">
    <w:name w:val="Верхний колонтитул Знак"/>
    <w:basedOn w:val="a0"/>
    <w:link w:val="aa"/>
    <w:rPr>
      <w:rFonts w:ascii="Calibri" w:hAnsi="Calibri"/>
      <w:sz w:val="18"/>
      <w:lang w:val="en-GB" w:eastAsia="en-US"/>
    </w:rPr>
  </w:style>
  <w:style w:type="character" w:customStyle="1" w:styleId="a4">
    <w:name w:val="Текст выноски Знак"/>
    <w:basedOn w:val="a0"/>
    <w:link w:val="a3"/>
    <w:semiHidden/>
    <w:rPr>
      <w:rFonts w:ascii="Tahoma" w:hAnsi="Tahoma" w:cs="Tahoma"/>
      <w:sz w:val="16"/>
      <w:szCs w:val="16"/>
      <w:lang w:val="en-GB" w:eastAsia="en-US"/>
    </w:rPr>
  </w:style>
  <w:style w:type="paragraph" w:customStyle="1" w:styleId="VolumeTitle">
    <w:name w:val="VolumeTitle"/>
    <w:basedOn w:val="a"/>
    <w:next w:val="a"/>
    <w:pPr>
      <w:tabs>
        <w:tab w:val="clear" w:pos="567"/>
        <w:tab w:val="clear" w:pos="1134"/>
        <w:tab w:val="clear" w:pos="1701"/>
        <w:tab w:val="clear" w:pos="2268"/>
        <w:tab w:val="clear" w:pos="2835"/>
      </w:tabs>
      <w:spacing w:before="240" w:after="240"/>
      <w:jc w:val="center"/>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a"/>
    <w:qFormat/>
  </w:style>
  <w:style w:type="paragraph" w:customStyle="1" w:styleId="OP">
    <w:name w:val="OP"/>
    <w:basedOn w:val="a"/>
    <w:next w:val="a"/>
    <w:qFormat/>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a"/>
    <w:next w:val="Normalaftertitle"/>
    <w:qFormat/>
    <w:pPr>
      <w:jc w:val="center"/>
    </w:pPr>
    <w:rPr>
      <w:b/>
      <w:bCs/>
    </w:rPr>
  </w:style>
  <w:style w:type="paragraph" w:customStyle="1" w:styleId="StyleCommitteeAfter0ptLinespacingsingle">
    <w:name w:val="Style Committee + After:  0 pt Line spacing:  single"/>
    <w:basedOn w:val="Committee"/>
    <w:pPr>
      <w:framePr w:wrap="around" w:hAnchor="text" w:y="1"/>
      <w:spacing w:after="0" w:line="240" w:lineRule="auto"/>
    </w:pPr>
    <w:rPr>
      <w:rFonts w:eastAsia="Times New Roman" w:cs="Times New Roman"/>
      <w:bCs/>
      <w:szCs w:val="20"/>
    </w:rPr>
  </w:style>
  <w:style w:type="character" w:customStyle="1" w:styleId="11">
    <w:name w:val="Неразрешенное упоминание1"/>
    <w:basedOn w:val="a0"/>
    <w:uiPriority w:val="99"/>
    <w:semiHidden/>
    <w:unhideWhenUsed/>
    <w:rPr>
      <w:color w:val="605E5C"/>
      <w:shd w:val="clear" w:color="auto" w:fill="E1DFDD"/>
    </w:rPr>
  </w:style>
  <w:style w:type="paragraph" w:customStyle="1" w:styleId="Tabletitle1">
    <w:name w:val="Table_title1"/>
    <w:basedOn w:val="TableNo"/>
    <w:qFormat/>
    <w:pPr>
      <w:tabs>
        <w:tab w:val="left" w:pos="2948"/>
        <w:tab w:val="left" w:pos="4082"/>
      </w:tabs>
      <w:spacing w:before="0"/>
    </w:pPr>
    <w:rPr>
      <w:b/>
      <w:caps w:val="0"/>
    </w:rPr>
  </w:style>
  <w:style w:type="paragraph" w:styleId="af2">
    <w:name w:val="Revision"/>
    <w:hidden/>
    <w:uiPriority w:val="99"/>
    <w:semiHidden/>
    <w:rsid w:val="008A4F81"/>
    <w:rPr>
      <w:rFonts w:ascii="Calibri" w:eastAsia="Times New Roma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image" Target="media/image10.png"/><Relationship Id="rId4"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ED47666F-2A00-4155-AC87-204AE36DBB0C}"/>
</file>

<file path=customXml/itemProps2.xml><?xml version="1.0" encoding="utf-8"?>
<ds:datastoreItem xmlns:ds="http://schemas.openxmlformats.org/officeDocument/2006/customXml" ds:itemID="{68A45223-3B12-4663-83F4-E03A3B6F308D}"/>
</file>

<file path=customXml/itemProps3.xml><?xml version="1.0" encoding="utf-8"?>
<ds:datastoreItem xmlns:ds="http://schemas.openxmlformats.org/officeDocument/2006/customXml" ds:itemID="{17CCB119-78D3-4A4C-A4A3-3992C161E1F1}"/>
</file>

<file path=docProps/app.xml><?xml version="1.0" encoding="utf-8"?>
<Properties xmlns="http://schemas.openxmlformats.org/officeDocument/2006/extended-properties" xmlns:vt="http://schemas.openxmlformats.org/officeDocument/2006/docPropsVTypes">
  <Template>Normal</Template>
  <TotalTime>2</TotalTime>
  <Pages>5</Pages>
  <Words>1575</Words>
  <Characters>8979</Characters>
  <Application>Microsoft Office Word</Application>
  <DocSecurity>4</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dc:creator>GBS</dc:creator>
  <cp:keywords>PP-26, PP26, ITU</cp:keywords>
  <cp:lastModifiedBy>Белодед Александра Юрьевна</cp:lastModifiedBy>
  <cp:revision>2</cp:revision>
  <cp:lastPrinted>2026-10-15T12:03:00Z</cp:lastPrinted>
  <dcterms:created xsi:type="dcterms:W3CDTF">2026-10-19T14:54:00Z</dcterms:created>
  <dcterms:modified xsi:type="dcterms:W3CDTF">2026-10-19T14:54:00Z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B3798242B1C806BB1354CF6A25B9D866_42</vt:lpwstr>
  </property>
  <property fmtid="{D5CDD505-2E9C-101B-9397-08002B2CF9AE}" pid="4" name="ContentTypeId">
    <vt:lpwstr>0x010100F0DAB592EE637447ACDF6A76F83D0896</vt:lpwstr>
  </property>
  <property fmtid="{D5CDD505-2E9C-101B-9397-08002B2CF9AE}" pid="6" name="docLang">
    <vt:lpwstr>en</vt:lpwstr>
  </property>
</Properties>
</file>