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7B41C1" w14:paraId="714392F5" w14:textId="77777777" w:rsidTr="005A329F">
        <w:trPr>
          <w:cantSplit/>
          <w:jc w:val="center"/>
        </w:trPr>
        <w:tc>
          <w:tcPr>
            <w:tcW w:w="10031" w:type="dxa"/>
            <w:gridSpan w:val="2"/>
            <w:tcMar>
              <w:left w:w="0" w:type="dxa"/>
              <w:right w:w="0" w:type="dxa"/>
            </w:tcMar>
            <w:vAlign w:val="center"/>
          </w:tcPr>
          <w:p w14:paraId="5D00582D" w14:textId="77777777" w:rsidR="00BF32F2" w:rsidRPr="007B41C1" w:rsidRDefault="00BF32F2" w:rsidP="00BF32F2">
            <w:pPr>
              <w:spacing w:before="0" w:line="240" w:lineRule="atLeast"/>
              <w:rPr>
                <w:rFonts w:cstheme="minorHAnsi"/>
                <w:lang w:val="es-ES"/>
              </w:rPr>
            </w:pPr>
            <w:bookmarkStart w:id="0" w:name="ditulogo"/>
            <w:bookmarkEnd w:id="0"/>
            <w:r w:rsidRPr="007B41C1">
              <w:rPr>
                <w:rFonts w:cstheme="minorHAnsi"/>
                <w:noProof/>
                <w:lang w:val="es-ES"/>
              </w:rPr>
              <w:drawing>
                <wp:anchor distT="0" distB="0" distL="0" distR="0" simplePos="0" relativeHeight="251658240" behindDoc="1" locked="0" layoutInCell="1" allowOverlap="1" wp14:anchorId="21725A8B" wp14:editId="3B0856F8">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7B41C1" w14:paraId="19518098" w14:textId="77777777" w:rsidTr="005A329F">
        <w:trPr>
          <w:cantSplit/>
          <w:trHeight w:val="283"/>
          <w:jc w:val="center"/>
        </w:trPr>
        <w:tc>
          <w:tcPr>
            <w:tcW w:w="10031" w:type="dxa"/>
            <w:gridSpan w:val="2"/>
            <w:tcBorders>
              <w:bottom w:val="single" w:sz="12" w:space="0" w:color="71716F"/>
            </w:tcBorders>
          </w:tcPr>
          <w:p w14:paraId="4869AE53" w14:textId="77777777" w:rsidR="00277985" w:rsidRPr="007B41C1" w:rsidRDefault="00277985" w:rsidP="00BF32F2">
            <w:pPr>
              <w:spacing w:before="0" w:line="240" w:lineRule="atLeast"/>
              <w:rPr>
                <w:rFonts w:cstheme="minorHAnsi"/>
                <w:b/>
                <w:smallCaps/>
                <w:szCs w:val="24"/>
                <w:lang w:val="es-ES"/>
              </w:rPr>
            </w:pPr>
            <w:bookmarkStart w:id="1" w:name="dhead"/>
          </w:p>
        </w:tc>
      </w:tr>
      <w:tr w:rsidR="00255FA1" w:rsidRPr="007B41C1" w14:paraId="017FAD30" w14:textId="77777777" w:rsidTr="005A329F">
        <w:trPr>
          <w:cantSplit/>
          <w:trHeight w:val="255"/>
          <w:jc w:val="center"/>
        </w:trPr>
        <w:tc>
          <w:tcPr>
            <w:tcW w:w="7229" w:type="dxa"/>
            <w:tcBorders>
              <w:top w:val="single" w:sz="12" w:space="0" w:color="71716F"/>
            </w:tcBorders>
          </w:tcPr>
          <w:p w14:paraId="66BF03E9" w14:textId="77777777" w:rsidR="00255FA1" w:rsidRPr="007B41C1" w:rsidRDefault="00255FA1" w:rsidP="00BF32F2">
            <w:pPr>
              <w:spacing w:before="0"/>
              <w:ind w:firstLine="720"/>
              <w:rPr>
                <w:rFonts w:cstheme="minorHAnsi"/>
                <w:b/>
                <w:smallCaps/>
                <w:szCs w:val="24"/>
                <w:lang w:val="es-ES"/>
              </w:rPr>
            </w:pPr>
          </w:p>
        </w:tc>
        <w:tc>
          <w:tcPr>
            <w:tcW w:w="2802" w:type="dxa"/>
            <w:tcBorders>
              <w:top w:val="single" w:sz="12" w:space="0" w:color="71716F"/>
            </w:tcBorders>
          </w:tcPr>
          <w:p w14:paraId="4905E06E" w14:textId="77777777" w:rsidR="00255FA1" w:rsidRPr="007B41C1" w:rsidRDefault="00255FA1" w:rsidP="00BF32F2">
            <w:pPr>
              <w:spacing w:before="0"/>
              <w:rPr>
                <w:rFonts w:cstheme="minorHAnsi"/>
                <w:szCs w:val="24"/>
                <w:lang w:val="es-ES"/>
              </w:rPr>
            </w:pPr>
          </w:p>
        </w:tc>
      </w:tr>
      <w:tr w:rsidR="00255FA1" w:rsidRPr="007B41C1" w14:paraId="1C62F4CA" w14:textId="77777777" w:rsidTr="005A329F">
        <w:trPr>
          <w:cantSplit/>
          <w:jc w:val="center"/>
        </w:trPr>
        <w:tc>
          <w:tcPr>
            <w:tcW w:w="7229" w:type="dxa"/>
          </w:tcPr>
          <w:p w14:paraId="1A23BA05" w14:textId="77777777" w:rsidR="00255FA1" w:rsidRPr="007B41C1" w:rsidRDefault="00255FA1" w:rsidP="003B5DC9">
            <w:pPr>
              <w:pStyle w:val="Committee"/>
              <w:framePr w:hSpace="0" w:wrap="auto" w:hAnchor="text" w:yAlign="inline"/>
              <w:spacing w:after="0" w:line="240" w:lineRule="auto"/>
              <w:rPr>
                <w:lang w:val="es-ES"/>
              </w:rPr>
            </w:pPr>
            <w:r w:rsidRPr="007B41C1">
              <w:rPr>
                <w:lang w:val="es-ES"/>
              </w:rPr>
              <w:t>SESIÓN PLENARIA</w:t>
            </w:r>
          </w:p>
        </w:tc>
        <w:tc>
          <w:tcPr>
            <w:tcW w:w="2802" w:type="dxa"/>
          </w:tcPr>
          <w:p w14:paraId="67A41267" w14:textId="77777777" w:rsidR="00255FA1" w:rsidRPr="007B41C1" w:rsidRDefault="00255FA1" w:rsidP="003B5DC9">
            <w:pPr>
              <w:spacing w:before="0"/>
              <w:rPr>
                <w:rFonts w:cstheme="minorHAnsi"/>
                <w:szCs w:val="24"/>
                <w:lang w:val="es-ES"/>
              </w:rPr>
            </w:pPr>
            <w:r w:rsidRPr="007B41C1">
              <w:rPr>
                <w:rFonts w:cstheme="minorHAnsi"/>
                <w:b/>
                <w:szCs w:val="24"/>
                <w:lang w:val="es-ES"/>
              </w:rPr>
              <w:t>Addéndum 40 al</w:t>
            </w:r>
            <w:r w:rsidRPr="007B41C1">
              <w:rPr>
                <w:rFonts w:cstheme="minorHAnsi"/>
                <w:b/>
                <w:szCs w:val="24"/>
                <w:lang w:val="es-ES"/>
              </w:rPr>
              <w:br/>
              <w:t>Documento 91</w:t>
            </w:r>
            <w:r w:rsidR="00262FF4" w:rsidRPr="007B41C1">
              <w:rPr>
                <w:rFonts w:cstheme="minorHAnsi"/>
                <w:b/>
                <w:szCs w:val="24"/>
                <w:lang w:val="es-ES"/>
              </w:rPr>
              <w:t>-S</w:t>
            </w:r>
          </w:p>
        </w:tc>
      </w:tr>
      <w:tr w:rsidR="00255FA1" w:rsidRPr="007B41C1" w14:paraId="0B965393" w14:textId="77777777" w:rsidTr="005A329F">
        <w:trPr>
          <w:cantSplit/>
          <w:jc w:val="center"/>
        </w:trPr>
        <w:tc>
          <w:tcPr>
            <w:tcW w:w="7229" w:type="dxa"/>
          </w:tcPr>
          <w:p w14:paraId="1B55B2D1" w14:textId="77777777" w:rsidR="00255FA1" w:rsidRPr="007B41C1" w:rsidRDefault="00255FA1" w:rsidP="003B5DC9">
            <w:pPr>
              <w:spacing w:before="0"/>
              <w:rPr>
                <w:rFonts w:cstheme="minorHAnsi"/>
                <w:b/>
                <w:szCs w:val="24"/>
                <w:lang w:val="es-ES"/>
              </w:rPr>
            </w:pPr>
          </w:p>
        </w:tc>
        <w:tc>
          <w:tcPr>
            <w:tcW w:w="2802" w:type="dxa"/>
          </w:tcPr>
          <w:p w14:paraId="41B9AFB4" w14:textId="77777777" w:rsidR="00255FA1" w:rsidRPr="007B41C1" w:rsidRDefault="00255FA1" w:rsidP="003B5DC9">
            <w:pPr>
              <w:spacing w:before="0"/>
              <w:rPr>
                <w:rFonts w:cstheme="minorHAnsi"/>
                <w:b/>
                <w:szCs w:val="24"/>
                <w:lang w:val="es-ES"/>
              </w:rPr>
            </w:pPr>
            <w:r w:rsidRPr="007B41C1">
              <w:rPr>
                <w:rFonts w:cstheme="minorHAnsi"/>
                <w:b/>
                <w:szCs w:val="24"/>
                <w:lang w:val="es-ES"/>
              </w:rPr>
              <w:t>19 de octubre de 2026</w:t>
            </w:r>
          </w:p>
        </w:tc>
      </w:tr>
      <w:tr w:rsidR="00255FA1" w:rsidRPr="007B41C1" w14:paraId="61625043" w14:textId="77777777" w:rsidTr="005A329F">
        <w:trPr>
          <w:cantSplit/>
          <w:jc w:val="center"/>
        </w:trPr>
        <w:tc>
          <w:tcPr>
            <w:tcW w:w="7229" w:type="dxa"/>
          </w:tcPr>
          <w:p w14:paraId="2110F74F" w14:textId="77777777" w:rsidR="00255FA1" w:rsidRPr="007B41C1" w:rsidRDefault="00255FA1" w:rsidP="003B5DC9">
            <w:pPr>
              <w:spacing w:before="0"/>
              <w:rPr>
                <w:rFonts w:cstheme="minorHAnsi"/>
                <w:b/>
                <w:smallCaps/>
                <w:szCs w:val="24"/>
                <w:lang w:val="es-ES"/>
              </w:rPr>
            </w:pPr>
          </w:p>
        </w:tc>
        <w:tc>
          <w:tcPr>
            <w:tcW w:w="2802" w:type="dxa"/>
          </w:tcPr>
          <w:p w14:paraId="22EC616D" w14:textId="77777777" w:rsidR="00255FA1" w:rsidRPr="007B41C1" w:rsidRDefault="00255FA1" w:rsidP="003B5DC9">
            <w:pPr>
              <w:spacing w:before="0"/>
              <w:rPr>
                <w:rFonts w:cstheme="minorHAnsi"/>
                <w:b/>
                <w:szCs w:val="24"/>
                <w:lang w:val="es-ES"/>
              </w:rPr>
            </w:pPr>
            <w:r w:rsidRPr="007B41C1">
              <w:rPr>
                <w:rFonts w:cstheme="minorHAnsi"/>
                <w:b/>
                <w:szCs w:val="24"/>
                <w:lang w:val="es-ES"/>
              </w:rPr>
              <w:t>Original: inglés</w:t>
            </w:r>
          </w:p>
        </w:tc>
      </w:tr>
      <w:tr w:rsidR="00255FA1" w:rsidRPr="007B41C1" w14:paraId="164ED9ED" w14:textId="77777777" w:rsidTr="005A329F">
        <w:trPr>
          <w:cantSplit/>
          <w:jc w:val="center"/>
        </w:trPr>
        <w:tc>
          <w:tcPr>
            <w:tcW w:w="10031" w:type="dxa"/>
            <w:gridSpan w:val="2"/>
          </w:tcPr>
          <w:p w14:paraId="13AE06FD" w14:textId="77777777" w:rsidR="00255FA1" w:rsidRPr="007B41C1" w:rsidRDefault="00255FA1" w:rsidP="003B5DC9">
            <w:pPr>
              <w:spacing w:before="0" w:line="240" w:lineRule="atLeast"/>
              <w:rPr>
                <w:rFonts w:cstheme="minorHAnsi"/>
                <w:b/>
                <w:szCs w:val="24"/>
                <w:lang w:val="es-ES"/>
              </w:rPr>
            </w:pPr>
          </w:p>
        </w:tc>
      </w:tr>
      <w:tr w:rsidR="00255FA1" w:rsidRPr="007B41C1" w14:paraId="45139365" w14:textId="77777777" w:rsidTr="005A329F">
        <w:trPr>
          <w:cantSplit/>
          <w:jc w:val="center"/>
        </w:trPr>
        <w:tc>
          <w:tcPr>
            <w:tcW w:w="10031" w:type="dxa"/>
            <w:gridSpan w:val="2"/>
          </w:tcPr>
          <w:p w14:paraId="6A0B0D8C" w14:textId="77777777" w:rsidR="00255FA1" w:rsidRPr="007B41C1" w:rsidRDefault="00255FA1" w:rsidP="003B5DC9">
            <w:pPr>
              <w:pStyle w:val="Source"/>
              <w:rPr>
                <w:lang w:val="es-ES"/>
              </w:rPr>
            </w:pPr>
            <w:bookmarkStart w:id="2" w:name="dsource" w:colFirst="0" w:colLast="0"/>
            <w:bookmarkEnd w:id="1"/>
            <w:r w:rsidRPr="007B41C1">
              <w:rPr>
                <w:lang w:val="es-ES"/>
              </w:rPr>
              <w:t>Administraciones de los Estados Árabes</w:t>
            </w:r>
          </w:p>
        </w:tc>
      </w:tr>
      <w:tr w:rsidR="00255FA1" w:rsidRPr="007B41C1" w14:paraId="7640651B" w14:textId="77777777" w:rsidTr="005A329F">
        <w:trPr>
          <w:cantSplit/>
          <w:jc w:val="center"/>
        </w:trPr>
        <w:tc>
          <w:tcPr>
            <w:tcW w:w="10031" w:type="dxa"/>
            <w:gridSpan w:val="2"/>
          </w:tcPr>
          <w:p w14:paraId="1B0A53DF" w14:textId="1CA3AD66" w:rsidR="00255FA1" w:rsidRPr="007B41C1" w:rsidRDefault="00AF3E5D" w:rsidP="00AF3E5D">
            <w:pPr>
              <w:pStyle w:val="Title1"/>
              <w:rPr>
                <w:lang w:val="es-ES"/>
              </w:rPr>
            </w:pPr>
            <w:bookmarkStart w:id="3" w:name="dtitle1" w:colFirst="0" w:colLast="0"/>
            <w:bookmarkEnd w:id="2"/>
            <w:r w:rsidRPr="007B41C1">
              <w:rPr>
                <w:lang w:val="es-ES"/>
              </w:rPr>
              <w:t>PROYECTO DE NUEVA RESOLUCIÓN</w:t>
            </w:r>
          </w:p>
        </w:tc>
      </w:tr>
      <w:tr w:rsidR="00255FA1" w:rsidRPr="007B41C1" w14:paraId="32EDF2E1" w14:textId="77777777" w:rsidTr="005A329F">
        <w:trPr>
          <w:cantSplit/>
          <w:jc w:val="center"/>
        </w:trPr>
        <w:tc>
          <w:tcPr>
            <w:tcW w:w="10031" w:type="dxa"/>
            <w:gridSpan w:val="2"/>
          </w:tcPr>
          <w:p w14:paraId="1F73A782" w14:textId="03D27E5B" w:rsidR="00255FA1" w:rsidRPr="007B41C1" w:rsidRDefault="00255FA1" w:rsidP="00AF3E5D">
            <w:pPr>
              <w:pStyle w:val="Title2"/>
              <w:rPr>
                <w:lang w:val="es-ES"/>
              </w:rPr>
            </w:pPr>
            <w:bookmarkStart w:id="4" w:name="dtitle2" w:colFirst="0" w:colLast="0"/>
            <w:bookmarkEnd w:id="3"/>
            <w:r w:rsidRPr="007B41C1">
              <w:rPr>
                <w:lang w:val="es-ES"/>
              </w:rPr>
              <w:t>Resilie</w:t>
            </w:r>
            <w:r w:rsidR="00AF3E5D" w:rsidRPr="007B41C1">
              <w:rPr>
                <w:lang w:val="es-ES"/>
              </w:rPr>
              <w:t>NCIA DE LOS CABLES DE TELECOMUNICACIONES SUBMARINOS</w:t>
            </w:r>
          </w:p>
        </w:tc>
      </w:tr>
      <w:tr w:rsidR="00255FA1" w:rsidRPr="007B41C1" w14:paraId="1A055A78" w14:textId="77777777" w:rsidTr="005A329F">
        <w:trPr>
          <w:cantSplit/>
          <w:jc w:val="center"/>
        </w:trPr>
        <w:tc>
          <w:tcPr>
            <w:tcW w:w="10031" w:type="dxa"/>
            <w:gridSpan w:val="2"/>
          </w:tcPr>
          <w:p w14:paraId="6D8B749B" w14:textId="77777777" w:rsidR="00255FA1" w:rsidRPr="007B41C1" w:rsidRDefault="00255FA1" w:rsidP="003B5DC9">
            <w:pPr>
              <w:pStyle w:val="Agendaitem"/>
              <w:rPr>
                <w:lang w:val="es-ES"/>
              </w:rPr>
            </w:pPr>
            <w:bookmarkStart w:id="5" w:name="dtitle3" w:colFirst="0" w:colLast="0"/>
            <w:bookmarkEnd w:id="4"/>
          </w:p>
        </w:tc>
      </w:tr>
    </w:tbl>
    <w:bookmarkEnd w:id="5"/>
    <w:p w14:paraId="58FBC725" w14:textId="77777777" w:rsidR="002A077E" w:rsidRPr="007B41C1" w:rsidRDefault="002A077E" w:rsidP="007B41C1">
      <w:pPr>
        <w:pStyle w:val="Headingb"/>
        <w:rPr>
          <w:lang w:val="es-ES"/>
        </w:rPr>
      </w:pPr>
      <w:r w:rsidRPr="007B41C1">
        <w:rPr>
          <w:lang w:val="es-ES"/>
        </w:rPr>
        <w:t>Resumen</w:t>
      </w:r>
    </w:p>
    <w:p w14:paraId="4E13ACAF" w14:textId="5BD57697" w:rsidR="002A077E" w:rsidRPr="007B41C1" w:rsidRDefault="002A077E" w:rsidP="007B41C1">
      <w:pPr>
        <w:rPr>
          <w:lang w:val="es-ES"/>
        </w:rPr>
      </w:pPr>
      <w:r w:rsidRPr="007B41C1">
        <w:rPr>
          <w:lang w:val="es-ES"/>
        </w:rPr>
        <w:t>Los cables submarinos transportan alrededor del 99</w:t>
      </w:r>
      <w:r w:rsidR="003E5C5E">
        <w:rPr>
          <w:lang w:val="es-ES"/>
        </w:rPr>
        <w:t xml:space="preserve"> </w:t>
      </w:r>
      <w:r w:rsidRPr="007B41C1">
        <w:rPr>
          <w:lang w:val="es-ES"/>
        </w:rPr>
        <w:t>% del tráfico internacional de datos, pero siguen siendo vulnerables a accidentes y peligros naturales, muchos países en desarrollo dependen de pocos cables y puntos de amarre, y las reparaciones suelen verse retrasadas por autorizaciones complejas y una capacidad de reparación limitada. Basándose en la labor del Órgano Consultivo Internacional para la Resiliencia de los Cables Submarinos, en esta contribución se propone un proyecto de nueva Resolución que otorgue a la UIT un mandato intersectorial para apoyar la aplicación de las recomendaciones del Órgano Consultivo, ayudar a los países en desarrollo a fortalecer la capacidad de redundancia y reparación, y alentar a los Estados Miembros a racionalizar los procedimientos de tendido, mantenimiento y reparación de cables, respetando plenamente la soberanía nacional.</w:t>
      </w:r>
    </w:p>
    <w:p w14:paraId="63D49209" w14:textId="77777777" w:rsidR="002A077E" w:rsidRPr="007B41C1" w:rsidRDefault="002A077E" w:rsidP="007B41C1">
      <w:pPr>
        <w:pStyle w:val="Headingb"/>
        <w:rPr>
          <w:lang w:val="es-ES"/>
        </w:rPr>
      </w:pPr>
      <w:r w:rsidRPr="007B41C1">
        <w:rPr>
          <w:lang w:val="es-ES"/>
        </w:rPr>
        <w:t>Acción solicitada</w:t>
      </w:r>
    </w:p>
    <w:p w14:paraId="5A6C6052" w14:textId="6CF342A7" w:rsidR="00504FD4" w:rsidRPr="007B41C1" w:rsidRDefault="002A077E" w:rsidP="007B41C1">
      <w:pPr>
        <w:rPr>
          <w:lang w:val="es-ES"/>
        </w:rPr>
      </w:pPr>
      <w:r w:rsidRPr="007B41C1">
        <w:rPr>
          <w:lang w:val="es-ES"/>
        </w:rPr>
        <w:t>Se invita a la Conferencia de Plenipotenciarios a examinar el presente documento y a aprobar el proyecto de nueva Resolución sobre la resiliencia de los cables submarinos de telecomunicaciones que figura en el mismo.</w:t>
      </w:r>
    </w:p>
    <w:p w14:paraId="0AB80282" w14:textId="77777777" w:rsidR="00255FA1" w:rsidRPr="007B41C1"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lang w:val="es-ES"/>
        </w:rPr>
      </w:pPr>
      <w:r w:rsidRPr="007B41C1">
        <w:rPr>
          <w:rStyle w:val="PageNumber"/>
          <w:lang w:val="es-ES"/>
        </w:rPr>
        <w:br w:type="page"/>
      </w:r>
    </w:p>
    <w:p w14:paraId="5044EB19" w14:textId="77777777" w:rsidR="00775C8B" w:rsidRPr="007B41C1" w:rsidRDefault="009A4B98">
      <w:pPr>
        <w:pStyle w:val="Proposal"/>
        <w:rPr>
          <w:lang w:val="es-ES"/>
        </w:rPr>
      </w:pPr>
      <w:r w:rsidRPr="007B41C1">
        <w:rPr>
          <w:lang w:val="es-ES"/>
        </w:rPr>
        <w:lastRenderedPageBreak/>
        <w:t>ADD</w:t>
      </w:r>
      <w:r w:rsidRPr="007B41C1">
        <w:rPr>
          <w:lang w:val="es-ES"/>
        </w:rPr>
        <w:tab/>
        <w:t>ARB/91A40/1</w:t>
      </w:r>
    </w:p>
    <w:p w14:paraId="7EFC0EEC" w14:textId="77777777" w:rsidR="00775C8B" w:rsidRPr="007B41C1" w:rsidRDefault="009A4B98">
      <w:pPr>
        <w:pStyle w:val="ResNo"/>
        <w:rPr>
          <w:lang w:val="es-ES"/>
        </w:rPr>
      </w:pPr>
      <w:r w:rsidRPr="007B41C1">
        <w:rPr>
          <w:lang w:val="es-ES"/>
        </w:rPr>
        <w:t>Proyecto de nueva Resolución [ARB-6]</w:t>
      </w:r>
    </w:p>
    <w:p w14:paraId="26D562B4" w14:textId="574AF87B" w:rsidR="00775C8B" w:rsidRPr="007B41C1" w:rsidRDefault="00C40CDA">
      <w:pPr>
        <w:pStyle w:val="Restitle"/>
        <w:rPr>
          <w:lang w:val="es-ES"/>
        </w:rPr>
      </w:pPr>
      <w:r w:rsidRPr="007B41C1">
        <w:rPr>
          <w:lang w:val="es-ES"/>
        </w:rPr>
        <w:t>Resiliencia de los cables submarinos de telecomunicaciones</w:t>
      </w:r>
    </w:p>
    <w:p w14:paraId="0A82CB53" w14:textId="5BC3DB94" w:rsidR="002A077E" w:rsidRPr="007B41C1" w:rsidRDefault="002A077E" w:rsidP="007B41C1">
      <w:pPr>
        <w:rPr>
          <w:lang w:val="es-ES"/>
        </w:rPr>
      </w:pPr>
      <w:r w:rsidRPr="007B41C1">
        <w:rPr>
          <w:lang w:val="es-ES"/>
        </w:rPr>
        <w:t>La Conferencia de Plenipotenciarios de la Unión Internacional de Telecomunicaciones (Doha,</w:t>
      </w:r>
      <w:r w:rsidR="007B41C1" w:rsidRPr="007B41C1">
        <w:rPr>
          <w:lang w:val="es-ES"/>
        </w:rPr>
        <w:t> </w:t>
      </w:r>
      <w:r w:rsidRPr="007B41C1">
        <w:rPr>
          <w:lang w:val="es-ES"/>
        </w:rPr>
        <w:t>2026),</w:t>
      </w:r>
    </w:p>
    <w:p w14:paraId="56BEE147" w14:textId="03CBAEF6" w:rsidR="002A077E" w:rsidRPr="007B41C1" w:rsidRDefault="002A077E" w:rsidP="007B41C1">
      <w:pPr>
        <w:pStyle w:val="Call"/>
        <w:rPr>
          <w:lang w:val="es-ES"/>
        </w:rPr>
      </w:pPr>
      <w:r w:rsidRPr="007B41C1">
        <w:rPr>
          <w:lang w:val="es-ES"/>
        </w:rPr>
        <w:t>recordando</w:t>
      </w:r>
    </w:p>
    <w:p w14:paraId="73D54E7C" w14:textId="77777777" w:rsidR="002A077E" w:rsidRPr="007B41C1" w:rsidRDefault="002A077E" w:rsidP="007B41C1">
      <w:pPr>
        <w:rPr>
          <w:lang w:val="es-ES"/>
        </w:rPr>
      </w:pPr>
      <w:r w:rsidRPr="00E85FEE">
        <w:rPr>
          <w:i/>
          <w:iCs/>
          <w:lang w:val="es-ES"/>
        </w:rPr>
        <w:t>a)</w:t>
      </w:r>
      <w:r w:rsidRPr="007B41C1">
        <w:rPr>
          <w:lang w:val="es-ES"/>
        </w:rPr>
        <w:tab/>
        <w:t>el Artículo 1 de la Constitución, en el que se encarga a la Unión que promueva la cooperación internacional con miras a mejorar las telecomunicaciones y a prestar asistencia técnica a los países en desarrollo;</w:t>
      </w:r>
    </w:p>
    <w:p w14:paraId="5930E840" w14:textId="77777777" w:rsidR="002A077E" w:rsidRPr="007B41C1" w:rsidRDefault="002A077E" w:rsidP="007B41C1">
      <w:pPr>
        <w:rPr>
          <w:lang w:val="es-ES"/>
        </w:rPr>
      </w:pPr>
      <w:r w:rsidRPr="00E85FEE">
        <w:rPr>
          <w:i/>
          <w:iCs/>
          <w:lang w:val="es-ES"/>
        </w:rPr>
        <w:t>b)</w:t>
      </w:r>
      <w:r w:rsidRPr="007B41C1">
        <w:rPr>
          <w:lang w:val="es-ES"/>
        </w:rPr>
        <w:tab/>
        <w:t>la Resolución 71 (Rev. Bucarest, 2022) de la Conferencia de Plenipotenciarios, Plan Estratégico de la Unión para 2024-2027;</w:t>
      </w:r>
    </w:p>
    <w:p w14:paraId="444ACD2B" w14:textId="77777777" w:rsidR="002A077E" w:rsidRPr="007B41C1" w:rsidRDefault="002A077E" w:rsidP="007B41C1">
      <w:pPr>
        <w:rPr>
          <w:lang w:val="es-ES"/>
        </w:rPr>
      </w:pPr>
      <w:r w:rsidRPr="00E85FEE">
        <w:rPr>
          <w:i/>
          <w:iCs/>
          <w:lang w:val="es-ES"/>
        </w:rPr>
        <w:t>c)</w:t>
      </w:r>
      <w:r w:rsidRPr="007B41C1">
        <w:rPr>
          <w:lang w:val="es-ES"/>
        </w:rPr>
        <w:tab/>
        <w:t>la Resolución 136 (Rev. Bucarest, 2022) de la Conferencia de Plenipotenciarios, Utilización de las telecomunicaciones/tecnologías de la información y la comunicación al servicio de la asistencia humanitaria y en el control y la gestión de situaciones de emergencia y catástrofes, incluidas las situaciones de emergencia sanitaria, la alerta temprana, la prevención, la mitigación y las operaciones de socorro;</w:t>
      </w:r>
    </w:p>
    <w:p w14:paraId="04ADD65F" w14:textId="77777777" w:rsidR="002A077E" w:rsidRPr="007B41C1" w:rsidRDefault="002A077E" w:rsidP="007B41C1">
      <w:pPr>
        <w:rPr>
          <w:lang w:val="es-ES"/>
        </w:rPr>
      </w:pPr>
      <w:r w:rsidRPr="00E85FEE">
        <w:rPr>
          <w:i/>
          <w:iCs/>
          <w:lang w:val="es-ES"/>
        </w:rPr>
        <w:t>d)</w:t>
      </w:r>
      <w:r w:rsidRPr="007B41C1">
        <w:rPr>
          <w:lang w:val="es-ES"/>
        </w:rPr>
        <w:tab/>
        <w:t>la Resolución 130 (Rev. Bucarest, 2022) de la Conferencia de Plenipotenciarios, Fortalecimiento del papel de la UIT en la creación de confianza y seguridad en la utilización de las tecnologías de la información y la comunicación;</w:t>
      </w:r>
    </w:p>
    <w:p w14:paraId="1C05B5A2" w14:textId="77777777" w:rsidR="002A077E" w:rsidRPr="007B41C1" w:rsidRDefault="002A077E" w:rsidP="007B41C1">
      <w:pPr>
        <w:rPr>
          <w:lang w:val="es-ES"/>
        </w:rPr>
      </w:pPr>
      <w:r w:rsidRPr="00E85FEE">
        <w:rPr>
          <w:i/>
          <w:iCs/>
          <w:lang w:val="es-ES"/>
        </w:rPr>
        <w:t>e)</w:t>
      </w:r>
      <w:r w:rsidRPr="007B41C1">
        <w:rPr>
          <w:lang w:val="es-ES"/>
        </w:rPr>
        <w:tab/>
        <w:t>la Resolución 139 (Bucarest, 2022) de la Conferencia de Plenipotenciarios, Utilización de las telecomunicaciones/tecnologías de la información y la comunicación (TIC) para reducir la brecha digital y crear una sociedad de la información inclusiva;</w:t>
      </w:r>
    </w:p>
    <w:p w14:paraId="2215C765" w14:textId="77777777" w:rsidR="002A077E" w:rsidRPr="007B41C1" w:rsidRDefault="002A077E" w:rsidP="007B41C1">
      <w:pPr>
        <w:rPr>
          <w:lang w:val="es-ES"/>
        </w:rPr>
      </w:pPr>
      <w:r w:rsidRPr="00E85FEE">
        <w:rPr>
          <w:i/>
          <w:iCs/>
          <w:lang w:val="es-ES"/>
        </w:rPr>
        <w:t>f)</w:t>
      </w:r>
      <w:r w:rsidRPr="007B41C1">
        <w:rPr>
          <w:lang w:val="es-ES"/>
        </w:rPr>
        <w:tab/>
        <w:t>la Resolución 191 (Rev. Bucarest, 2022) de la Conferencia de Plenipotenciarios, Estrategia de coordinación de los trabajos de los tres Sectores de la Unión;</w:t>
      </w:r>
    </w:p>
    <w:p w14:paraId="388F225E" w14:textId="6B2EA20C" w:rsidR="002A077E" w:rsidRPr="007B41C1" w:rsidRDefault="002A077E" w:rsidP="007B41C1">
      <w:pPr>
        <w:rPr>
          <w:lang w:val="es-ES"/>
        </w:rPr>
      </w:pPr>
      <w:r w:rsidRPr="00E85FEE">
        <w:rPr>
          <w:i/>
          <w:iCs/>
          <w:lang w:val="es-ES"/>
        </w:rPr>
        <w:t>g)</w:t>
      </w:r>
      <w:r w:rsidRPr="007B41C1">
        <w:rPr>
          <w:lang w:val="es-ES"/>
        </w:rPr>
        <w:tab/>
        <w:t xml:space="preserve">la Declaración de Bakú y el Plan de Acción de Bakú adoptados por la Conferencia Mundial de Desarrollo de las Telecomunicaciones (Bakú, 2025), en particular la prioridad del UIT-D sobre las </w:t>
      </w:r>
      <w:r w:rsidR="003E5C5E">
        <w:rPr>
          <w:lang w:val="es-ES"/>
        </w:rPr>
        <w:t>"</w:t>
      </w:r>
      <w:r w:rsidRPr="007B41C1">
        <w:rPr>
          <w:lang w:val="es-ES"/>
        </w:rPr>
        <w:t>telecomunicaciones/TIC inclusivas y seguras para el desarrollo sostenible</w:t>
      </w:r>
      <w:r w:rsidR="003E5C5E">
        <w:rPr>
          <w:lang w:val="es-ES"/>
        </w:rPr>
        <w:t>"</w:t>
      </w:r>
      <w:r w:rsidRPr="007B41C1">
        <w:rPr>
          <w:lang w:val="es-ES"/>
        </w:rPr>
        <w:t xml:space="preserve"> y las iniciativas regionales para África y las Américas dedicadas a la infraestructura digital resiliente,</w:t>
      </w:r>
    </w:p>
    <w:p w14:paraId="66263E39" w14:textId="3803BFF3" w:rsidR="002A077E" w:rsidRPr="007B41C1" w:rsidRDefault="002A077E" w:rsidP="007B41C1">
      <w:pPr>
        <w:pStyle w:val="Call"/>
        <w:rPr>
          <w:lang w:val="es-ES"/>
        </w:rPr>
      </w:pPr>
      <w:r w:rsidRPr="007B41C1">
        <w:rPr>
          <w:lang w:val="es-ES"/>
        </w:rPr>
        <w:t>considerando</w:t>
      </w:r>
    </w:p>
    <w:p w14:paraId="642DF4E2" w14:textId="6FA087E0" w:rsidR="002A077E" w:rsidRPr="007B41C1" w:rsidRDefault="002A077E" w:rsidP="007B41C1">
      <w:pPr>
        <w:rPr>
          <w:lang w:val="es-ES"/>
        </w:rPr>
      </w:pPr>
      <w:r w:rsidRPr="00E85FEE">
        <w:rPr>
          <w:i/>
          <w:iCs/>
          <w:lang w:val="es-ES"/>
        </w:rPr>
        <w:t>a)</w:t>
      </w:r>
      <w:r w:rsidRPr="007B41C1">
        <w:rPr>
          <w:lang w:val="es-ES"/>
        </w:rPr>
        <w:tab/>
        <w:t>que la gran mayoría del tráfico internacional de datos (99</w:t>
      </w:r>
      <w:r w:rsidR="00E85FEE">
        <w:rPr>
          <w:lang w:val="es-ES"/>
        </w:rPr>
        <w:t xml:space="preserve"> </w:t>
      </w:r>
      <w:r w:rsidRPr="007B41C1">
        <w:rPr>
          <w:lang w:val="es-ES"/>
        </w:rPr>
        <w:t>%) pasa por cables submarinos, de los que dependen la economía digital, los servicios financieros, la salud, la educación y el funcionamiento de los servicios públicos;</w:t>
      </w:r>
    </w:p>
    <w:p w14:paraId="52187CAF" w14:textId="77777777" w:rsidR="002A077E" w:rsidRPr="007B41C1" w:rsidRDefault="002A077E" w:rsidP="007B41C1">
      <w:pPr>
        <w:rPr>
          <w:lang w:val="es-ES"/>
        </w:rPr>
      </w:pPr>
      <w:r w:rsidRPr="00E85FEE">
        <w:rPr>
          <w:i/>
          <w:iCs/>
          <w:lang w:val="es-ES"/>
        </w:rPr>
        <w:t>b)</w:t>
      </w:r>
      <w:r w:rsidRPr="007B41C1">
        <w:rPr>
          <w:lang w:val="es-ES"/>
        </w:rPr>
        <w:tab/>
        <w:t>que los cables submarinos de telecomunicaciones y sus estaciones de amarre son vulnerables a los accidentes y a los peligros naturales, y que una sola ruptura puede privar a un país o a una región de una parte grande, pequeña o de la totalidad de su conectividad;</w:t>
      </w:r>
    </w:p>
    <w:p w14:paraId="107425B6" w14:textId="77777777" w:rsidR="002A077E" w:rsidRPr="007B41C1" w:rsidRDefault="002A077E" w:rsidP="007B41C1">
      <w:pPr>
        <w:rPr>
          <w:lang w:val="es-ES"/>
        </w:rPr>
      </w:pPr>
      <w:r w:rsidRPr="00E85FEE">
        <w:rPr>
          <w:i/>
          <w:iCs/>
          <w:lang w:val="es-ES"/>
        </w:rPr>
        <w:t>c)</w:t>
      </w:r>
      <w:r w:rsidRPr="007B41C1">
        <w:rPr>
          <w:lang w:val="es-ES"/>
        </w:rPr>
        <w:tab/>
        <w:t>que muchos países en desarrollo, incluidos los países menos adelantados, los pequeños Estados insulares en desarrollo y los países sin litoral, tienen acceso a un número limitado de cables y puntos de amarre;</w:t>
      </w:r>
    </w:p>
    <w:p w14:paraId="52D76C51" w14:textId="77777777" w:rsidR="002A077E" w:rsidRPr="007B41C1" w:rsidRDefault="002A077E" w:rsidP="007B41C1">
      <w:pPr>
        <w:rPr>
          <w:lang w:val="es-ES"/>
        </w:rPr>
      </w:pPr>
      <w:r w:rsidRPr="00E85FEE">
        <w:rPr>
          <w:i/>
          <w:iCs/>
          <w:lang w:val="es-ES"/>
        </w:rPr>
        <w:lastRenderedPageBreak/>
        <w:t>d)</w:t>
      </w:r>
      <w:r w:rsidRPr="007B41C1">
        <w:rPr>
          <w:lang w:val="es-ES"/>
        </w:rPr>
        <w:tab/>
        <w:t>que las reparaciones suelen llevar un tiempo considerable debido a la complejidad de los procedimientos de autorización, la falta de barcos disponibles o la coordinación insuficiente entre las partes interesadas;</w:t>
      </w:r>
    </w:p>
    <w:p w14:paraId="2D6337EB" w14:textId="77777777" w:rsidR="002A077E" w:rsidRPr="007B41C1" w:rsidRDefault="002A077E" w:rsidP="007B41C1">
      <w:pPr>
        <w:rPr>
          <w:lang w:val="es-ES"/>
        </w:rPr>
      </w:pPr>
      <w:r w:rsidRPr="00E85FEE">
        <w:rPr>
          <w:i/>
          <w:iCs/>
          <w:lang w:val="es-ES"/>
        </w:rPr>
        <w:t>e)</w:t>
      </w:r>
      <w:r w:rsidRPr="007B41C1">
        <w:rPr>
          <w:lang w:val="es-ES"/>
        </w:rPr>
        <w:tab/>
        <w:t>que unas normas claras, predecibles y proporcionadas permiten acelerar el despliegue, el mantenimiento y la reparación de cables, especialmente en situaciones de emergencia;</w:t>
      </w:r>
    </w:p>
    <w:p w14:paraId="5264F9B4" w14:textId="77777777" w:rsidR="002A077E" w:rsidRPr="007B41C1" w:rsidRDefault="002A077E" w:rsidP="007B41C1">
      <w:pPr>
        <w:rPr>
          <w:lang w:val="es-ES"/>
        </w:rPr>
      </w:pPr>
      <w:r w:rsidRPr="00E85FEE">
        <w:rPr>
          <w:i/>
          <w:iCs/>
          <w:lang w:val="es-ES"/>
        </w:rPr>
        <w:t>f)</w:t>
      </w:r>
      <w:r w:rsidRPr="007B41C1">
        <w:rPr>
          <w:lang w:val="es-ES"/>
        </w:rPr>
        <w:tab/>
        <w:t>que la redundancia de infraestructuras y una buena preparación ante incidentes son elementos básicos de la resiliencia de los cables submarinos;</w:t>
      </w:r>
    </w:p>
    <w:p w14:paraId="06CC453D" w14:textId="77777777" w:rsidR="002A077E" w:rsidRPr="007B41C1" w:rsidRDefault="002A077E" w:rsidP="007B41C1">
      <w:pPr>
        <w:rPr>
          <w:lang w:val="es-ES"/>
        </w:rPr>
      </w:pPr>
      <w:r w:rsidRPr="00E85FEE">
        <w:rPr>
          <w:i/>
          <w:iCs/>
          <w:lang w:val="es-ES"/>
        </w:rPr>
        <w:t>g)</w:t>
      </w:r>
      <w:r w:rsidRPr="007B41C1">
        <w:rPr>
          <w:lang w:val="es-ES"/>
        </w:rPr>
        <w:tab/>
        <w:t>que las autoridades públicas, los reguladores, los operadores de cables submarinos y las empresas de reparación deben colaborar para anticipar y gestionar mejor los riesgos,</w:t>
      </w:r>
    </w:p>
    <w:p w14:paraId="6588D647" w14:textId="02E7AA0B" w:rsidR="002A077E" w:rsidRPr="007B41C1" w:rsidRDefault="002A077E" w:rsidP="007B41C1">
      <w:pPr>
        <w:pStyle w:val="Call"/>
        <w:rPr>
          <w:lang w:val="es-ES"/>
        </w:rPr>
      </w:pPr>
      <w:r w:rsidRPr="007B41C1">
        <w:rPr>
          <w:lang w:val="es-ES"/>
        </w:rPr>
        <w:t>reconociendo</w:t>
      </w:r>
    </w:p>
    <w:p w14:paraId="4D914692" w14:textId="77777777" w:rsidR="002A077E" w:rsidRPr="007B41C1" w:rsidRDefault="002A077E" w:rsidP="007B41C1">
      <w:pPr>
        <w:rPr>
          <w:lang w:val="es-ES"/>
        </w:rPr>
      </w:pPr>
      <w:r w:rsidRPr="00E85FEE">
        <w:rPr>
          <w:i/>
          <w:iCs/>
          <w:lang w:val="es-ES"/>
        </w:rPr>
        <w:t>a)</w:t>
      </w:r>
      <w:r w:rsidRPr="007B41C1">
        <w:rPr>
          <w:lang w:val="es-ES"/>
        </w:rPr>
        <w:tab/>
        <w:t>la labor realizada por el Órgano Consultivo Internacional sobre la Resiliencia de los Cables Submarinos, creado en 2024, y el Comité Internacional de Protección de los Cables, cuyo informe final y recomendaciones se aprobaron en julio de 2026;</w:t>
      </w:r>
    </w:p>
    <w:p w14:paraId="594D34A4" w14:textId="0D0CEDD1" w:rsidR="002A077E" w:rsidRPr="007B41C1" w:rsidRDefault="002A077E" w:rsidP="007B41C1">
      <w:pPr>
        <w:rPr>
          <w:lang w:val="es-ES"/>
        </w:rPr>
      </w:pPr>
      <w:r w:rsidRPr="00E85FEE">
        <w:rPr>
          <w:i/>
          <w:iCs/>
          <w:lang w:val="es-ES"/>
        </w:rPr>
        <w:t>b)</w:t>
      </w:r>
      <w:r w:rsidRPr="007B41C1">
        <w:rPr>
          <w:lang w:val="es-ES"/>
        </w:rPr>
        <w:tab/>
        <w:t>los compromisos contraídos en las Cumbres Internacionales sobre Resiliencia de los Cables Submarinos celebradas en Abuja</w:t>
      </w:r>
      <w:r w:rsidR="00E85FEE">
        <w:rPr>
          <w:lang w:val="es-ES"/>
        </w:rPr>
        <w:t>,</w:t>
      </w:r>
      <w:r w:rsidRPr="007B41C1">
        <w:rPr>
          <w:lang w:val="es-ES"/>
        </w:rPr>
        <w:t xml:space="preserve"> en 2025</w:t>
      </w:r>
      <w:r w:rsidR="00E85FEE">
        <w:rPr>
          <w:lang w:val="es-ES"/>
        </w:rPr>
        <w:t>,</w:t>
      </w:r>
      <w:r w:rsidRPr="007B41C1">
        <w:rPr>
          <w:lang w:val="es-ES"/>
        </w:rPr>
        <w:t xml:space="preserve"> y en Oporto</w:t>
      </w:r>
      <w:r w:rsidR="00E85FEE">
        <w:rPr>
          <w:lang w:val="es-ES"/>
        </w:rPr>
        <w:t>,</w:t>
      </w:r>
      <w:r w:rsidRPr="007B41C1">
        <w:rPr>
          <w:lang w:val="es-ES"/>
        </w:rPr>
        <w:t xml:space="preserve"> en 2026, y sus resultados;</w:t>
      </w:r>
    </w:p>
    <w:p w14:paraId="01E95D1C" w14:textId="685C7BAF" w:rsidR="002A077E" w:rsidRPr="007B41C1" w:rsidRDefault="002A077E" w:rsidP="007B41C1">
      <w:pPr>
        <w:rPr>
          <w:lang w:val="es-ES"/>
        </w:rPr>
      </w:pPr>
      <w:r w:rsidRPr="00E85FEE">
        <w:rPr>
          <w:i/>
          <w:iCs/>
          <w:lang w:val="es-ES"/>
        </w:rPr>
        <w:t>c)</w:t>
      </w:r>
      <w:r w:rsidRPr="007B41C1">
        <w:rPr>
          <w:lang w:val="es-ES"/>
        </w:rPr>
        <w:tab/>
        <w:t>la Opinión 3 del Foro Mundial de Política de las Telecomunicaciones/TIC</w:t>
      </w:r>
      <w:r w:rsidR="00E85FEE">
        <w:rPr>
          <w:lang w:val="es-ES"/>
        </w:rPr>
        <w:t xml:space="preserve">, </w:t>
      </w:r>
      <w:r w:rsidRPr="007B41C1">
        <w:rPr>
          <w:lang w:val="es-ES"/>
        </w:rPr>
        <w:t>de 2026</w:t>
      </w:r>
      <w:r w:rsidR="00E85FEE">
        <w:rPr>
          <w:lang w:val="es-ES"/>
        </w:rPr>
        <w:t>,</w:t>
      </w:r>
      <w:r w:rsidRPr="007B41C1">
        <w:rPr>
          <w:lang w:val="es-ES"/>
        </w:rPr>
        <w:t xml:space="preserve"> sobre la resiliencia de las telecomunicaciones/TIC y los debates sustantivos mantenidos en el Foro sobre la resiliencia de las infraestructuras de telecomunicaciones/TIC;</w:t>
      </w:r>
    </w:p>
    <w:p w14:paraId="70A5B35E" w14:textId="77777777" w:rsidR="002A077E" w:rsidRPr="007B41C1" w:rsidRDefault="002A077E" w:rsidP="007B41C1">
      <w:pPr>
        <w:rPr>
          <w:lang w:val="es-ES"/>
        </w:rPr>
      </w:pPr>
      <w:r w:rsidRPr="00E85FEE">
        <w:rPr>
          <w:i/>
          <w:iCs/>
          <w:lang w:val="es-ES"/>
        </w:rPr>
        <w:t>d)</w:t>
      </w:r>
      <w:r w:rsidRPr="007B41C1">
        <w:rPr>
          <w:lang w:val="es-ES"/>
        </w:rPr>
        <w:tab/>
        <w:t>los trabajos ya realizados por las Comisiones de Estudio de los tres Sectores sobre cables submarinos, protección de infraestructuras y telecomunicaciones de emergencia,</w:t>
      </w:r>
    </w:p>
    <w:p w14:paraId="1FDEFFD5" w14:textId="0C731688" w:rsidR="002A077E" w:rsidRPr="007B41C1" w:rsidRDefault="002A077E" w:rsidP="007B41C1">
      <w:pPr>
        <w:pStyle w:val="Call"/>
        <w:rPr>
          <w:lang w:val="es-ES"/>
        </w:rPr>
      </w:pPr>
      <w:r w:rsidRPr="007B41C1">
        <w:rPr>
          <w:lang w:val="es-ES"/>
        </w:rPr>
        <w:t>teniendo en cuenta</w:t>
      </w:r>
    </w:p>
    <w:p w14:paraId="49096153" w14:textId="77777777" w:rsidR="002A077E" w:rsidRPr="007B41C1" w:rsidRDefault="002A077E" w:rsidP="007B41C1">
      <w:pPr>
        <w:rPr>
          <w:lang w:val="es-ES"/>
        </w:rPr>
      </w:pPr>
      <w:r w:rsidRPr="002C7BCC">
        <w:rPr>
          <w:i/>
          <w:iCs/>
          <w:lang w:val="es-ES"/>
        </w:rPr>
        <w:t>a)</w:t>
      </w:r>
      <w:r w:rsidRPr="007B41C1">
        <w:rPr>
          <w:lang w:val="es-ES"/>
        </w:rPr>
        <w:tab/>
        <w:t>la Convención de las Naciones Unidas sobre el Derecho del Mar, que define las obligaciones y soberanías de los Estados en lo que respecta al tendido, mantenimiento y protección de los cables submarinos;</w:t>
      </w:r>
    </w:p>
    <w:p w14:paraId="07E789EB" w14:textId="77777777" w:rsidR="002A077E" w:rsidRPr="007B41C1" w:rsidRDefault="002A077E" w:rsidP="007B41C1">
      <w:pPr>
        <w:rPr>
          <w:lang w:val="es-ES"/>
        </w:rPr>
      </w:pPr>
      <w:r w:rsidRPr="002C7BCC">
        <w:rPr>
          <w:i/>
          <w:iCs/>
          <w:lang w:val="es-ES"/>
        </w:rPr>
        <w:t>b)</w:t>
      </w:r>
      <w:r w:rsidRPr="007B41C1">
        <w:rPr>
          <w:lang w:val="es-ES"/>
        </w:rPr>
        <w:tab/>
        <w:t>la diversidad de entornos jurídicos, económicos y geográficos de los Estados Miembros,</w:t>
      </w:r>
    </w:p>
    <w:p w14:paraId="58A2AAE6" w14:textId="36340B2B" w:rsidR="002A077E" w:rsidRPr="007B41C1" w:rsidRDefault="002A077E" w:rsidP="007B41C1">
      <w:pPr>
        <w:pStyle w:val="Call"/>
        <w:rPr>
          <w:lang w:val="es-ES"/>
        </w:rPr>
      </w:pPr>
      <w:r w:rsidRPr="007B41C1">
        <w:rPr>
          <w:lang w:val="es-ES"/>
        </w:rPr>
        <w:t>resuelve</w:t>
      </w:r>
    </w:p>
    <w:p w14:paraId="73833209" w14:textId="77777777" w:rsidR="002A077E" w:rsidRPr="007B41C1" w:rsidRDefault="002A077E" w:rsidP="007B41C1">
      <w:pPr>
        <w:rPr>
          <w:lang w:val="es-ES"/>
        </w:rPr>
      </w:pPr>
      <w:r w:rsidRPr="007B41C1">
        <w:rPr>
          <w:lang w:val="es-ES"/>
        </w:rPr>
        <w:t>1</w:t>
      </w:r>
      <w:r w:rsidRPr="007B41C1">
        <w:rPr>
          <w:lang w:val="es-ES"/>
        </w:rPr>
        <w:tab/>
        <w:t>que la Unión prosiga sus esfuerzos para lograr la resiliencia de los cables submarinos de telecomunicaciones;</w:t>
      </w:r>
    </w:p>
    <w:p w14:paraId="0B238679" w14:textId="77777777" w:rsidR="002A077E" w:rsidRPr="007B41C1" w:rsidRDefault="002A077E" w:rsidP="007B41C1">
      <w:pPr>
        <w:rPr>
          <w:lang w:val="es-ES"/>
        </w:rPr>
      </w:pPr>
      <w:r w:rsidRPr="007B41C1">
        <w:rPr>
          <w:lang w:val="es-ES"/>
        </w:rPr>
        <w:t>2</w:t>
      </w:r>
      <w:r w:rsidRPr="007B41C1">
        <w:rPr>
          <w:lang w:val="es-ES"/>
        </w:rPr>
        <w:tab/>
        <w:t>fomentar la aplicación voluntaria de las recomendaciones del Órgano Consultivo Internacional sobre la resiliencia de los cables submarinos, teniendo en cuenta el entorno jurídico, económico y geográfico de cada país y cada región;</w:t>
      </w:r>
    </w:p>
    <w:p w14:paraId="6CEA8587" w14:textId="77777777" w:rsidR="002A077E" w:rsidRPr="007B41C1" w:rsidRDefault="002A077E" w:rsidP="007B41C1">
      <w:pPr>
        <w:rPr>
          <w:lang w:val="es-ES"/>
        </w:rPr>
      </w:pPr>
      <w:r w:rsidRPr="007B41C1">
        <w:rPr>
          <w:lang w:val="es-ES"/>
        </w:rPr>
        <w:t>3</w:t>
      </w:r>
      <w:r w:rsidRPr="007B41C1">
        <w:rPr>
          <w:lang w:val="es-ES"/>
        </w:rPr>
        <w:tab/>
        <w:t>que se preste especial atención a las necesidades de los países en desarrollo en lo que respecta a la redundancia de las rutas de acceso internacional y a las capacidades de reparación;</w:t>
      </w:r>
    </w:p>
    <w:p w14:paraId="7C11875F" w14:textId="77777777" w:rsidR="002A077E" w:rsidRPr="007B41C1" w:rsidRDefault="002A077E" w:rsidP="007B41C1">
      <w:pPr>
        <w:rPr>
          <w:lang w:val="es-ES"/>
        </w:rPr>
      </w:pPr>
      <w:r w:rsidRPr="007B41C1">
        <w:rPr>
          <w:lang w:val="es-ES"/>
        </w:rPr>
        <w:t>4</w:t>
      </w:r>
      <w:r w:rsidRPr="007B41C1">
        <w:rPr>
          <w:lang w:val="es-ES"/>
        </w:rPr>
        <w:tab/>
        <w:t>que las medidas adoptadas en virtud de la presente Resolución respeten la soberanía de los Estados Miembros;</w:t>
      </w:r>
    </w:p>
    <w:p w14:paraId="4783471D" w14:textId="77777777" w:rsidR="002A077E" w:rsidRPr="007B41C1" w:rsidRDefault="002A077E" w:rsidP="007B41C1">
      <w:pPr>
        <w:rPr>
          <w:lang w:val="es-ES"/>
        </w:rPr>
      </w:pPr>
      <w:r w:rsidRPr="007B41C1">
        <w:rPr>
          <w:lang w:val="es-ES"/>
        </w:rPr>
        <w:t>5</w:t>
      </w:r>
      <w:r w:rsidRPr="007B41C1">
        <w:rPr>
          <w:lang w:val="es-ES"/>
        </w:rPr>
        <w:tab/>
        <w:t>que los intercambios de información se llevan a cabo de manera voluntaria, respetando los imperativos de seguridad nacional y los secretos comerciales;</w:t>
      </w:r>
    </w:p>
    <w:p w14:paraId="124C0A44" w14:textId="77777777" w:rsidR="002A077E" w:rsidRPr="007B41C1" w:rsidRDefault="002A077E" w:rsidP="007B41C1">
      <w:pPr>
        <w:rPr>
          <w:lang w:val="es-ES"/>
        </w:rPr>
      </w:pPr>
      <w:r w:rsidRPr="007B41C1">
        <w:rPr>
          <w:lang w:val="es-ES"/>
        </w:rPr>
        <w:t>6</w:t>
      </w:r>
      <w:r w:rsidRPr="007B41C1">
        <w:rPr>
          <w:lang w:val="es-ES"/>
        </w:rPr>
        <w:tab/>
        <w:t xml:space="preserve">que la Unión siga apoyando y facilitando la labor del Órgano Consultivo Internacional para la Resiliencia de los Cables Submarinos, creado en 2024 en asociación con el Comité Internacional </w:t>
      </w:r>
      <w:r w:rsidRPr="007B41C1">
        <w:rPr>
          <w:lang w:val="es-ES"/>
        </w:rPr>
        <w:lastRenderedPageBreak/>
        <w:t>para la Protección de los Cables Submarinos, con el fin de avanzar en la implementación y la cooperación internacional en materia de resiliencia de los cables submarinos,</w:t>
      </w:r>
    </w:p>
    <w:p w14:paraId="0A32874E" w14:textId="059D3E17" w:rsidR="002A077E" w:rsidRPr="007B41C1" w:rsidRDefault="002A077E" w:rsidP="007B41C1">
      <w:pPr>
        <w:pStyle w:val="Call"/>
        <w:rPr>
          <w:lang w:val="es-ES"/>
        </w:rPr>
      </w:pPr>
      <w:r w:rsidRPr="007B41C1">
        <w:rPr>
          <w:lang w:val="es-ES"/>
        </w:rPr>
        <w:t>encarga al Secretario General</w:t>
      </w:r>
    </w:p>
    <w:p w14:paraId="4F7D8271" w14:textId="77777777" w:rsidR="002A077E" w:rsidRPr="007B41C1" w:rsidRDefault="002A077E" w:rsidP="007B41C1">
      <w:pPr>
        <w:rPr>
          <w:lang w:val="es-ES"/>
        </w:rPr>
      </w:pPr>
      <w:r w:rsidRPr="007B41C1">
        <w:rPr>
          <w:lang w:val="es-ES"/>
        </w:rPr>
        <w:t>1</w:t>
      </w:r>
      <w:r w:rsidRPr="007B41C1">
        <w:rPr>
          <w:lang w:val="es-ES"/>
        </w:rPr>
        <w:tab/>
        <w:t>que establezca un mecanismo que facilite la aplicación y supervisión voluntarias de las recomendaciones del Órgano Consultivo;</w:t>
      </w:r>
    </w:p>
    <w:p w14:paraId="1D02115A" w14:textId="77777777" w:rsidR="002A077E" w:rsidRPr="007B41C1" w:rsidRDefault="002A077E" w:rsidP="007B41C1">
      <w:pPr>
        <w:rPr>
          <w:lang w:val="es-ES"/>
        </w:rPr>
      </w:pPr>
      <w:r w:rsidRPr="007B41C1">
        <w:rPr>
          <w:lang w:val="es-ES"/>
        </w:rPr>
        <w:t>2</w:t>
      </w:r>
      <w:r w:rsidRPr="007B41C1">
        <w:rPr>
          <w:lang w:val="es-ES"/>
        </w:rPr>
        <w:tab/>
        <w:t>que coordine las actividades de los tres Sectores sobre la resiliencia de los cables submarinos;</w:t>
      </w:r>
    </w:p>
    <w:p w14:paraId="73607D8A" w14:textId="77777777" w:rsidR="002A077E" w:rsidRPr="007B41C1" w:rsidRDefault="002A077E" w:rsidP="007B41C1">
      <w:pPr>
        <w:rPr>
          <w:lang w:val="es-ES"/>
        </w:rPr>
      </w:pPr>
      <w:r w:rsidRPr="007B41C1">
        <w:rPr>
          <w:lang w:val="es-ES"/>
        </w:rPr>
        <w:t>3</w:t>
      </w:r>
      <w:r w:rsidRPr="007B41C1">
        <w:rPr>
          <w:lang w:val="es-ES"/>
        </w:rPr>
        <w:tab/>
        <w:t>que facilite el diálogo entre los Estados Miembros y las empresas de reparación sobre autorizaciones y gestión de incidentes;</w:t>
      </w:r>
    </w:p>
    <w:p w14:paraId="57BCFAC9" w14:textId="77777777" w:rsidR="002A077E" w:rsidRPr="007B41C1" w:rsidRDefault="002A077E" w:rsidP="007B41C1">
      <w:pPr>
        <w:rPr>
          <w:lang w:val="es-ES"/>
        </w:rPr>
      </w:pPr>
      <w:r w:rsidRPr="007B41C1">
        <w:rPr>
          <w:lang w:val="es-ES"/>
        </w:rPr>
        <w:t>4</w:t>
      </w:r>
      <w:r w:rsidRPr="007B41C1">
        <w:rPr>
          <w:lang w:val="es-ES"/>
        </w:rPr>
        <w:tab/>
        <w:t>que informe sobre la aplicación de la presente Resolución al Consejo y a las Conferencias de Plenipotenciarios;</w:t>
      </w:r>
    </w:p>
    <w:p w14:paraId="07EDE157" w14:textId="77777777" w:rsidR="002A077E" w:rsidRPr="007B41C1" w:rsidRDefault="002A077E" w:rsidP="007B41C1">
      <w:pPr>
        <w:rPr>
          <w:lang w:val="es-ES"/>
        </w:rPr>
      </w:pPr>
      <w:r w:rsidRPr="007B41C1">
        <w:rPr>
          <w:lang w:val="es-ES"/>
        </w:rPr>
        <w:t>5</w:t>
      </w:r>
      <w:r w:rsidRPr="007B41C1">
        <w:rPr>
          <w:lang w:val="es-ES"/>
        </w:rPr>
        <w:tab/>
        <w:t>que siga apoyando y facilitando la labor del Órgano Consultivo Internacional sobre Resiliencia de los Cables Submarinos, entre otras cosas mediante la coordinación, la cooperación internacional con otras organizaciones pertinentes del sistema de las Naciones Unidas y el apoyo a la implementación;</w:t>
      </w:r>
    </w:p>
    <w:p w14:paraId="4BEA84CC" w14:textId="77777777" w:rsidR="002A077E" w:rsidRPr="007B41C1" w:rsidRDefault="002A077E" w:rsidP="007B41C1">
      <w:pPr>
        <w:rPr>
          <w:lang w:val="es-ES"/>
        </w:rPr>
      </w:pPr>
      <w:r w:rsidRPr="007B41C1">
        <w:rPr>
          <w:lang w:val="es-ES"/>
        </w:rPr>
        <w:t>6</w:t>
      </w:r>
      <w:r w:rsidRPr="007B41C1">
        <w:rPr>
          <w:lang w:val="es-ES"/>
        </w:rPr>
        <w:tab/>
        <w:t>que supervise los incidentes de cables submarinos notificados y, cuando se disponga de información, el tiempo necesario para reparar los cables afectados,</w:t>
      </w:r>
    </w:p>
    <w:p w14:paraId="7EF556CE" w14:textId="192B0061" w:rsidR="002A077E" w:rsidRPr="007B41C1" w:rsidRDefault="002A077E" w:rsidP="007B41C1">
      <w:pPr>
        <w:pStyle w:val="Call"/>
        <w:rPr>
          <w:lang w:val="es-ES"/>
        </w:rPr>
      </w:pPr>
      <w:r w:rsidRPr="007B41C1">
        <w:rPr>
          <w:lang w:val="es-ES"/>
        </w:rPr>
        <w:t>encarga al Director de la Oficina de Normalización de las Telecomunicaciones, en colaboración con el Director de la Oficina de Desarrollo de las Telecomunicaciones</w:t>
      </w:r>
      <w:r w:rsidR="007B41C1" w:rsidRPr="007B41C1">
        <w:rPr>
          <w:lang w:val="es-ES"/>
        </w:rPr>
        <w:br/>
      </w:r>
      <w:r w:rsidRPr="007B41C1">
        <w:rPr>
          <w:lang w:val="es-ES"/>
        </w:rPr>
        <w:t>y el Director de la Oficina de Radiocomunicaciones, según proceda</w:t>
      </w:r>
    </w:p>
    <w:p w14:paraId="25100EBB" w14:textId="77777777" w:rsidR="002A077E" w:rsidRPr="007B41C1" w:rsidRDefault="002A077E" w:rsidP="007B41C1">
      <w:pPr>
        <w:rPr>
          <w:lang w:val="es-ES"/>
        </w:rPr>
      </w:pPr>
      <w:r w:rsidRPr="007B41C1">
        <w:rPr>
          <w:lang w:val="es-ES"/>
        </w:rPr>
        <w:t>1</w:t>
      </w:r>
      <w:r w:rsidRPr="007B41C1">
        <w:rPr>
          <w:lang w:val="es-ES"/>
        </w:rPr>
        <w:tab/>
        <w:t>que apoyen, en el marco de las Comisiones de Estudio pertinentes y de conformidad con sus mandatos, la elaboración de estudios técnicos, proyectos de Recomendaciones, manuales y prácticas idóneas sobre la resiliencia de los cables submarinos de telecomunicaciones, incluido el diseño de rutas, la redundancia, la supervisión, la localización de averías y la protección de las estaciones de aterraje de cables;</w:t>
      </w:r>
    </w:p>
    <w:p w14:paraId="7411D301" w14:textId="77777777" w:rsidR="002A077E" w:rsidRPr="007B41C1" w:rsidRDefault="002A077E" w:rsidP="007B41C1">
      <w:pPr>
        <w:rPr>
          <w:lang w:val="es-ES"/>
        </w:rPr>
      </w:pPr>
      <w:r w:rsidRPr="007B41C1">
        <w:rPr>
          <w:lang w:val="es-ES"/>
        </w:rPr>
        <w:t>2</w:t>
      </w:r>
      <w:r w:rsidRPr="007B41C1">
        <w:rPr>
          <w:lang w:val="es-ES"/>
        </w:rPr>
        <w:tab/>
        <w:t>que faciliten los intercambios técnicos con las organizaciones de normalización, los organismos del sector, los operadores de cables submarinos y las empresas de reparación pertinentes, con la participación de los Estados Miembros y los Miembros de Sector, y pongan el material resultante a disposición de los Miembros,</w:t>
      </w:r>
    </w:p>
    <w:p w14:paraId="6AD8BA9B" w14:textId="21BA3CB7" w:rsidR="002A077E" w:rsidRPr="007B41C1" w:rsidRDefault="002A077E" w:rsidP="007B41C1">
      <w:pPr>
        <w:pStyle w:val="Call"/>
        <w:rPr>
          <w:lang w:val="es-ES"/>
        </w:rPr>
      </w:pPr>
      <w:r w:rsidRPr="007B41C1">
        <w:rPr>
          <w:lang w:val="es-ES"/>
        </w:rPr>
        <w:t>encarga al Director de la Oficina de Desarrollo de las Telecomunicaciones</w:t>
      </w:r>
    </w:p>
    <w:p w14:paraId="177BC638" w14:textId="77777777" w:rsidR="002A077E" w:rsidRPr="007B41C1" w:rsidRDefault="002A077E" w:rsidP="007B41C1">
      <w:pPr>
        <w:rPr>
          <w:lang w:val="es-ES"/>
        </w:rPr>
      </w:pPr>
      <w:r w:rsidRPr="007B41C1">
        <w:rPr>
          <w:lang w:val="es-ES"/>
        </w:rPr>
        <w:t>1</w:t>
      </w:r>
      <w:r w:rsidRPr="007B41C1">
        <w:rPr>
          <w:lang w:val="es-ES"/>
        </w:rPr>
        <w:tab/>
        <w:t>que ayude a los países en desarrollo que lo soliciten a evaluar su dependencia de los cables submarinos, identificar sus vulnerabilidades y, mediante evaluaciones de peligros y vulnerabilidades, preparar planes nacionales o regionales de resiliencia que incluyan sistemas de respaldo y conectividad alternativa para su utilización en caso de interrupción del cable;</w:t>
      </w:r>
    </w:p>
    <w:p w14:paraId="02701A34" w14:textId="77777777" w:rsidR="002A077E" w:rsidRPr="007B41C1" w:rsidRDefault="002A077E" w:rsidP="007B41C1">
      <w:pPr>
        <w:rPr>
          <w:lang w:val="es-ES"/>
        </w:rPr>
      </w:pPr>
      <w:r w:rsidRPr="007B41C1">
        <w:rPr>
          <w:lang w:val="es-ES"/>
        </w:rPr>
        <w:t>2</w:t>
      </w:r>
      <w:r w:rsidRPr="007B41C1">
        <w:rPr>
          <w:lang w:val="es-ES"/>
        </w:rPr>
        <w:tab/>
        <w:t>que imparta formación sobre los aspectos reglamentarios, técnicos y operativos de la resiliencia de los cables submarinos;</w:t>
      </w:r>
    </w:p>
    <w:p w14:paraId="21A9F7C9" w14:textId="77777777" w:rsidR="002A077E" w:rsidRPr="007B41C1" w:rsidRDefault="002A077E" w:rsidP="007B41C1">
      <w:pPr>
        <w:rPr>
          <w:lang w:val="es-ES"/>
        </w:rPr>
      </w:pPr>
      <w:r w:rsidRPr="007B41C1">
        <w:rPr>
          <w:lang w:val="es-ES"/>
        </w:rPr>
        <w:t>3</w:t>
      </w:r>
      <w:r w:rsidRPr="007B41C1">
        <w:rPr>
          <w:lang w:val="es-ES"/>
        </w:rPr>
        <w:tab/>
        <w:t>que apoye las iniciativas regionales destinadas a reforzar la redundancia de los cables submarinos,</w:t>
      </w:r>
    </w:p>
    <w:p w14:paraId="1093AB06" w14:textId="00B80A28" w:rsidR="002A077E" w:rsidRPr="007B41C1" w:rsidRDefault="002A077E" w:rsidP="007B41C1">
      <w:pPr>
        <w:pStyle w:val="Call"/>
        <w:rPr>
          <w:lang w:val="es-ES"/>
        </w:rPr>
      </w:pPr>
      <w:r w:rsidRPr="007B41C1">
        <w:rPr>
          <w:lang w:val="es-ES"/>
        </w:rPr>
        <w:lastRenderedPageBreak/>
        <w:t>invita a los Estados Miembros</w:t>
      </w:r>
    </w:p>
    <w:p w14:paraId="0C14B6DC" w14:textId="77777777" w:rsidR="002A077E" w:rsidRPr="007B41C1" w:rsidRDefault="002A077E" w:rsidP="007B41C1">
      <w:pPr>
        <w:rPr>
          <w:lang w:val="es-ES"/>
        </w:rPr>
      </w:pPr>
      <w:r w:rsidRPr="007B41C1">
        <w:rPr>
          <w:lang w:val="es-ES"/>
        </w:rPr>
        <w:t>1</w:t>
      </w:r>
      <w:r w:rsidRPr="007B41C1">
        <w:rPr>
          <w:lang w:val="es-ES"/>
        </w:rPr>
        <w:tab/>
        <w:t>a simplificar y acelerar, de conformidad con su legislación nacional, los procedimientos de tendido, mantenimiento y reparación de cables, en particular en casos de emergencia;</w:t>
      </w:r>
    </w:p>
    <w:p w14:paraId="11B7D9CF" w14:textId="77777777" w:rsidR="002A077E" w:rsidRPr="007B41C1" w:rsidRDefault="002A077E" w:rsidP="007B41C1">
      <w:pPr>
        <w:rPr>
          <w:lang w:val="es-ES"/>
        </w:rPr>
      </w:pPr>
      <w:r w:rsidRPr="007B41C1">
        <w:rPr>
          <w:lang w:val="es-ES"/>
        </w:rPr>
        <w:t>2</w:t>
      </w:r>
      <w:r w:rsidRPr="007B41C1">
        <w:rPr>
          <w:lang w:val="es-ES"/>
        </w:rPr>
        <w:tab/>
        <w:t>a considerar acuerdos regionales de mantenimiento y reparación para disponer de recursos de intervención más rápidamente;</w:t>
      </w:r>
    </w:p>
    <w:p w14:paraId="552BA367" w14:textId="77777777" w:rsidR="002A077E" w:rsidRPr="007B41C1" w:rsidRDefault="002A077E" w:rsidP="007B41C1">
      <w:pPr>
        <w:rPr>
          <w:lang w:val="es-ES"/>
        </w:rPr>
      </w:pPr>
      <w:r w:rsidRPr="007B41C1">
        <w:rPr>
          <w:lang w:val="es-ES"/>
        </w:rPr>
        <w:t>3</w:t>
      </w:r>
      <w:r w:rsidRPr="007B41C1">
        <w:rPr>
          <w:lang w:val="es-ES"/>
        </w:rPr>
        <w:tab/>
        <w:t>a fortalecer la cooperación regional e interregional para diversificar los puntos de acceso a los cables submarinos;</w:t>
      </w:r>
    </w:p>
    <w:p w14:paraId="06289205" w14:textId="77777777" w:rsidR="002A077E" w:rsidRPr="007B41C1" w:rsidRDefault="002A077E" w:rsidP="007B41C1">
      <w:pPr>
        <w:rPr>
          <w:lang w:val="es-ES"/>
        </w:rPr>
      </w:pPr>
      <w:r w:rsidRPr="007B41C1">
        <w:rPr>
          <w:lang w:val="es-ES"/>
        </w:rPr>
        <w:t>4</w:t>
      </w:r>
      <w:r w:rsidRPr="007B41C1">
        <w:rPr>
          <w:lang w:val="es-ES"/>
        </w:rPr>
        <w:tab/>
        <w:t>a participar en los trabajos de la Unión y a compartir sus experiencias;</w:t>
      </w:r>
    </w:p>
    <w:p w14:paraId="5D7676FF" w14:textId="3F01E28F" w:rsidR="002A077E" w:rsidRPr="007B41C1" w:rsidRDefault="002A077E" w:rsidP="007B41C1">
      <w:pPr>
        <w:rPr>
          <w:lang w:val="es-ES"/>
        </w:rPr>
      </w:pPr>
      <w:r w:rsidRPr="007B41C1">
        <w:rPr>
          <w:lang w:val="es-ES"/>
        </w:rPr>
        <w:t>5</w:t>
      </w:r>
      <w:r w:rsidRPr="007B41C1">
        <w:rPr>
          <w:lang w:val="es-ES"/>
        </w:rPr>
        <w:tab/>
        <w:t>a promover entornos propicios para la inversión en infraestructuras de cables submarinos y a compartir incidentes de información voluntarios, respetando al mismo tiempo su soberanía,</w:t>
      </w:r>
    </w:p>
    <w:p w14:paraId="24C002C9" w14:textId="2F6A538F" w:rsidR="002A077E" w:rsidRPr="007B41C1" w:rsidRDefault="002A077E" w:rsidP="007B41C1">
      <w:pPr>
        <w:pStyle w:val="Call"/>
        <w:rPr>
          <w:lang w:val="es-ES"/>
        </w:rPr>
      </w:pPr>
      <w:r w:rsidRPr="007B41C1">
        <w:rPr>
          <w:lang w:val="es-ES"/>
        </w:rPr>
        <w:t>invita a los Miembros de Sector</w:t>
      </w:r>
    </w:p>
    <w:p w14:paraId="75378CF1" w14:textId="77777777" w:rsidR="002A077E" w:rsidRPr="007B41C1" w:rsidRDefault="002A077E" w:rsidP="007B41C1">
      <w:pPr>
        <w:rPr>
          <w:lang w:val="es-ES"/>
        </w:rPr>
      </w:pPr>
      <w:r w:rsidRPr="007B41C1">
        <w:rPr>
          <w:lang w:val="es-ES"/>
        </w:rPr>
        <w:t>a contribuir a la labor de la Unión aportando sus conocimientos técnicos y operativos.</w:t>
      </w:r>
    </w:p>
    <w:p w14:paraId="73CFE0A8" w14:textId="05D3E733" w:rsidR="002A077E" w:rsidRPr="007B41C1" w:rsidRDefault="002A077E" w:rsidP="007B41C1">
      <w:pPr>
        <w:pStyle w:val="Reasons"/>
        <w:rPr>
          <w:lang w:val="es-ES"/>
        </w:rPr>
      </w:pPr>
      <w:r w:rsidRPr="007B41C1">
        <w:rPr>
          <w:b/>
          <w:bCs/>
          <w:lang w:val="es-ES"/>
        </w:rPr>
        <w:t>Motivos:</w:t>
      </w:r>
      <w:r w:rsidR="00E85FEE">
        <w:rPr>
          <w:lang w:val="es-ES"/>
        </w:rPr>
        <w:tab/>
      </w:r>
      <w:r w:rsidRPr="007B41C1">
        <w:rPr>
          <w:lang w:val="es-ES"/>
        </w:rPr>
        <w:t>En la actualidad, ninguna Resolución de la Conferencia de Plenipotenciarios está dedicada a la resiliencia de los cables submarinos, aunque estos cables son una infraestructura esencial para la conectividad mundial y para reducir la brecha digital. Una Resolución específica daría continuidad y coordinación a los trabajos de la UIT en este ámbito.</w:t>
      </w:r>
    </w:p>
    <w:p w14:paraId="3DEA9329" w14:textId="77777777" w:rsidR="007B41C1" w:rsidRPr="007B41C1" w:rsidRDefault="007B41C1" w:rsidP="007B41C1">
      <w:pPr>
        <w:rPr>
          <w:lang w:val="es-ES"/>
        </w:rPr>
      </w:pPr>
    </w:p>
    <w:p w14:paraId="59D799D3" w14:textId="277EB156" w:rsidR="002A077E" w:rsidRPr="007B41C1" w:rsidRDefault="002A077E" w:rsidP="002A077E">
      <w:pPr>
        <w:jc w:val="center"/>
        <w:rPr>
          <w:lang w:val="es-ES"/>
        </w:rPr>
      </w:pPr>
      <w:r w:rsidRPr="007B41C1">
        <w:rPr>
          <w:lang w:val="es-ES"/>
        </w:rPr>
        <w:t>____________________</w:t>
      </w:r>
    </w:p>
    <w:sectPr w:rsidR="002A077E" w:rsidRPr="007B41C1" w:rsidSect="00A70E95">
      <w:headerReference w:type="default" r:id="rId12"/>
      <w:footerReference w:type="first" r:id="rId13"/>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5F4E24" w14:textId="77777777" w:rsidR="00A214C7" w:rsidRDefault="00A214C7">
      <w:r>
        <w:separator/>
      </w:r>
    </w:p>
  </w:endnote>
  <w:endnote w:type="continuationSeparator" w:id="0">
    <w:p w14:paraId="0ABFF777" w14:textId="77777777" w:rsidR="00A214C7" w:rsidRDefault="00A214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charset w:val="00"/>
    <w:family w:val="roman"/>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E2630" w14:textId="77777777" w:rsidR="00C40CDA" w:rsidRPr="003F2E54" w:rsidRDefault="00C40CDA"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773523" w14:textId="77777777" w:rsidR="00A214C7" w:rsidRDefault="00A214C7">
      <w:r>
        <w:t>____________________</w:t>
      </w:r>
    </w:p>
  </w:footnote>
  <w:footnote w:type="continuationSeparator" w:id="0">
    <w:p w14:paraId="359A5551" w14:textId="77777777" w:rsidR="00A214C7" w:rsidRDefault="00A214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DCD21" w14:textId="77777777" w:rsidR="00C40CDA" w:rsidRDefault="00C40CDA" w:rsidP="00255FA1">
    <w:pPr>
      <w:pStyle w:val="Header"/>
    </w:pPr>
    <w:r>
      <w:fldChar w:fldCharType="begin"/>
    </w:r>
    <w:r>
      <w:instrText xml:space="preserve"> PAGE </w:instrText>
    </w:r>
    <w:r>
      <w:fldChar w:fldCharType="separate"/>
    </w:r>
    <w:r w:rsidR="00466C12">
      <w:rPr>
        <w:noProof/>
      </w:rPr>
      <w:t>2</w:t>
    </w:r>
    <w:r>
      <w:fldChar w:fldCharType="end"/>
    </w:r>
  </w:p>
  <w:p w14:paraId="77631638" w14:textId="77777777" w:rsidR="00C40CDA" w:rsidRDefault="00C40CDA" w:rsidP="00C43474">
    <w:pPr>
      <w:pStyle w:val="Header"/>
    </w:pPr>
    <w:r>
      <w:rPr>
        <w:lang w:val="en-US"/>
      </w:rPr>
      <w:t>PP26</w:t>
    </w:r>
    <w:r>
      <w:t>/91(Add.40)-</w:t>
    </w:r>
    <w:r w:rsidRPr="00010B43">
      <w: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863AB"/>
    <w:rsid w:val="000A1523"/>
    <w:rsid w:val="000B1752"/>
    <w:rsid w:val="000D530D"/>
    <w:rsid w:val="0010546D"/>
    <w:rsid w:val="00135F93"/>
    <w:rsid w:val="001632E3"/>
    <w:rsid w:val="001D4983"/>
    <w:rsid w:val="001D6EC3"/>
    <w:rsid w:val="001D787B"/>
    <w:rsid w:val="001E3D06"/>
    <w:rsid w:val="001F0B24"/>
    <w:rsid w:val="00225F6B"/>
    <w:rsid w:val="00237C17"/>
    <w:rsid w:val="00242376"/>
    <w:rsid w:val="00255FA1"/>
    <w:rsid w:val="00262FF4"/>
    <w:rsid w:val="00277985"/>
    <w:rsid w:val="002A077E"/>
    <w:rsid w:val="002C6527"/>
    <w:rsid w:val="002C7BCC"/>
    <w:rsid w:val="002E44FC"/>
    <w:rsid w:val="00351381"/>
    <w:rsid w:val="003537B5"/>
    <w:rsid w:val="003707E5"/>
    <w:rsid w:val="00375610"/>
    <w:rsid w:val="00391611"/>
    <w:rsid w:val="003B5DC9"/>
    <w:rsid w:val="003D0027"/>
    <w:rsid w:val="003E5C5E"/>
    <w:rsid w:val="003E6E73"/>
    <w:rsid w:val="00466C12"/>
    <w:rsid w:val="00484B72"/>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23448"/>
    <w:rsid w:val="005359B6"/>
    <w:rsid w:val="005470E8"/>
    <w:rsid w:val="00550FCF"/>
    <w:rsid w:val="00556958"/>
    <w:rsid w:val="00567ED5"/>
    <w:rsid w:val="005A329F"/>
    <w:rsid w:val="005D1164"/>
    <w:rsid w:val="005D6488"/>
    <w:rsid w:val="005F6278"/>
    <w:rsid w:val="00601280"/>
    <w:rsid w:val="00617CA1"/>
    <w:rsid w:val="00641DBD"/>
    <w:rsid w:val="006426C0"/>
    <w:rsid w:val="006455D2"/>
    <w:rsid w:val="006537F3"/>
    <w:rsid w:val="006B5512"/>
    <w:rsid w:val="006C190D"/>
    <w:rsid w:val="00720686"/>
    <w:rsid w:val="00737EFF"/>
    <w:rsid w:val="00750806"/>
    <w:rsid w:val="00775C8B"/>
    <w:rsid w:val="00780430"/>
    <w:rsid w:val="007875D2"/>
    <w:rsid w:val="007B41C1"/>
    <w:rsid w:val="007D61E2"/>
    <w:rsid w:val="007F6EBC"/>
    <w:rsid w:val="00810D8B"/>
    <w:rsid w:val="00882773"/>
    <w:rsid w:val="008B4706"/>
    <w:rsid w:val="008B6676"/>
    <w:rsid w:val="008C3FA8"/>
    <w:rsid w:val="008E51C5"/>
    <w:rsid w:val="008F7109"/>
    <w:rsid w:val="009107B0"/>
    <w:rsid w:val="009220DE"/>
    <w:rsid w:val="00930E84"/>
    <w:rsid w:val="009415B6"/>
    <w:rsid w:val="00956FE6"/>
    <w:rsid w:val="0099270D"/>
    <w:rsid w:val="0099551E"/>
    <w:rsid w:val="009A1A86"/>
    <w:rsid w:val="009A4B98"/>
    <w:rsid w:val="009D1BE0"/>
    <w:rsid w:val="009E0C42"/>
    <w:rsid w:val="009F5F10"/>
    <w:rsid w:val="00A214C7"/>
    <w:rsid w:val="00A50BE3"/>
    <w:rsid w:val="00A70E95"/>
    <w:rsid w:val="00AA1F73"/>
    <w:rsid w:val="00AB190D"/>
    <w:rsid w:val="00AB34CA"/>
    <w:rsid w:val="00AD400E"/>
    <w:rsid w:val="00AF0DC5"/>
    <w:rsid w:val="00AF3E5D"/>
    <w:rsid w:val="00B012B7"/>
    <w:rsid w:val="00B30C52"/>
    <w:rsid w:val="00B501AB"/>
    <w:rsid w:val="00B73978"/>
    <w:rsid w:val="00B77C4D"/>
    <w:rsid w:val="00BB13FE"/>
    <w:rsid w:val="00BC7EE2"/>
    <w:rsid w:val="00BF32F2"/>
    <w:rsid w:val="00BF5475"/>
    <w:rsid w:val="00C20ED7"/>
    <w:rsid w:val="00C40CDA"/>
    <w:rsid w:val="00C42D2D"/>
    <w:rsid w:val="00C43474"/>
    <w:rsid w:val="00C61A48"/>
    <w:rsid w:val="00C80F8F"/>
    <w:rsid w:val="00C84355"/>
    <w:rsid w:val="00C84A65"/>
    <w:rsid w:val="00CA3051"/>
    <w:rsid w:val="00CD20D9"/>
    <w:rsid w:val="00CD701A"/>
    <w:rsid w:val="00D05AAE"/>
    <w:rsid w:val="00D05E6B"/>
    <w:rsid w:val="00D066F8"/>
    <w:rsid w:val="00D254A6"/>
    <w:rsid w:val="00D42B55"/>
    <w:rsid w:val="00D57D70"/>
    <w:rsid w:val="00DE3E41"/>
    <w:rsid w:val="00E05D81"/>
    <w:rsid w:val="00E53DFC"/>
    <w:rsid w:val="00E66FC3"/>
    <w:rsid w:val="00E677DD"/>
    <w:rsid w:val="00E77F17"/>
    <w:rsid w:val="00E809D8"/>
    <w:rsid w:val="00E85FEE"/>
    <w:rsid w:val="00E921EC"/>
    <w:rsid w:val="00EB23D0"/>
    <w:rsid w:val="00EC395A"/>
    <w:rsid w:val="00F01632"/>
    <w:rsid w:val="00F04858"/>
    <w:rsid w:val="00F13AA4"/>
    <w:rsid w:val="00F23399"/>
    <w:rsid w:val="00F3510D"/>
    <w:rsid w:val="00F43C07"/>
    <w:rsid w:val="00F43D44"/>
    <w:rsid w:val="00F80E6E"/>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3D2690C"/>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customStyle="1" w:styleId="UnresolvedMention1">
    <w:name w:val="Unresolved Mention1"/>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df97836c-a9d7-40ec-8170-72f4262318c5">DPM</DPM_x0020_Author>
    <DPM_x0020_File_x0020_name xmlns="df97836c-a9d7-40ec-8170-72f4262318c5">S26-PP-C-0091!A40!MSW-S</DPM_x0020_File_x0020_name>
    <DPM_x0020_Version xmlns="df97836c-a9d7-40ec-8170-72f4262318c5">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df97836c-a9d7-40ec-8170-72f4262318c5" targetNamespace="http://schemas.microsoft.com/office/2006/metadata/properties" ma:root="true" ma:fieldsID="d41af5c836d734370eb92e7ee5f83852" ns2:_="" ns3:_="">
    <xsd:import namespace="996b2e75-67fd-4955-a3b0-5ab9934cb50b"/>
    <xsd:import namespace="df97836c-a9d7-40ec-8170-72f4262318c5"/>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df97836c-a9d7-40ec-8170-72f4262318c5"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f97836c-a9d7-40ec-8170-72f4262318c5"/>
  </ds:schemaRefs>
</ds:datastoreItem>
</file>

<file path=customXml/itemProps2.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df97836c-a9d7-40ec-8170-72f4262318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5</Pages>
  <Words>1634</Words>
  <Characters>9303</Characters>
  <Application>Microsoft Office Word</Application>
  <DocSecurity>0</DocSecurity>
  <Lines>77</Lines>
  <Paragraphs>21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S26-PP-C-0091!A40!MSW-S</vt:lpstr>
      <vt:lpstr/>
    </vt:vector>
  </TitlesOfParts>
  <Manager/>
  <Company/>
  <LinksUpToDate>false</LinksUpToDate>
  <CharactersWithSpaces>10916</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S26-PP-C-0091!A40!MSW-S</dc:title>
  <dc:subject>ITU Plenipotentiary Conference (PP-26)</dc:subject>
  <dc:creator>Documents Proposals Manager (DPM)</dc:creator>
  <cp:keywords>DPM_v2026.8.25.1_prod</cp:keywords>
  <dc:description/>
  <cp:lastModifiedBy>Spanish</cp:lastModifiedBy>
  <cp:revision>7</cp:revision>
  <dcterms:created xsi:type="dcterms:W3CDTF">2026-10-22T12:34:00Z</dcterms:created>
  <dcterms:modified xsi:type="dcterms:W3CDTF">2026-10-22T13:30:00Z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