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CD0F50" w14:paraId="535E1207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8670600" w14:textId="77777777" w:rsidR="00BF32F2" w:rsidRPr="00CD0F50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CD0F50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29287C3" wp14:editId="7A6F3C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CD0F50" w14:paraId="5843B0D0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AE68330" w14:textId="77777777" w:rsidR="00277985" w:rsidRPr="00CD0F50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CD0F50" w14:paraId="7AA0A652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7E2F660" w14:textId="77777777" w:rsidR="00255FA1" w:rsidRPr="00CD0F50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1912A069" w14:textId="77777777" w:rsidR="00255FA1" w:rsidRPr="00CD0F50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CD0F50" w14:paraId="66E70F04" w14:textId="77777777" w:rsidTr="005A329F">
        <w:trPr>
          <w:cantSplit/>
          <w:jc w:val="center"/>
        </w:trPr>
        <w:tc>
          <w:tcPr>
            <w:tcW w:w="7229" w:type="dxa"/>
          </w:tcPr>
          <w:p w14:paraId="00199141" w14:textId="77777777" w:rsidR="00255FA1" w:rsidRPr="00CD0F50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CD0F50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6FE608A8" w14:textId="77777777" w:rsidR="00255FA1" w:rsidRPr="00CD0F50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CD0F50">
              <w:rPr>
                <w:rFonts w:cstheme="minorHAnsi"/>
                <w:b/>
                <w:szCs w:val="24"/>
                <w:lang w:val="es-ES"/>
              </w:rPr>
              <w:t>Addéndum 39 al</w:t>
            </w:r>
            <w:r w:rsidRPr="00CD0F50">
              <w:rPr>
                <w:rFonts w:cstheme="minorHAnsi"/>
                <w:b/>
                <w:szCs w:val="24"/>
                <w:lang w:val="es-ES"/>
              </w:rPr>
              <w:br/>
              <w:t>Documento 91</w:t>
            </w:r>
            <w:r w:rsidR="00262FF4" w:rsidRPr="00CD0F50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CD0F50" w14:paraId="6299A0D3" w14:textId="77777777" w:rsidTr="005A329F">
        <w:trPr>
          <w:cantSplit/>
          <w:jc w:val="center"/>
        </w:trPr>
        <w:tc>
          <w:tcPr>
            <w:tcW w:w="7229" w:type="dxa"/>
          </w:tcPr>
          <w:p w14:paraId="4937E8FD" w14:textId="77777777" w:rsidR="00255FA1" w:rsidRPr="00CD0F5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00F21844" w14:textId="77777777" w:rsidR="00255FA1" w:rsidRPr="00CD0F5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CD0F50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CD0F50" w14:paraId="754E7148" w14:textId="77777777" w:rsidTr="005A329F">
        <w:trPr>
          <w:cantSplit/>
          <w:jc w:val="center"/>
        </w:trPr>
        <w:tc>
          <w:tcPr>
            <w:tcW w:w="7229" w:type="dxa"/>
          </w:tcPr>
          <w:p w14:paraId="3ABB9A5E" w14:textId="77777777" w:rsidR="00255FA1" w:rsidRPr="00CD0F50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4A1DD3AD" w14:textId="77777777" w:rsidR="00255FA1" w:rsidRPr="00CD0F5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CD0F50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CD0F50" w14:paraId="4AE776F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D5CC466" w14:textId="77777777" w:rsidR="00255FA1" w:rsidRPr="00CD0F50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CD0F50" w14:paraId="1C32E0E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CCBA983" w14:textId="77777777" w:rsidR="00255FA1" w:rsidRPr="00CD0F50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CD0F50">
              <w:rPr>
                <w:lang w:val="es-ES"/>
              </w:rPr>
              <w:t>Administraciones de los Estados Árabes</w:t>
            </w:r>
          </w:p>
        </w:tc>
      </w:tr>
      <w:tr w:rsidR="00255FA1" w:rsidRPr="00CD0F50" w14:paraId="3730749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6E9ECDB" w14:textId="3EDA78E4" w:rsidR="00255FA1" w:rsidRPr="00CD0F50" w:rsidRDefault="00CD0F50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CD0F50">
              <w:rPr>
                <w:lang w:val="es-ES"/>
              </w:rPr>
              <w:t>Proyecto de nueva Resolución</w:t>
            </w:r>
          </w:p>
        </w:tc>
      </w:tr>
      <w:bookmarkEnd w:id="3"/>
      <w:tr w:rsidR="00255FA1" w:rsidRPr="00CD0F50" w14:paraId="5AAED6B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E983210" w14:textId="64F82C52" w:rsidR="00255FA1" w:rsidRPr="00CD0F50" w:rsidRDefault="00CD0F50" w:rsidP="003B5DC9">
            <w:pPr>
              <w:pStyle w:val="Title2"/>
              <w:rPr>
                <w:lang w:val="es-ES"/>
              </w:rPr>
            </w:pPr>
            <w:r w:rsidRPr="00CD0F50">
              <w:rPr>
                <w:lang w:val="es-ES"/>
              </w:rPr>
              <w:t>Reconocimiento de la importancia de las redes y servicios públicos de telecomunicaciones para los servicios humanitarios esenciales que deben protegerse y facilitarse durante los conflictos armados y las catástrofes</w:t>
            </w:r>
          </w:p>
          <w:tbl>
            <w:tblPr>
              <w:tblpPr w:leftFromText="180" w:rightFromText="180" w:horzAnchor="margin" w:tblpXSpec="center" w:tblpY="-675"/>
              <w:tblW w:w="1003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031"/>
            </w:tblGrid>
            <w:tr w:rsidR="00CD0F50" w:rsidRPr="00CD0F50" w14:paraId="119C53B8" w14:textId="77777777" w:rsidTr="00F1256A">
              <w:trPr>
                <w:cantSplit/>
                <w:trHeight w:val="23"/>
                <w:jc w:val="center"/>
              </w:trPr>
              <w:tc>
                <w:tcPr>
                  <w:tcW w:w="10031" w:type="dxa"/>
                </w:tcPr>
                <w:p w14:paraId="4F232056" w14:textId="77777777" w:rsidR="00CD0F50" w:rsidRPr="00CD0F50" w:rsidRDefault="00CD0F50" w:rsidP="00CD0F50">
                  <w:pPr>
                    <w:pStyle w:val="Agendaitem"/>
                    <w:rPr>
                      <w:lang w:val="es-ES"/>
                    </w:rPr>
                  </w:pPr>
                  <w:bookmarkStart w:id="4" w:name="dtitle2" w:colFirst="0" w:colLast="0"/>
                </w:p>
              </w:tc>
            </w:tr>
          </w:tbl>
          <w:p w14:paraId="35447078" w14:textId="46E447CA" w:rsidR="00CD0F50" w:rsidRPr="00CD0F50" w:rsidRDefault="00CD0F50" w:rsidP="00CD0F50">
            <w:pPr>
              <w:rPr>
                <w:b/>
                <w:bCs/>
                <w:lang w:val="es-ES"/>
              </w:rPr>
            </w:pPr>
            <w:r w:rsidRPr="00CD0F50">
              <w:rPr>
                <w:b/>
                <w:bCs/>
                <w:lang w:val="es-ES"/>
              </w:rPr>
              <w:t>Resumen</w:t>
            </w:r>
          </w:p>
          <w:p w14:paraId="1D9B6F08" w14:textId="44965C81" w:rsidR="00CD0F50" w:rsidRPr="00CD0F50" w:rsidRDefault="00CD0F50" w:rsidP="00CD0F50">
            <w:pPr>
              <w:rPr>
                <w:lang w:val="es-ES"/>
              </w:rPr>
            </w:pPr>
            <w:r w:rsidRPr="00CD0F50">
              <w:rPr>
                <w:lang w:val="es-ES"/>
              </w:rPr>
              <w:t>En este proyecto de nueva Resolución se introduce el reconocimiento de la importancia que revisten las redes y los servicios públicos de telecomunicaciones para los servicios humanitarios esenciales que deben protegerse y facilitarse durante los conflictos armados y las catástrofes. En ella se pide que se salvaguarde la infraestructura, se garantice la continuidad de los servicios y se proteja al personal de telecomunicaciones, a la vez que se promueve la cooperación internacional y los mecanismos de respuesta rápida. Esta propuesta de resolución refleja la creciente dependencia de las telecomunicaciones para las comunicaciones de salvamento, los sistemas de alerta temprana y la coordinación humanitaria, y tiene por objeto integrar su protección en marcos políticos mundiales para defender los derechos humanos y ayudar a las poblaciones vulnerables en situaciones de crisis.</w:t>
            </w:r>
          </w:p>
          <w:p w14:paraId="6EFF4BA9" w14:textId="22801D3A" w:rsidR="00CD0F50" w:rsidRPr="00CD0F50" w:rsidRDefault="00CD0F50" w:rsidP="00CD0F50">
            <w:pPr>
              <w:rPr>
                <w:b/>
                <w:bCs/>
                <w:lang w:val="es-ES"/>
              </w:rPr>
            </w:pPr>
            <w:r w:rsidRPr="00CD0F50">
              <w:rPr>
                <w:b/>
                <w:bCs/>
                <w:lang w:val="es-ES"/>
              </w:rPr>
              <w:t>Acción solicitada</w:t>
            </w:r>
          </w:p>
          <w:p w14:paraId="23ED3AE5" w14:textId="7AF870AD" w:rsidR="00CD0F50" w:rsidRPr="00CD0F50" w:rsidRDefault="00CD0F50" w:rsidP="00CD0F50">
            <w:pPr>
              <w:rPr>
                <w:lang w:val="es-ES"/>
              </w:rPr>
            </w:pPr>
            <w:r w:rsidRPr="00CD0F50">
              <w:rPr>
                <w:lang w:val="es-ES"/>
              </w:rPr>
              <w:t>Se invita a la Conferencia de Plenipotenciarios a examinar este documento y aprobar la Resolución propuesta.</w:t>
            </w:r>
          </w:p>
          <w:p w14:paraId="58F56EF7" w14:textId="77777777" w:rsidR="00CD0F50" w:rsidRPr="00CD0F50" w:rsidRDefault="00CD0F50" w:rsidP="00CD0F50">
            <w:pPr>
              <w:rPr>
                <w:lang w:val="es-ES"/>
              </w:rPr>
            </w:pPr>
          </w:p>
        </w:tc>
      </w:tr>
      <w:tr w:rsidR="00255FA1" w:rsidRPr="00CD0F50" w14:paraId="66C6D3E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0701449" w14:textId="77777777" w:rsidR="00255FA1" w:rsidRPr="00CD0F50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74BC95F7" w14:textId="77777777" w:rsidR="00504FD4" w:rsidRPr="00CD0F50" w:rsidRDefault="00504FD4" w:rsidP="00930E84">
      <w:pPr>
        <w:rPr>
          <w:lang w:val="es-ES"/>
        </w:rPr>
      </w:pPr>
    </w:p>
    <w:p w14:paraId="01D227DC" w14:textId="77777777" w:rsidR="00255FA1" w:rsidRPr="00CD0F5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CD0F50">
        <w:rPr>
          <w:rStyle w:val="PageNumber"/>
          <w:lang w:val="es-ES"/>
        </w:rPr>
        <w:br w:type="page"/>
      </w:r>
    </w:p>
    <w:p w14:paraId="764FD199" w14:textId="77777777" w:rsidR="009D4484" w:rsidRPr="00CD0F50" w:rsidRDefault="004E2197">
      <w:pPr>
        <w:pStyle w:val="Proposal"/>
        <w:rPr>
          <w:lang w:val="es-ES"/>
        </w:rPr>
      </w:pPr>
      <w:r w:rsidRPr="00CD0F50">
        <w:rPr>
          <w:lang w:val="es-ES"/>
        </w:rPr>
        <w:lastRenderedPageBreak/>
        <w:t>ADD</w:t>
      </w:r>
      <w:r w:rsidRPr="00CD0F50">
        <w:rPr>
          <w:lang w:val="es-ES"/>
        </w:rPr>
        <w:tab/>
        <w:t>ARB/91A39/1</w:t>
      </w:r>
    </w:p>
    <w:p w14:paraId="6F28E101" w14:textId="77777777" w:rsidR="009D4484" w:rsidRPr="00CD0F50" w:rsidRDefault="004E2197">
      <w:pPr>
        <w:pStyle w:val="ResNo"/>
        <w:rPr>
          <w:lang w:val="es-ES"/>
        </w:rPr>
      </w:pPr>
      <w:r w:rsidRPr="00CD0F50">
        <w:rPr>
          <w:lang w:val="es-ES"/>
        </w:rPr>
        <w:t>Proyecto de nueva Resolución [ARB-5]</w:t>
      </w:r>
    </w:p>
    <w:p w14:paraId="2F436581" w14:textId="77777777" w:rsidR="00CD0F50" w:rsidRPr="00CD0F50" w:rsidRDefault="00CD0F50" w:rsidP="00CD0F50">
      <w:pPr>
        <w:pStyle w:val="Restitle"/>
        <w:rPr>
          <w:lang w:val="es-ES"/>
        </w:rPr>
      </w:pPr>
      <w:r w:rsidRPr="00CD0F50">
        <w:rPr>
          <w:lang w:val="es-ES"/>
        </w:rPr>
        <w:t>Reconocimiento de la importancia de las redes y servicios públicos de telecomunicaciones para los servicios humanitarios esenciales que deben protegerse y facilitarse durante los conflictos armados y las catástrofes</w:t>
      </w:r>
    </w:p>
    <w:p w14:paraId="4799C481" w14:textId="46AF5876" w:rsidR="00CD0F50" w:rsidRPr="00CD0F50" w:rsidRDefault="00F3617D" w:rsidP="00CD0F50">
      <w:pPr>
        <w:pStyle w:val="Normalaftertitle"/>
        <w:rPr>
          <w:lang w:val="es-ES"/>
        </w:rPr>
      </w:pPr>
      <w:r>
        <w:rPr>
          <w:lang w:val="es-ES"/>
        </w:rPr>
        <w:t xml:space="preserve">La </w:t>
      </w:r>
      <w:r w:rsidRPr="00F3617D">
        <w:rPr>
          <w:lang w:val="es-ES"/>
        </w:rPr>
        <w:t>Conferencia de Plenipotenciarios de la Unión Internacional de Telecomunicaciones (Doha,</w:t>
      </w:r>
      <w:r w:rsidR="00885C8C">
        <w:rPr>
          <w:lang w:val="es-ES"/>
        </w:rPr>
        <w:t> </w:t>
      </w:r>
      <w:r w:rsidRPr="00F3617D">
        <w:rPr>
          <w:lang w:val="es-ES"/>
        </w:rPr>
        <w:t>2026),</w:t>
      </w:r>
    </w:p>
    <w:p w14:paraId="71145D01" w14:textId="7F721973" w:rsidR="00CD0F50" w:rsidRPr="009F10EC" w:rsidRDefault="00F3617D" w:rsidP="009F10EC">
      <w:pPr>
        <w:pStyle w:val="Call"/>
      </w:pPr>
      <w:r w:rsidRPr="009F10EC">
        <w:t>recordando</w:t>
      </w:r>
    </w:p>
    <w:p w14:paraId="3540EEE4" w14:textId="0CFE4D4A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a)</w:t>
      </w:r>
      <w:r w:rsidRPr="00F3617D">
        <w:rPr>
          <w:lang w:val="es-ES"/>
        </w:rPr>
        <w:tab/>
      </w:r>
      <w:r w:rsidR="00F3617D" w:rsidRPr="00F3617D">
        <w:rPr>
          <w:lang w:val="es-ES"/>
        </w:rPr>
        <w:t>el Artículo 40 de la Constitución de la UIT</w:t>
      </w:r>
      <w:r w:rsidR="00F3617D">
        <w:rPr>
          <w:lang w:val="es-ES"/>
        </w:rPr>
        <w:t>, relativo a la</w:t>
      </w:r>
      <w:r w:rsidR="00F3617D" w:rsidRPr="00F3617D">
        <w:rPr>
          <w:lang w:val="es-ES"/>
        </w:rPr>
        <w:t xml:space="preserve"> prioridad de las telecomunicaciones relativas a la seguridad de la vida humana;</w:t>
      </w:r>
    </w:p>
    <w:p w14:paraId="17198084" w14:textId="651CD48F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b)</w:t>
      </w:r>
      <w:r w:rsidRPr="00CD0F50">
        <w:rPr>
          <w:lang w:val="es-ES"/>
        </w:rPr>
        <w:tab/>
      </w:r>
      <w:r w:rsidR="00F3617D" w:rsidRPr="00F3617D">
        <w:rPr>
          <w:lang w:val="es-ES"/>
        </w:rPr>
        <w:t xml:space="preserve">el Artículo </w:t>
      </w:r>
      <w:r w:rsidRPr="00CD0F50">
        <w:rPr>
          <w:lang w:val="es-ES"/>
        </w:rPr>
        <w:t xml:space="preserve">46 </w:t>
      </w:r>
      <w:r w:rsidR="00F3617D" w:rsidRPr="00F3617D">
        <w:rPr>
          <w:lang w:val="es-ES"/>
        </w:rPr>
        <w:t>de la Constitución de la UIT relativo a las llamadas y mensajes de socorro;</w:t>
      </w:r>
    </w:p>
    <w:p w14:paraId="4863F9B5" w14:textId="6DC83F83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c)</w:t>
      </w:r>
      <w:r w:rsidRPr="00CD0F50">
        <w:rPr>
          <w:lang w:val="es-ES"/>
        </w:rPr>
        <w:tab/>
      </w:r>
      <w:r w:rsidR="00F3617D" w:rsidRPr="00F3617D">
        <w:rPr>
          <w:lang w:val="es-ES"/>
        </w:rPr>
        <w:t xml:space="preserve">el Artículo </w:t>
      </w:r>
      <w:r w:rsidRPr="00CD0F50">
        <w:rPr>
          <w:lang w:val="es-ES"/>
        </w:rPr>
        <w:t xml:space="preserve">5 </w:t>
      </w:r>
      <w:r w:rsidR="00F3617D">
        <w:rPr>
          <w:lang w:val="es-ES"/>
        </w:rPr>
        <w:t xml:space="preserve">del </w:t>
      </w:r>
      <w:r w:rsidR="00F3617D" w:rsidRPr="00F3617D">
        <w:rPr>
          <w:lang w:val="es-ES"/>
        </w:rPr>
        <w:t>Reglamento de las Telecomunicaciones Internacionales</w:t>
      </w:r>
      <w:r w:rsidR="00F3617D">
        <w:rPr>
          <w:lang w:val="es-ES"/>
        </w:rPr>
        <w:t xml:space="preserve"> de </w:t>
      </w:r>
      <w:r w:rsidR="00F3617D" w:rsidRPr="00CD0F50">
        <w:rPr>
          <w:lang w:val="es-ES"/>
        </w:rPr>
        <w:t>2012</w:t>
      </w:r>
      <w:r w:rsidR="00F3617D">
        <w:rPr>
          <w:lang w:val="es-ES"/>
        </w:rPr>
        <w:t>,</w:t>
      </w:r>
      <w:r w:rsidR="00F3617D" w:rsidRPr="00F3617D">
        <w:rPr>
          <w:lang w:val="es-ES"/>
        </w:rPr>
        <w:t xml:space="preserve"> adoptado por la Conferencia Mundial de Telecomunicaciones Internacionales (Dubái, 2012),</w:t>
      </w:r>
      <w:r w:rsidR="00F3617D">
        <w:rPr>
          <w:lang w:val="es-ES"/>
        </w:rPr>
        <w:t xml:space="preserve"> </w:t>
      </w:r>
      <w:r w:rsidR="00F3617D" w:rsidRPr="00F3617D">
        <w:rPr>
          <w:lang w:val="es-ES"/>
        </w:rPr>
        <w:t>relativo a la seguridad de la vida humana y prioridad de las telecomunicaciones;</w:t>
      </w:r>
    </w:p>
    <w:p w14:paraId="3E6F5F9C" w14:textId="23A59155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d)</w:t>
      </w:r>
      <w:r w:rsidRPr="00CD0F50">
        <w:rPr>
          <w:i/>
          <w:iCs/>
          <w:lang w:val="es-ES"/>
        </w:rPr>
        <w:tab/>
      </w:r>
      <w:r w:rsidR="00F3617D">
        <w:rPr>
          <w:lang w:val="es-ES"/>
        </w:rPr>
        <w:t>la Resolución</w:t>
      </w:r>
      <w:r w:rsidRPr="00CD0F50">
        <w:rPr>
          <w:lang w:val="es-ES"/>
        </w:rPr>
        <w:t xml:space="preserve"> 1307 </w:t>
      </w:r>
      <w:r w:rsidR="00F3617D">
        <w:rPr>
          <w:lang w:val="es-ES"/>
        </w:rPr>
        <w:t>adoptada por el Consejo de la UIT</w:t>
      </w:r>
      <w:r w:rsidRPr="00CD0F50">
        <w:rPr>
          <w:lang w:val="es-ES"/>
        </w:rPr>
        <w:t xml:space="preserve"> </w:t>
      </w:r>
      <w:r w:rsidR="00F3617D" w:rsidRPr="00F3617D">
        <w:rPr>
          <w:lang w:val="es-ES"/>
        </w:rPr>
        <w:t>sobre el fortalecimiento del papel de las TIC en la acción humanitaria y las emergencias;</w:t>
      </w:r>
    </w:p>
    <w:p w14:paraId="51B3A8C1" w14:textId="4F2C0AA6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e)</w:t>
      </w:r>
      <w:r w:rsidRPr="00CD0F50">
        <w:rPr>
          <w:lang w:val="es-ES"/>
        </w:rPr>
        <w:tab/>
      </w:r>
      <w:r w:rsidR="00F3617D">
        <w:rPr>
          <w:lang w:val="es-ES"/>
        </w:rPr>
        <w:t>la Resolución</w:t>
      </w:r>
      <w:r w:rsidR="00F3617D" w:rsidRPr="00CD0F50">
        <w:rPr>
          <w:lang w:val="es-ES"/>
        </w:rPr>
        <w:t xml:space="preserve"> </w:t>
      </w:r>
      <w:r w:rsidRPr="00CD0F50">
        <w:rPr>
          <w:lang w:val="es-ES"/>
        </w:rPr>
        <w:t xml:space="preserve">646 (Rev. </w:t>
      </w:r>
      <w:r w:rsidR="00F3617D">
        <w:rPr>
          <w:lang w:val="es-ES"/>
        </w:rPr>
        <w:t>CMR</w:t>
      </w:r>
      <w:r w:rsidR="00AD2E65">
        <w:rPr>
          <w:lang w:val="es-ES"/>
        </w:rPr>
        <w:noBreakHyphen/>
      </w:r>
      <w:r w:rsidRPr="00CD0F50">
        <w:rPr>
          <w:lang w:val="es-ES"/>
        </w:rPr>
        <w:t xml:space="preserve">19) </w:t>
      </w:r>
      <w:r w:rsidR="00F3617D" w:rsidRPr="00F3617D">
        <w:rPr>
          <w:lang w:val="es-ES"/>
        </w:rPr>
        <w:t xml:space="preserve">de la Conferencia Mundial de Radiocomunicaciones </w:t>
      </w:r>
      <w:r w:rsidRPr="00CD0F50">
        <w:rPr>
          <w:lang w:val="es-ES"/>
        </w:rPr>
        <w:t>(</w:t>
      </w:r>
      <w:r w:rsidR="00F3617D">
        <w:rPr>
          <w:lang w:val="es-ES"/>
        </w:rPr>
        <w:t>CMR</w:t>
      </w:r>
      <w:r w:rsidRPr="00CD0F50">
        <w:rPr>
          <w:lang w:val="es-ES"/>
        </w:rPr>
        <w:t xml:space="preserve">) </w:t>
      </w:r>
      <w:r w:rsidR="00F3617D" w:rsidRPr="00F3617D">
        <w:rPr>
          <w:lang w:val="es-ES"/>
        </w:rPr>
        <w:t>relativa a las comunicaciones públicas para la protección de las personas, la seguridad y las situaciones de protección en casos de catástrofe</w:t>
      </w:r>
      <w:r w:rsidRPr="00CD0F50">
        <w:rPr>
          <w:lang w:val="es-ES"/>
        </w:rPr>
        <w:t>;</w:t>
      </w:r>
    </w:p>
    <w:p w14:paraId="745DE015" w14:textId="5C66EB28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f)</w:t>
      </w:r>
      <w:r w:rsidRPr="00CD0F50">
        <w:rPr>
          <w:lang w:val="es-ES"/>
        </w:rPr>
        <w:tab/>
      </w:r>
      <w:r w:rsidR="003370B0">
        <w:rPr>
          <w:lang w:val="es-ES"/>
        </w:rPr>
        <w:t>la Resolución</w:t>
      </w:r>
      <w:r w:rsidR="003370B0" w:rsidRPr="00CD0F50">
        <w:rPr>
          <w:lang w:val="es-ES"/>
        </w:rPr>
        <w:t xml:space="preserve"> </w:t>
      </w:r>
      <w:r w:rsidRPr="00CD0F50">
        <w:rPr>
          <w:lang w:val="es-ES"/>
        </w:rPr>
        <w:t xml:space="preserve">647 (Rev. </w:t>
      </w:r>
      <w:r w:rsidR="003370B0">
        <w:rPr>
          <w:lang w:val="es-ES"/>
        </w:rPr>
        <w:t>CMR</w:t>
      </w:r>
      <w:r w:rsidR="008135AE">
        <w:rPr>
          <w:lang w:val="es-ES"/>
        </w:rPr>
        <w:noBreakHyphen/>
      </w:r>
      <w:r w:rsidRPr="00CD0F50">
        <w:rPr>
          <w:lang w:val="es-ES"/>
        </w:rPr>
        <w:t xml:space="preserve">23) </w:t>
      </w:r>
      <w:r w:rsidR="003370B0">
        <w:rPr>
          <w:lang w:val="es-ES"/>
        </w:rPr>
        <w:t>de la CMR,</w:t>
      </w:r>
      <w:r w:rsidRPr="00CD0F50">
        <w:rPr>
          <w:lang w:val="es-ES"/>
        </w:rPr>
        <w:t xml:space="preserve"> </w:t>
      </w:r>
      <w:r w:rsidR="003370B0" w:rsidRPr="003370B0">
        <w:rPr>
          <w:lang w:val="es-ES"/>
        </w:rPr>
        <w:t>sobre el uso del espectro para la alerta temprana y el socorro;</w:t>
      </w:r>
    </w:p>
    <w:p w14:paraId="47D8F30D" w14:textId="745CC5B3" w:rsidR="003370B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g)</w:t>
      </w:r>
      <w:r w:rsidRPr="00CD0F50">
        <w:rPr>
          <w:i/>
          <w:iCs/>
          <w:lang w:val="es-ES"/>
        </w:rPr>
        <w:tab/>
      </w:r>
      <w:r w:rsidR="003370B0">
        <w:rPr>
          <w:lang w:val="es-ES"/>
        </w:rPr>
        <w:t xml:space="preserve">la </w:t>
      </w:r>
      <w:r w:rsidR="003370B0" w:rsidRPr="003370B0">
        <w:rPr>
          <w:lang w:val="es-ES"/>
        </w:rPr>
        <w:t xml:space="preserve">Resolución 34 (Rev. </w:t>
      </w:r>
      <w:r w:rsidR="008C2E83">
        <w:rPr>
          <w:lang w:val="es-ES"/>
        </w:rPr>
        <w:t>Bakú</w:t>
      </w:r>
      <w:r w:rsidR="003370B0" w:rsidRPr="003370B0">
        <w:rPr>
          <w:lang w:val="es-ES"/>
        </w:rPr>
        <w:t>, 20</w:t>
      </w:r>
      <w:r w:rsidR="008C2E83">
        <w:rPr>
          <w:lang w:val="es-ES"/>
        </w:rPr>
        <w:t>25</w:t>
      </w:r>
      <w:r w:rsidR="003370B0" w:rsidRPr="003370B0">
        <w:rPr>
          <w:lang w:val="es-ES"/>
        </w:rPr>
        <w:t xml:space="preserve">) de la Conferencia Mundial de Desarrollo de las Telecomunicaciones </w:t>
      </w:r>
      <w:r w:rsidR="003370B0">
        <w:rPr>
          <w:lang w:val="es-ES"/>
        </w:rPr>
        <w:t xml:space="preserve">(CMDT) </w:t>
      </w:r>
      <w:r w:rsidR="003370B0" w:rsidRPr="003370B0">
        <w:rPr>
          <w:lang w:val="es-ES"/>
        </w:rPr>
        <w:t>sobre la función de las telecomunicaciones y las tecnologías de la información y la comunicación (TIC) en la preparación, alerta temprana, rescate, mitigación, socorro y respuesta en situaciones de catástrofe;</w:t>
      </w:r>
    </w:p>
    <w:p w14:paraId="20683B9E" w14:textId="6074CFBD" w:rsidR="006411C1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h)</w:t>
      </w:r>
      <w:r w:rsidRPr="00CD0F50">
        <w:rPr>
          <w:lang w:val="es-ES"/>
        </w:rPr>
        <w:tab/>
      </w:r>
      <w:r w:rsidR="006411C1">
        <w:rPr>
          <w:lang w:val="es-ES"/>
        </w:rPr>
        <w:t xml:space="preserve">la </w:t>
      </w:r>
      <w:r w:rsidR="006411C1" w:rsidRPr="003370B0">
        <w:rPr>
          <w:lang w:val="es-ES"/>
        </w:rPr>
        <w:t xml:space="preserve">Resolución </w:t>
      </w:r>
      <w:r w:rsidRPr="00CD0F50">
        <w:rPr>
          <w:lang w:val="es-ES"/>
        </w:rPr>
        <w:t xml:space="preserve">136 (Rev. Bucarest, 2022) </w:t>
      </w:r>
      <w:r w:rsidR="006411C1" w:rsidRPr="006411C1">
        <w:rPr>
          <w:lang w:val="es-ES"/>
        </w:rPr>
        <w:t>de la Conferencia de Plenipotenciarios</w:t>
      </w:r>
      <w:r w:rsidR="006411C1">
        <w:rPr>
          <w:lang w:val="es-ES"/>
        </w:rPr>
        <w:t xml:space="preserve">, </w:t>
      </w:r>
      <w:r w:rsidR="006411C1" w:rsidRPr="006411C1">
        <w:rPr>
          <w:lang w:val="es-ES"/>
        </w:rPr>
        <w:t>sobre las iniciativas en materia de telecomunicaciones de emergencia, que tiene por objeto mejorar la utilización de las telecomunicaciones para dar apoyo a las actividades de rescate y socorro en situaciones de catástrofe, conflicto o emergencia sanitaria y humanitaria, y la Resolución 102 del Consejo de la UIT;</w:t>
      </w:r>
    </w:p>
    <w:p w14:paraId="3328B270" w14:textId="254D0253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i)</w:t>
      </w:r>
      <w:r w:rsidRPr="00CD0F50">
        <w:rPr>
          <w:lang w:val="es-ES"/>
        </w:rPr>
        <w:tab/>
      </w:r>
      <w:r w:rsidR="006411C1">
        <w:rPr>
          <w:lang w:val="es-ES"/>
        </w:rPr>
        <w:t xml:space="preserve">los trabajos </w:t>
      </w:r>
      <w:r w:rsidR="006411C1" w:rsidRPr="006411C1">
        <w:rPr>
          <w:lang w:val="es-ES"/>
        </w:rPr>
        <w:t>de las Comisiones de Estudio del UIT</w:t>
      </w:r>
      <w:r w:rsidR="008135AE">
        <w:rPr>
          <w:lang w:val="es-ES"/>
        </w:rPr>
        <w:noBreakHyphen/>
      </w:r>
      <w:r w:rsidR="006411C1" w:rsidRPr="006411C1">
        <w:rPr>
          <w:lang w:val="es-ES"/>
        </w:rPr>
        <w:t>D sobre las telecomunicaciones de emergencia y las comunicaciones prioritarias;</w:t>
      </w:r>
    </w:p>
    <w:p w14:paraId="3B523633" w14:textId="51189EC6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j)</w:t>
      </w:r>
      <w:r w:rsidRPr="00CD0F50">
        <w:rPr>
          <w:i/>
          <w:iCs/>
          <w:lang w:val="es-ES"/>
        </w:rPr>
        <w:tab/>
      </w:r>
      <w:r w:rsidR="006411C1">
        <w:rPr>
          <w:lang w:val="es-ES"/>
        </w:rPr>
        <w:t xml:space="preserve">la </w:t>
      </w:r>
      <w:r w:rsidR="006411C1" w:rsidRPr="006411C1">
        <w:rPr>
          <w:lang w:val="es-ES"/>
        </w:rPr>
        <w:t>segunda Conferencia Intergubernamental sobre Telecomunicaciones para Casos de Emergencia</w:t>
      </w:r>
      <w:r w:rsidRPr="00CD0F50">
        <w:rPr>
          <w:lang w:val="es-ES"/>
        </w:rPr>
        <w:t xml:space="preserve"> (ICET</w:t>
      </w:r>
      <w:r w:rsidR="008135AE">
        <w:rPr>
          <w:lang w:val="es-ES"/>
        </w:rPr>
        <w:noBreakHyphen/>
      </w:r>
      <w:r w:rsidRPr="00CD0F50">
        <w:rPr>
          <w:lang w:val="es-ES"/>
        </w:rPr>
        <w:t>98) (Tampere, 1998);</w:t>
      </w:r>
    </w:p>
    <w:p w14:paraId="5BF60F41" w14:textId="5960C236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k)</w:t>
      </w:r>
      <w:r w:rsidRPr="00CD0F50">
        <w:rPr>
          <w:i/>
          <w:iCs/>
          <w:lang w:val="es-ES"/>
        </w:rPr>
        <w:tab/>
      </w:r>
      <w:r w:rsidR="00BC0C89">
        <w:rPr>
          <w:lang w:val="es-ES"/>
        </w:rPr>
        <w:t xml:space="preserve">las </w:t>
      </w:r>
      <w:r w:rsidR="00BC0C89" w:rsidRPr="00BC0C89">
        <w:rPr>
          <w:lang w:val="es-ES"/>
        </w:rPr>
        <w:t>Resoluciones 46/182</w:t>
      </w:r>
      <w:r w:rsidR="008135AE">
        <w:rPr>
          <w:lang w:val="es-ES"/>
        </w:rPr>
        <w:t> </w:t>
      </w:r>
      <w:r w:rsidR="00BC0C89" w:rsidRPr="00BC0C89">
        <w:rPr>
          <w:lang w:val="es-ES"/>
        </w:rPr>
        <w:t>(1991), 57/150</w:t>
      </w:r>
      <w:r w:rsidR="008135AE">
        <w:rPr>
          <w:lang w:val="es-ES"/>
        </w:rPr>
        <w:t> </w:t>
      </w:r>
      <w:r w:rsidR="00BC0C89" w:rsidRPr="00BC0C89">
        <w:rPr>
          <w:lang w:val="es-ES"/>
        </w:rPr>
        <w:t>(2002), 60/125</w:t>
      </w:r>
      <w:r w:rsidR="008135AE">
        <w:rPr>
          <w:lang w:val="es-ES"/>
        </w:rPr>
        <w:t> </w:t>
      </w:r>
      <w:r w:rsidR="00BC0C89" w:rsidRPr="00BC0C89">
        <w:rPr>
          <w:lang w:val="es-ES"/>
        </w:rPr>
        <w:t>(2005) y 68/102</w:t>
      </w:r>
      <w:r w:rsidR="008135AE">
        <w:rPr>
          <w:lang w:val="es-ES"/>
        </w:rPr>
        <w:t> </w:t>
      </w:r>
      <w:r w:rsidR="00BC0C89" w:rsidRPr="00BC0C89">
        <w:rPr>
          <w:lang w:val="es-ES"/>
        </w:rPr>
        <w:t>(2014) de la Asamblea General de las Naciones Unidas;</w:t>
      </w:r>
    </w:p>
    <w:p w14:paraId="09B40A75" w14:textId="47D7616D" w:rsidR="00CD0F50" w:rsidRPr="00CD0F50" w:rsidRDefault="00CD0F50" w:rsidP="00E026B3">
      <w:pPr>
        <w:rPr>
          <w:lang w:val="es-ES"/>
        </w:rPr>
      </w:pPr>
      <w:r w:rsidRPr="00CD0F50">
        <w:rPr>
          <w:i/>
          <w:iCs/>
          <w:lang w:val="es-ES"/>
        </w:rPr>
        <w:lastRenderedPageBreak/>
        <w:t>l)</w:t>
      </w:r>
      <w:r w:rsidRPr="00CD0F50">
        <w:rPr>
          <w:i/>
          <w:iCs/>
          <w:lang w:val="es-ES"/>
        </w:rPr>
        <w:tab/>
      </w:r>
      <w:r w:rsidR="00BC0C89">
        <w:rPr>
          <w:lang w:val="es-ES"/>
        </w:rPr>
        <w:t xml:space="preserve">la </w:t>
      </w:r>
      <w:r w:rsidR="00BC0C89" w:rsidRPr="00BC0C89">
        <w:rPr>
          <w:lang w:val="es-ES"/>
        </w:rPr>
        <w:t>iniciativa "Alerta Temprana para Todos" (EW4ALL) del Secretario General de las Naciones Unidas, en particular el tercer pilar sobre Comunicación de Avisos y Alertas a Toda la Población, dirigido por la UIT, que tiene por objeto garantizar que los avisos sobre las catástrofes lleguen a toda la población para finales de 2027;</w:t>
      </w:r>
    </w:p>
    <w:p w14:paraId="5B01D5D0" w14:textId="00C1E4BE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m)</w:t>
      </w:r>
      <w:r w:rsidRPr="00CD0F50">
        <w:rPr>
          <w:lang w:val="es-ES"/>
        </w:rPr>
        <w:tab/>
      </w:r>
      <w:r w:rsidR="00E026B3">
        <w:rPr>
          <w:lang w:val="es-ES"/>
        </w:rPr>
        <w:t xml:space="preserve">el </w:t>
      </w:r>
      <w:r w:rsidR="00E026B3" w:rsidRPr="00E026B3">
        <w:rPr>
          <w:lang w:val="es-ES"/>
        </w:rPr>
        <w:t>Artículo 52 del Primer Protocolo Adicional a los Convenios de Ginebra en el que se prohíben los ataques contra bienes de carácter civil, incluidas las infraestructuras públicas de telecomunicaciones</w:t>
      </w:r>
      <w:r w:rsidR="00E026B3">
        <w:rPr>
          <w:lang w:val="es-ES"/>
        </w:rPr>
        <w:t>;</w:t>
      </w:r>
    </w:p>
    <w:p w14:paraId="707465F3" w14:textId="479A09AB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n)</w:t>
      </w:r>
      <w:r w:rsidRPr="00CD0F50">
        <w:rPr>
          <w:lang w:val="es-ES"/>
        </w:rPr>
        <w:tab/>
      </w:r>
      <w:r w:rsidR="00E026B3">
        <w:rPr>
          <w:lang w:val="es-ES"/>
        </w:rPr>
        <w:t xml:space="preserve">el </w:t>
      </w:r>
      <w:r w:rsidR="00E026B3" w:rsidRPr="00E026B3">
        <w:rPr>
          <w:lang w:val="es-ES"/>
        </w:rPr>
        <w:t>derecho internacional humanitario y los Convenios de Ginebra que prohíben los ataques contra infraestructuras civiles;</w:t>
      </w:r>
    </w:p>
    <w:p w14:paraId="3C780FDE" w14:textId="4874E55C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o)</w:t>
      </w:r>
      <w:r w:rsidRPr="00CD0F50">
        <w:rPr>
          <w:lang w:val="es-ES"/>
        </w:rPr>
        <w:tab/>
      </w:r>
      <w:r w:rsidR="00BE272A">
        <w:rPr>
          <w:lang w:val="es-ES"/>
        </w:rPr>
        <w:t xml:space="preserve">el </w:t>
      </w:r>
      <w:r w:rsidR="00BE272A" w:rsidRPr="00BE272A">
        <w:rPr>
          <w:lang w:val="es-ES"/>
        </w:rPr>
        <w:t>Artículo 19 de la Declaración Universal de Derechos Humanos, en el que se establece el derecho a la libertad de expresión y a recibir e impartir información;</w:t>
      </w:r>
    </w:p>
    <w:p w14:paraId="65058366" w14:textId="626BDB14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p)</w:t>
      </w:r>
      <w:r w:rsidRPr="00CD0F50">
        <w:rPr>
          <w:i/>
          <w:iCs/>
          <w:lang w:val="es-ES"/>
        </w:rPr>
        <w:tab/>
      </w:r>
      <w:r w:rsidR="00BE272A">
        <w:rPr>
          <w:lang w:val="es-ES"/>
        </w:rPr>
        <w:t xml:space="preserve">el </w:t>
      </w:r>
      <w:r w:rsidR="00BE272A" w:rsidRPr="00BE272A">
        <w:rPr>
          <w:lang w:val="es-ES"/>
        </w:rPr>
        <w:t>lema de la UIT "Las telecomunicaciones salvan vidas", que recalca que el acceso instantáneo a la información es fundamental para la supervivencia</w:t>
      </w:r>
      <w:r w:rsidR="00BE272A">
        <w:rPr>
          <w:lang w:val="es-ES"/>
        </w:rPr>
        <w:t>,</w:t>
      </w:r>
    </w:p>
    <w:p w14:paraId="1F8ED266" w14:textId="58097376" w:rsidR="00CD0F50" w:rsidRPr="009F10EC" w:rsidRDefault="00BE272A" w:rsidP="009F10EC">
      <w:pPr>
        <w:pStyle w:val="Call"/>
      </w:pPr>
      <w:r w:rsidRPr="009F10EC">
        <w:t>recordando además</w:t>
      </w:r>
    </w:p>
    <w:p w14:paraId="452A4D93" w14:textId="6A869895" w:rsidR="00CD0F50" w:rsidRPr="00CD0F50" w:rsidRDefault="00BE272A" w:rsidP="00CD0F50">
      <w:pPr>
        <w:rPr>
          <w:lang w:val="es-ES"/>
        </w:rPr>
      </w:pPr>
      <w:r>
        <w:rPr>
          <w:lang w:val="es-ES"/>
        </w:rPr>
        <w:t xml:space="preserve">el </w:t>
      </w:r>
      <w:r w:rsidRPr="00BE272A">
        <w:rPr>
          <w:lang w:val="es-ES"/>
        </w:rPr>
        <w:t>Marco de Sendai para la Reducción del Riesgo de Desastres 2015</w:t>
      </w:r>
      <w:r w:rsidR="008135AE">
        <w:rPr>
          <w:lang w:val="es-ES"/>
        </w:rPr>
        <w:noBreakHyphen/>
      </w:r>
      <w:r w:rsidRPr="00BE272A">
        <w:rPr>
          <w:lang w:val="es-ES"/>
        </w:rPr>
        <w:t>2030, en el que se subraya la importancia de los sistemas de telecomunicaciones y alerta temprana para la preparación, la mitigación de riesgos y la protección de la vida</w:t>
      </w:r>
      <w:r>
        <w:rPr>
          <w:lang w:val="es-ES"/>
        </w:rPr>
        <w:t>,</w:t>
      </w:r>
    </w:p>
    <w:p w14:paraId="02EED4ED" w14:textId="7CA1FA8A" w:rsidR="00CD0F50" w:rsidRPr="009F10EC" w:rsidRDefault="00BE272A" w:rsidP="009F10EC">
      <w:pPr>
        <w:pStyle w:val="Call"/>
      </w:pPr>
      <w:r w:rsidRPr="009F10EC">
        <w:t>reconociendo</w:t>
      </w:r>
    </w:p>
    <w:p w14:paraId="1F6B3761" w14:textId="3547E54B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a)</w:t>
      </w:r>
      <w:r w:rsidRPr="00CD0F50">
        <w:rPr>
          <w:lang w:val="es-ES"/>
        </w:rPr>
        <w:tab/>
      </w:r>
      <w:r w:rsidR="000B68E5" w:rsidRPr="000B68E5">
        <w:rPr>
          <w:lang w:val="es-ES"/>
        </w:rPr>
        <w:t>la importancia fundamental de los servicios de telecomunicaciones para salvar vidas, garantizar el funcionamiento de los servicios de rescate y emergencia, prestar asistencia humanitaria y mantener la continuidad de las comunicaciones entre las poblaciones durante los conflictos armados y las catástrofe</w:t>
      </w:r>
      <w:r w:rsidR="000B68E5">
        <w:rPr>
          <w:lang w:val="es-ES"/>
        </w:rPr>
        <w:t>s</w:t>
      </w:r>
      <w:r w:rsidRPr="00CD0F50">
        <w:rPr>
          <w:lang w:val="es-ES"/>
        </w:rPr>
        <w:t>;</w:t>
      </w:r>
    </w:p>
    <w:p w14:paraId="6F384F51" w14:textId="4DACE9C3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b)</w:t>
      </w:r>
      <w:r w:rsidRPr="00CD0F50">
        <w:rPr>
          <w:lang w:val="es-ES"/>
        </w:rPr>
        <w:tab/>
      </w:r>
      <w:r w:rsidR="000B68E5">
        <w:rPr>
          <w:lang w:val="es-ES"/>
        </w:rPr>
        <w:t xml:space="preserve">la </w:t>
      </w:r>
      <w:r w:rsidR="000B68E5" w:rsidRPr="000B68E5">
        <w:rPr>
          <w:lang w:val="es-ES"/>
        </w:rPr>
        <w:t>urgente necesidad de garantizar canales de comunicación seguros y fiables para las personas afectadas por conflictos armados y catástrofes, y para las organizaciones humanitarias que prestan socorro y asistencia;</w:t>
      </w:r>
    </w:p>
    <w:p w14:paraId="5E47C76B" w14:textId="26195EB0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c)</w:t>
      </w:r>
      <w:r w:rsidRPr="00CD0F50">
        <w:rPr>
          <w:lang w:val="es-ES"/>
        </w:rPr>
        <w:tab/>
      </w:r>
      <w:r w:rsidR="000B68E5">
        <w:rPr>
          <w:lang w:val="es-ES"/>
        </w:rPr>
        <w:t>que</w:t>
      </w:r>
      <w:r w:rsidRPr="00CD0F50">
        <w:rPr>
          <w:lang w:val="es-ES"/>
        </w:rPr>
        <w:t xml:space="preserve"> </w:t>
      </w:r>
      <w:r w:rsidR="000B68E5" w:rsidRPr="000B68E5">
        <w:rPr>
          <w:lang w:val="es-ES"/>
        </w:rPr>
        <w:t>los conflictos armados y las catástrofes recurrentes han demostrado la importancia de la infraestructura de telecomunicaciones/TIC para garantizar la seguridad de los civiles y ayudar a los organismos de socorro y salvamento a reducir los riesgos que amenazan la vida y difundir información pública esencial, incluso en los idiomas locales;</w:t>
      </w:r>
    </w:p>
    <w:p w14:paraId="02BA2A6B" w14:textId="0D71122A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d)</w:t>
      </w:r>
      <w:r w:rsidRPr="00CD0F50">
        <w:rPr>
          <w:lang w:val="es-ES"/>
        </w:rPr>
        <w:tab/>
      </w:r>
      <w:r w:rsidR="000B68E5">
        <w:rPr>
          <w:lang w:val="es-ES"/>
        </w:rPr>
        <w:t>qu</w:t>
      </w:r>
      <w:r w:rsidR="008C2E83">
        <w:rPr>
          <w:lang w:val="es-ES"/>
        </w:rPr>
        <w:t>e</w:t>
      </w:r>
      <w:r w:rsidR="000B68E5">
        <w:rPr>
          <w:lang w:val="es-ES"/>
        </w:rPr>
        <w:t xml:space="preserve"> </w:t>
      </w:r>
      <w:r w:rsidR="00FB55EE" w:rsidRPr="00FB55EE">
        <w:rPr>
          <w:lang w:val="es-ES"/>
        </w:rPr>
        <w:t>el creciente número de guerras y conflictos ha dado lugar a una mayor destrucción de las infraestructuras y a un mayor número de trágicas pérdidas de vidas humanas, en particular entre los niños, las mujeres, las personas de edad y el personal que trabaja en las redes de telecomunicaciones y socorro, debido a la pérdida de conectividad;</w:t>
      </w:r>
    </w:p>
    <w:p w14:paraId="3AF9F67B" w14:textId="2CEA146E" w:rsidR="00CD0F50" w:rsidRPr="00CD0F50" w:rsidRDefault="00CD0F50" w:rsidP="00A3340F">
      <w:pPr>
        <w:rPr>
          <w:lang w:val="es-ES"/>
        </w:rPr>
      </w:pPr>
      <w:r w:rsidRPr="00CD0F50">
        <w:rPr>
          <w:i/>
          <w:iCs/>
          <w:lang w:val="es-ES"/>
        </w:rPr>
        <w:t>e)</w:t>
      </w:r>
      <w:r w:rsidRPr="00CD0F50">
        <w:rPr>
          <w:i/>
          <w:iCs/>
          <w:lang w:val="es-ES"/>
        </w:rPr>
        <w:tab/>
      </w:r>
      <w:r w:rsidR="00FB55EE">
        <w:rPr>
          <w:lang w:val="es-ES"/>
        </w:rPr>
        <w:t xml:space="preserve">que </w:t>
      </w:r>
      <w:r w:rsidR="00FB55EE" w:rsidRPr="00FB55EE">
        <w:rPr>
          <w:lang w:val="es-ES"/>
        </w:rPr>
        <w:t>las telecomunicaciones y las tecnologías de la información y la comunicación desempeñan una función vital para apoyar los sistemas de alerta temprana, propiciar las respuestas rápidas y las operaciones de rescate y socorro, y mitigar los efectos de las crisis</w:t>
      </w:r>
      <w:r w:rsidR="008C2E83">
        <w:rPr>
          <w:lang w:val="es-ES"/>
        </w:rPr>
        <w:t>,</w:t>
      </w:r>
      <w:r w:rsidR="00A3340F">
        <w:rPr>
          <w:lang w:val="es-ES"/>
        </w:rPr>
        <w:t xml:space="preserve"> </w:t>
      </w:r>
      <w:r w:rsidR="00A3340F" w:rsidRPr="00A3340F">
        <w:t>que también apoyan la toma de decisiones, garantizan un acceso seguro a la información y los servicios y facilitan la comunicación entre y con los ciudadanos,</w:t>
      </w:r>
    </w:p>
    <w:p w14:paraId="22719B96" w14:textId="2EB0596C" w:rsidR="00CD0F50" w:rsidRPr="009F10EC" w:rsidRDefault="00FB55EE" w:rsidP="009F10EC">
      <w:pPr>
        <w:pStyle w:val="Call"/>
      </w:pPr>
      <w:r w:rsidRPr="009F10EC">
        <w:t>teniendo en cuenta</w:t>
      </w:r>
    </w:p>
    <w:p w14:paraId="7B6A9E3C" w14:textId="2C61253A" w:rsidR="00CD0F50" w:rsidRPr="00CD0F50" w:rsidRDefault="00FB55EE" w:rsidP="00CD0F50">
      <w:pPr>
        <w:rPr>
          <w:lang w:val="es-ES"/>
        </w:rPr>
      </w:pPr>
      <w:r>
        <w:rPr>
          <w:lang w:val="es-ES"/>
        </w:rPr>
        <w:t xml:space="preserve">que </w:t>
      </w:r>
      <w:r w:rsidRPr="00FB55EE">
        <w:rPr>
          <w:lang w:val="es-ES"/>
        </w:rPr>
        <w:t xml:space="preserve">el Convenio de Tampere sobre el Suministro de Recursos de Telecomunicaciones para la Mitigación de Catástrofes y las Operaciones de Socorro en Casos de Catástrofe (1998) constituye el </w:t>
      </w:r>
      <w:r w:rsidRPr="00FB55EE">
        <w:rPr>
          <w:lang w:val="es-ES"/>
        </w:rPr>
        <w:lastRenderedPageBreak/>
        <w:t>primer tratado internacional vinculante en el que se reconoce la función humanitaria de las redes y servicios de telecomunicaciones y se obliga a los Estados Partes a facilitar la implantación y utilización de equipos y servicios de telecomunicaciones durante las catástrofes</w:t>
      </w:r>
      <w:r>
        <w:rPr>
          <w:lang w:val="es-ES"/>
        </w:rPr>
        <w:t>,</w:t>
      </w:r>
    </w:p>
    <w:p w14:paraId="44454E58" w14:textId="0BEBAD39" w:rsidR="00CD0F50" w:rsidRPr="009F10EC" w:rsidRDefault="00FB55EE" w:rsidP="009F10EC">
      <w:pPr>
        <w:pStyle w:val="Call"/>
      </w:pPr>
      <w:r w:rsidRPr="009F10EC">
        <w:t>reconociendo</w:t>
      </w:r>
    </w:p>
    <w:p w14:paraId="31DB6B0C" w14:textId="1C6887E2" w:rsidR="00CD0F50" w:rsidRPr="00CD0F50" w:rsidRDefault="002C18CA" w:rsidP="00CD0F50">
      <w:pPr>
        <w:rPr>
          <w:lang w:val="es-ES"/>
        </w:rPr>
      </w:pPr>
      <w:r>
        <w:rPr>
          <w:lang w:val="es-ES"/>
        </w:rPr>
        <w:t xml:space="preserve">la </w:t>
      </w:r>
      <w:r w:rsidRPr="002C18CA">
        <w:rPr>
          <w:lang w:val="es-ES"/>
        </w:rPr>
        <w:t>función esencial que desempeñan las redes y servicios de telecomunicaciones en las actividades de preparación y respuesta humanitarias y en la mejora de la seguridad y la estabilidad en zonas afectadas por conflictos armados y catástrofes, habida cuenta de la creciente importancia de las TIC para facilitar la prestación de ayuda humanitaria urgente en tiempos de conflictos armados y catástrofe</w:t>
      </w:r>
      <w:r>
        <w:rPr>
          <w:lang w:val="es-ES"/>
        </w:rPr>
        <w:t>s,</w:t>
      </w:r>
    </w:p>
    <w:p w14:paraId="49A68679" w14:textId="08C00CE5" w:rsidR="00CD0F50" w:rsidRPr="009F10EC" w:rsidRDefault="002C18CA" w:rsidP="009F10EC">
      <w:pPr>
        <w:pStyle w:val="Call"/>
      </w:pPr>
      <w:r w:rsidRPr="009F10EC">
        <w:t>teniendo presente</w:t>
      </w:r>
    </w:p>
    <w:p w14:paraId="1481A501" w14:textId="58FC1623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a)</w:t>
      </w:r>
      <w:r w:rsidRPr="00CD0F50">
        <w:rPr>
          <w:i/>
          <w:iCs/>
          <w:lang w:val="es-ES"/>
        </w:rPr>
        <w:tab/>
      </w:r>
      <w:r w:rsidR="002C18CA">
        <w:rPr>
          <w:lang w:val="es-ES"/>
        </w:rPr>
        <w:t xml:space="preserve">la </w:t>
      </w:r>
      <w:r w:rsidR="002C18CA" w:rsidRPr="002C18CA">
        <w:rPr>
          <w:lang w:val="es-ES"/>
        </w:rPr>
        <w:t>urgente necesidad de mantener comunicaciones fiables para las poblaciones afectadas y el personal humanitario</w:t>
      </w:r>
      <w:r w:rsidRPr="00CD0F50">
        <w:rPr>
          <w:lang w:val="es-ES"/>
        </w:rPr>
        <w:t>;</w:t>
      </w:r>
    </w:p>
    <w:p w14:paraId="4CA3D10F" w14:textId="0C8D67AE" w:rsidR="00CD0F50" w:rsidRPr="00CD0F50" w:rsidRDefault="00CD0F50" w:rsidP="00CD0F50">
      <w:pPr>
        <w:rPr>
          <w:lang w:val="es-ES"/>
        </w:rPr>
      </w:pPr>
      <w:r w:rsidRPr="00CD0F50">
        <w:rPr>
          <w:i/>
          <w:iCs/>
          <w:lang w:val="es-ES"/>
        </w:rPr>
        <w:t>b)</w:t>
      </w:r>
      <w:r w:rsidRPr="00CD0F50">
        <w:rPr>
          <w:lang w:val="es-ES"/>
        </w:rPr>
        <w:tab/>
      </w:r>
      <w:r w:rsidR="002C18CA" w:rsidRPr="002C18CA">
        <w:rPr>
          <w:lang w:val="es-ES"/>
        </w:rPr>
        <w:t>que el mantenimiento de la continuidad y accesibilidad de las redes y servicios de telecomunicaciones durante los conflictos armados y las catástrofes favorece directamente el acceso a la información y permite a las personas ejercer sus derechos</w:t>
      </w:r>
      <w:r w:rsidR="002C18CA">
        <w:rPr>
          <w:lang w:val="es-ES"/>
        </w:rPr>
        <w:t>,</w:t>
      </w:r>
    </w:p>
    <w:p w14:paraId="4398010B" w14:textId="0408E3E2" w:rsidR="00CD0F50" w:rsidRPr="009F10EC" w:rsidRDefault="003E3243" w:rsidP="009F10EC">
      <w:pPr>
        <w:pStyle w:val="Call"/>
      </w:pPr>
      <w:r w:rsidRPr="009F10EC">
        <w:t>encarga a los Directores de las tres Oficinas</w:t>
      </w:r>
    </w:p>
    <w:p w14:paraId="396CDF9C" w14:textId="38E1BAF8" w:rsidR="00CD0F50" w:rsidRPr="00CD0F50" w:rsidRDefault="00CD0F50" w:rsidP="00CD0F50">
      <w:pPr>
        <w:rPr>
          <w:lang w:val="es-ES"/>
        </w:rPr>
      </w:pPr>
      <w:r w:rsidRPr="00CD0F50">
        <w:rPr>
          <w:lang w:val="es-ES"/>
        </w:rPr>
        <w:t>1</w:t>
      </w:r>
      <w:r w:rsidRPr="00CD0F50">
        <w:rPr>
          <w:lang w:val="es-ES"/>
        </w:rPr>
        <w:tab/>
      </w:r>
      <w:r w:rsidR="003E3243">
        <w:rPr>
          <w:lang w:val="es-ES"/>
        </w:rPr>
        <w:t xml:space="preserve">que </w:t>
      </w:r>
      <w:r w:rsidR="00AC1EC3" w:rsidRPr="00AC1EC3">
        <w:rPr>
          <w:lang w:val="es-ES"/>
        </w:rPr>
        <w:t>identifique</w:t>
      </w:r>
      <w:r w:rsidR="00AC1EC3">
        <w:rPr>
          <w:lang w:val="es-ES"/>
        </w:rPr>
        <w:t>n</w:t>
      </w:r>
      <w:r w:rsidR="00AC1EC3" w:rsidRPr="00AC1EC3">
        <w:rPr>
          <w:lang w:val="es-ES"/>
        </w:rPr>
        <w:t xml:space="preserve"> los desafíos que plantea la prestación de servicios de comunicaciones de emergencia para la ayuda humanitaria y la seguridad pública esenciales que salvan vidas, y la urgente necesidad de mantener comunicaciones fiables para las poblaciones afectadas y los actores humanitarios en tiempos de conflicto armado o catástrofe</w:t>
      </w:r>
      <w:r w:rsidRPr="00CD0F50">
        <w:rPr>
          <w:lang w:val="es-ES"/>
        </w:rPr>
        <w:t>;</w:t>
      </w:r>
    </w:p>
    <w:p w14:paraId="20CB2AA2" w14:textId="1862D3DB" w:rsidR="00CD0F50" w:rsidRPr="00CD0F50" w:rsidRDefault="00CD0F50" w:rsidP="003E3243">
      <w:pPr>
        <w:rPr>
          <w:lang w:val="es-ES"/>
        </w:rPr>
      </w:pPr>
      <w:r w:rsidRPr="00CD0F50">
        <w:rPr>
          <w:lang w:val="es-ES"/>
        </w:rPr>
        <w:t>2</w:t>
      </w:r>
      <w:r w:rsidRPr="00CD0F50">
        <w:rPr>
          <w:lang w:val="es-ES"/>
        </w:rPr>
        <w:tab/>
      </w:r>
      <w:r w:rsidR="003E3243">
        <w:rPr>
          <w:lang w:val="es-ES"/>
        </w:rPr>
        <w:t xml:space="preserve">que </w:t>
      </w:r>
      <w:r w:rsidR="003E3243" w:rsidRPr="003E3243">
        <w:rPr>
          <w:lang w:val="es-ES"/>
        </w:rPr>
        <w:t>apoye</w:t>
      </w:r>
      <w:r w:rsidR="003E3243">
        <w:rPr>
          <w:lang w:val="es-ES"/>
        </w:rPr>
        <w:t>n</w:t>
      </w:r>
      <w:r w:rsidR="003E3243" w:rsidRPr="003E3243">
        <w:rPr>
          <w:lang w:val="es-ES"/>
        </w:rPr>
        <w:t xml:space="preserve"> la investigación y el desarrollo para construir infraestructuras de telecomunicaciones resilientes y sostenibles en zonas afectadas por conflictos, en particular en tecnologías de comunicaciones de emergencia, e integrarlas en los programas de capacitación y formación de la UIT</w:t>
      </w:r>
      <w:r w:rsidRPr="00CD0F50">
        <w:rPr>
          <w:lang w:val="es-ES"/>
        </w:rPr>
        <w:t>,</w:t>
      </w:r>
    </w:p>
    <w:p w14:paraId="2D2F3CDA" w14:textId="3C70325A" w:rsidR="00CD0F50" w:rsidRPr="009F10EC" w:rsidRDefault="00AC1EC3" w:rsidP="009F10EC">
      <w:pPr>
        <w:pStyle w:val="Call"/>
      </w:pPr>
      <w:r w:rsidRPr="009F10EC">
        <w:t xml:space="preserve">encarga al Secretario </w:t>
      </w:r>
      <w:r w:rsidR="00CD0F50" w:rsidRPr="009F10EC">
        <w:t>General</w:t>
      </w:r>
    </w:p>
    <w:p w14:paraId="27F0800E" w14:textId="121D082A" w:rsidR="00AC1EC3" w:rsidRDefault="00CD0F50" w:rsidP="00CD0F50">
      <w:pPr>
        <w:rPr>
          <w:lang w:val="es-ES"/>
        </w:rPr>
      </w:pPr>
      <w:r w:rsidRPr="00CD0F50">
        <w:rPr>
          <w:lang w:val="es-ES"/>
        </w:rPr>
        <w:t>1</w:t>
      </w:r>
      <w:r w:rsidRPr="00CD0F50">
        <w:rPr>
          <w:lang w:val="es-ES"/>
        </w:rPr>
        <w:tab/>
      </w:r>
      <w:r w:rsidR="00AC1EC3">
        <w:rPr>
          <w:lang w:val="es-ES"/>
        </w:rPr>
        <w:t xml:space="preserve">que </w:t>
      </w:r>
      <w:r w:rsidR="00AC1EC3" w:rsidRPr="00AC1EC3">
        <w:rPr>
          <w:lang w:val="es-ES"/>
        </w:rPr>
        <w:t xml:space="preserve">se coordine </w:t>
      </w:r>
      <w:r w:rsidR="00AC1EC3" w:rsidRPr="003E3243">
        <w:rPr>
          <w:lang w:val="es-ES"/>
        </w:rPr>
        <w:t xml:space="preserve">con los órganos pertinentes de las Naciones Unidas que abordan las implicaciones del derecho internacional aplicable a los conflictos armados y la protección de la población civil, incluido el derecho internacional humanitario consuetudinario, </w:t>
      </w:r>
      <w:r w:rsidR="00AC1EC3">
        <w:rPr>
          <w:lang w:val="es-ES"/>
        </w:rPr>
        <w:t>así como</w:t>
      </w:r>
      <w:r w:rsidR="00AC1EC3" w:rsidRPr="003E3243">
        <w:rPr>
          <w:lang w:val="es-ES"/>
        </w:rPr>
        <w:t xml:space="preserve"> la salvaguardia de las personas civiles dedicadas exclusivamente a tareas humanitarias</w:t>
      </w:r>
      <w:r w:rsidR="00AC1EC3" w:rsidRPr="00AC1EC3">
        <w:rPr>
          <w:lang w:val="es-ES"/>
        </w:rPr>
        <w:t>;</w:t>
      </w:r>
    </w:p>
    <w:p w14:paraId="5A0DD40F" w14:textId="3F174703" w:rsidR="00CD0F50" w:rsidRPr="00CD0F50" w:rsidRDefault="00CD0F50" w:rsidP="00CD0F50">
      <w:pPr>
        <w:rPr>
          <w:lang w:val="es-ES"/>
        </w:rPr>
      </w:pPr>
      <w:r w:rsidRPr="00CD0F50">
        <w:rPr>
          <w:lang w:val="es-ES"/>
        </w:rPr>
        <w:t>2</w:t>
      </w:r>
      <w:r w:rsidRPr="00CD0F50">
        <w:rPr>
          <w:lang w:val="es-ES"/>
        </w:rPr>
        <w:tab/>
      </w:r>
      <w:r w:rsidR="00AC1EC3">
        <w:rPr>
          <w:lang w:val="es-ES"/>
        </w:rPr>
        <w:t xml:space="preserve">que </w:t>
      </w:r>
      <w:r w:rsidR="00AC1EC3" w:rsidRPr="00AC1EC3">
        <w:rPr>
          <w:lang w:val="es-ES"/>
        </w:rPr>
        <w:t>identifique las posibles necesidades presupuestarias adicionales de la Secretaría de la UIT para apoyar los esfuerzos destinados a promover la necesidad de que los organismos de las Naciones Unidas apoyen la protección de las redes y servicios públicos de telecomunicaciones en tiempos de conflicto armado y catástrofes;</w:t>
      </w:r>
    </w:p>
    <w:p w14:paraId="70FB7063" w14:textId="48912364" w:rsidR="00AC1EC3" w:rsidRDefault="00CD0F50" w:rsidP="00CD0F50">
      <w:pPr>
        <w:rPr>
          <w:lang w:val="es-ES"/>
        </w:rPr>
      </w:pPr>
      <w:r w:rsidRPr="00CD0F50">
        <w:rPr>
          <w:lang w:val="es-ES"/>
        </w:rPr>
        <w:t>3</w:t>
      </w:r>
      <w:r w:rsidRPr="00CD0F50">
        <w:rPr>
          <w:lang w:val="es-ES"/>
        </w:rPr>
        <w:tab/>
      </w:r>
      <w:r w:rsidR="00AC1EC3">
        <w:rPr>
          <w:lang w:val="es-ES"/>
        </w:rPr>
        <w:t xml:space="preserve">que </w:t>
      </w:r>
      <w:r w:rsidR="00AC1EC3" w:rsidRPr="00AC1EC3">
        <w:rPr>
          <w:lang w:val="es-ES"/>
        </w:rPr>
        <w:t>señale la presente Resolución a la atención del Secretario General de las Naciones Unidas</w:t>
      </w:r>
      <w:r w:rsidR="00AC1EC3">
        <w:rPr>
          <w:lang w:val="es-ES"/>
        </w:rPr>
        <w:t xml:space="preserve"> y </w:t>
      </w:r>
      <w:r w:rsidR="00AC1EC3" w:rsidRPr="00AC1EC3">
        <w:rPr>
          <w:lang w:val="es-ES"/>
        </w:rPr>
        <w:t xml:space="preserve">tome </w:t>
      </w:r>
      <w:r w:rsidR="00AC1EC3">
        <w:rPr>
          <w:lang w:val="es-ES"/>
        </w:rPr>
        <w:t xml:space="preserve">otras </w:t>
      </w:r>
      <w:r w:rsidR="00AC1EC3" w:rsidRPr="00AC1EC3">
        <w:rPr>
          <w:lang w:val="es-ES"/>
        </w:rPr>
        <w:t xml:space="preserve">medidas </w:t>
      </w:r>
      <w:r w:rsidR="00AC1EC3">
        <w:rPr>
          <w:lang w:val="es-ES"/>
        </w:rPr>
        <w:t xml:space="preserve">necesarias </w:t>
      </w:r>
      <w:r w:rsidR="00AC1EC3" w:rsidRPr="00AC1EC3">
        <w:rPr>
          <w:lang w:val="es-ES"/>
        </w:rPr>
        <w:t>para asegurar el reconocimiento internacional de la importancia de las redes y servicios públicos de telecomunicaciones para los servicios esenciales que deben protegerse y facilitarse durante los conflictos armados o las catástrofes;</w:t>
      </w:r>
    </w:p>
    <w:p w14:paraId="48103EDC" w14:textId="7A0A752A" w:rsidR="00CD0F50" w:rsidRPr="00CD0F50" w:rsidRDefault="00CD0F50" w:rsidP="00CD0F50">
      <w:pPr>
        <w:rPr>
          <w:lang w:val="es-ES"/>
        </w:rPr>
      </w:pPr>
      <w:r w:rsidRPr="00CD0F50">
        <w:rPr>
          <w:lang w:val="es-ES"/>
        </w:rPr>
        <w:t>4</w:t>
      </w:r>
      <w:r w:rsidRPr="00CD0F50">
        <w:rPr>
          <w:lang w:val="es-ES"/>
        </w:rPr>
        <w:tab/>
      </w:r>
      <w:r w:rsidR="00AC1EC3" w:rsidRPr="00AC1EC3">
        <w:rPr>
          <w:lang w:val="es-ES"/>
        </w:rPr>
        <w:t>que presente informes al Consejo de la UIT y a la Conferencia de Plenipotenciarios sobre la aplicación de la presente Resolución</w:t>
      </w:r>
      <w:r w:rsidRPr="00CD0F50">
        <w:rPr>
          <w:lang w:val="es-ES"/>
        </w:rPr>
        <w:t>;</w:t>
      </w:r>
    </w:p>
    <w:p w14:paraId="3248531E" w14:textId="4B205780" w:rsidR="00CD0F50" w:rsidRPr="00CD0F50" w:rsidRDefault="00CD0F50" w:rsidP="00CD0F50">
      <w:pPr>
        <w:rPr>
          <w:lang w:val="es-ES"/>
        </w:rPr>
      </w:pPr>
      <w:r w:rsidRPr="00CD0F50">
        <w:rPr>
          <w:lang w:val="es-ES"/>
        </w:rPr>
        <w:t>5</w:t>
      </w:r>
      <w:r w:rsidRPr="00CD0F50">
        <w:rPr>
          <w:lang w:val="es-ES"/>
        </w:rPr>
        <w:tab/>
      </w:r>
      <w:r w:rsidR="00AC1EC3" w:rsidRPr="00AC1EC3">
        <w:rPr>
          <w:lang w:val="es-ES"/>
        </w:rPr>
        <w:t xml:space="preserve">que establezca y ponga en funcionamiento </w:t>
      </w:r>
      <w:r w:rsidR="00C4529F" w:rsidRPr="00C4529F">
        <w:rPr>
          <w:lang w:val="es-ES"/>
        </w:rPr>
        <w:t>una plataforma o portal electrónico específico</w:t>
      </w:r>
      <w:r w:rsidR="00AC1EC3" w:rsidRPr="00AC1EC3">
        <w:rPr>
          <w:lang w:val="es-ES"/>
        </w:rPr>
        <w:t>, basad</w:t>
      </w:r>
      <w:r w:rsidR="00AC1EC3">
        <w:rPr>
          <w:lang w:val="es-ES"/>
        </w:rPr>
        <w:t>o</w:t>
      </w:r>
      <w:r w:rsidR="00AC1EC3" w:rsidRPr="00AC1EC3">
        <w:rPr>
          <w:lang w:val="es-ES"/>
        </w:rPr>
        <w:t xml:space="preserve"> en un mecanismo normalizado de presentación de informes, a través de</w:t>
      </w:r>
      <w:r w:rsidR="00C4529F">
        <w:rPr>
          <w:lang w:val="es-ES"/>
        </w:rPr>
        <w:t>l</w:t>
      </w:r>
      <w:r w:rsidR="00AC1EC3" w:rsidRPr="00AC1EC3">
        <w:rPr>
          <w:lang w:val="es-ES"/>
        </w:rPr>
        <w:t xml:space="preserve"> cual los Estados </w:t>
      </w:r>
      <w:r w:rsidR="00AC1EC3" w:rsidRPr="00AC1EC3">
        <w:rPr>
          <w:lang w:val="es-ES"/>
        </w:rPr>
        <w:lastRenderedPageBreak/>
        <w:t xml:space="preserve">Miembros y los observadores afectados puedan presentar, registrar y actualizar periódicamente información sobre los daños, la destrucción y las amenazas contra la infraestructura de telecomunicaciones, </w:t>
      </w:r>
      <w:r w:rsidR="00C4529F">
        <w:rPr>
          <w:lang w:val="es-ES"/>
        </w:rPr>
        <w:t>especificando</w:t>
      </w:r>
      <w:r w:rsidR="00AC1EC3" w:rsidRPr="00AC1EC3">
        <w:rPr>
          <w:lang w:val="es-ES"/>
        </w:rPr>
        <w:t xml:space="preserve"> la ubicación, la naturaleza, el alcance y las repercusiones de los incidentes notificados, y que recopile y analice dicha información y elabore informes periódicos refundidos para someterlos a la consideración del Consejo de la UIT,</w:t>
      </w:r>
    </w:p>
    <w:p w14:paraId="1BA96D88" w14:textId="21EDD344" w:rsidR="00CD0F50" w:rsidRPr="009F10EC" w:rsidRDefault="00AC1EC3" w:rsidP="009F10EC">
      <w:pPr>
        <w:pStyle w:val="Call"/>
      </w:pPr>
      <w:r w:rsidRPr="009F10EC">
        <w:t>Invita a los Estados Miembros</w:t>
      </w:r>
    </w:p>
    <w:p w14:paraId="4DDBC6C2" w14:textId="1CED22AC" w:rsidR="00CD0F50" w:rsidRPr="00CD0F50" w:rsidRDefault="00CD0F50" w:rsidP="00CD0F50">
      <w:pPr>
        <w:rPr>
          <w:lang w:val="es-ES"/>
        </w:rPr>
      </w:pPr>
      <w:r w:rsidRPr="00CD0F50">
        <w:rPr>
          <w:lang w:val="es-ES"/>
        </w:rPr>
        <w:t>1</w:t>
      </w:r>
      <w:r w:rsidRPr="00CD0F50">
        <w:rPr>
          <w:lang w:val="es-ES"/>
        </w:rPr>
        <w:tab/>
      </w:r>
      <w:r w:rsidR="00C4529F">
        <w:rPr>
          <w:lang w:val="es-ES"/>
        </w:rPr>
        <w:t>a identifi</w:t>
      </w:r>
      <w:r w:rsidR="004B33CE">
        <w:rPr>
          <w:lang w:val="es-ES"/>
        </w:rPr>
        <w:t>car</w:t>
      </w:r>
      <w:r w:rsidR="00C4529F">
        <w:rPr>
          <w:lang w:val="es-ES"/>
        </w:rPr>
        <w:t xml:space="preserve"> </w:t>
      </w:r>
      <w:r w:rsidR="00C4529F" w:rsidRPr="00C4529F">
        <w:rPr>
          <w:lang w:val="es-ES"/>
        </w:rPr>
        <w:t>las posibles medidas que los Estados Miembros podrían adoptar para proteger la infraestructura de telecomunicaciones contra daños causados por conflictos armados o catástrofes;</w:t>
      </w:r>
    </w:p>
    <w:p w14:paraId="33AF66DC" w14:textId="32766D74" w:rsidR="009D4484" w:rsidRPr="00CD0F50" w:rsidRDefault="00CD0F50" w:rsidP="00C4529F">
      <w:pPr>
        <w:rPr>
          <w:lang w:val="es-ES"/>
        </w:rPr>
      </w:pPr>
      <w:r w:rsidRPr="00CD0F50">
        <w:rPr>
          <w:lang w:val="es-ES"/>
        </w:rPr>
        <w:t>2</w:t>
      </w:r>
      <w:r w:rsidRPr="00CD0F50">
        <w:rPr>
          <w:lang w:val="es-ES"/>
        </w:rPr>
        <w:tab/>
      </w:r>
      <w:r w:rsidR="00C4529F">
        <w:rPr>
          <w:lang w:val="es-ES"/>
        </w:rPr>
        <w:t>a adopt</w:t>
      </w:r>
      <w:r w:rsidR="004B33CE">
        <w:rPr>
          <w:lang w:val="es-ES"/>
        </w:rPr>
        <w:t>ar</w:t>
      </w:r>
      <w:r w:rsidR="00C4529F" w:rsidRPr="00C4529F">
        <w:rPr>
          <w:lang w:val="es-ES"/>
        </w:rPr>
        <w:t xml:space="preserve"> medidas para promover la continuidad de las redes y servicios públicos de telecomunicaciones durante los conflictos armados o las catástrofes, a fin de garantizar la coordinación, la alerta temprana y la protección de la vida humana;</w:t>
      </w:r>
    </w:p>
    <w:p w14:paraId="41AB7852" w14:textId="3519FBC3" w:rsidR="00CD0F50" w:rsidRPr="00CD0F50" w:rsidRDefault="004E2197" w:rsidP="00C4529F">
      <w:pPr>
        <w:pStyle w:val="Reasons"/>
        <w:rPr>
          <w:lang w:val="es-ES"/>
        </w:rPr>
      </w:pPr>
      <w:r w:rsidRPr="00CD0F50">
        <w:rPr>
          <w:b/>
          <w:lang w:val="es-ES"/>
        </w:rPr>
        <w:t>Motivos:</w:t>
      </w:r>
      <w:r w:rsidRPr="00CD0F50">
        <w:rPr>
          <w:lang w:val="es-ES"/>
        </w:rPr>
        <w:tab/>
      </w:r>
      <w:r w:rsidR="00C4529F">
        <w:rPr>
          <w:lang w:val="es-ES"/>
        </w:rPr>
        <w:t xml:space="preserve">La </w:t>
      </w:r>
      <w:r w:rsidR="00C4529F" w:rsidRPr="00C4529F">
        <w:rPr>
          <w:lang w:val="es-ES"/>
        </w:rPr>
        <w:t>Resolución propuesta es necesaria para reforzar la protección de las redes y servicios públicos de telecomunicaciones durante los conflictos armados y las catástrofes, garantizar la continuidad de las comunicaciones humanitarias esenciales y promover una acción internacional coordinada para salvaguardar la infraestructura crítica y proteger la vida humana.</w:t>
      </w:r>
    </w:p>
    <w:p w14:paraId="6A33C18C" w14:textId="77777777" w:rsidR="00CD0F50" w:rsidRPr="00CD0F50" w:rsidRDefault="00CD0F50" w:rsidP="004000C8">
      <w:pPr>
        <w:jc w:val="center"/>
        <w:rPr>
          <w:lang w:val="es-ES"/>
        </w:rPr>
      </w:pPr>
      <w:r w:rsidRPr="00CD0F50">
        <w:rPr>
          <w:lang w:val="es-ES"/>
        </w:rPr>
        <w:t>____________________</w:t>
      </w:r>
    </w:p>
    <w:sectPr w:rsidR="00CD0F50" w:rsidRPr="00CD0F50" w:rsidSect="00A70E9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59066" w14:textId="77777777" w:rsidR="008D5FA7" w:rsidRDefault="008D5FA7">
      <w:r>
        <w:separator/>
      </w:r>
    </w:p>
  </w:endnote>
  <w:endnote w:type="continuationSeparator" w:id="0">
    <w:p w14:paraId="7288963A" w14:textId="77777777" w:rsidR="008D5FA7" w:rsidRDefault="008D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428A6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7E32E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FB8B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68B59" w14:textId="77777777" w:rsidR="008D5FA7" w:rsidRDefault="008D5FA7">
      <w:r>
        <w:t>____________________</w:t>
      </w:r>
    </w:p>
  </w:footnote>
  <w:footnote w:type="continuationSeparator" w:id="0">
    <w:p w14:paraId="2ACA8CC0" w14:textId="77777777" w:rsidR="008D5FA7" w:rsidRDefault="008D5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95711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686D5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378F6FEC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/91(Add.39)-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9C1EA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11EDE"/>
    <w:rsid w:val="000507CA"/>
    <w:rsid w:val="00057402"/>
    <w:rsid w:val="000863AB"/>
    <w:rsid w:val="000A1523"/>
    <w:rsid w:val="000B1752"/>
    <w:rsid w:val="000B68E5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18CA"/>
    <w:rsid w:val="002C6527"/>
    <w:rsid w:val="002E44FC"/>
    <w:rsid w:val="003370B0"/>
    <w:rsid w:val="00340A90"/>
    <w:rsid w:val="00351381"/>
    <w:rsid w:val="003537B5"/>
    <w:rsid w:val="003707E5"/>
    <w:rsid w:val="00375610"/>
    <w:rsid w:val="00391611"/>
    <w:rsid w:val="003B5DC9"/>
    <w:rsid w:val="003D0027"/>
    <w:rsid w:val="003E3243"/>
    <w:rsid w:val="003E6E73"/>
    <w:rsid w:val="004000C8"/>
    <w:rsid w:val="00407627"/>
    <w:rsid w:val="00484B72"/>
    <w:rsid w:val="00491A25"/>
    <w:rsid w:val="004A346E"/>
    <w:rsid w:val="004A63A9"/>
    <w:rsid w:val="004B07DB"/>
    <w:rsid w:val="004B09D4"/>
    <w:rsid w:val="004B0BCB"/>
    <w:rsid w:val="004B33CE"/>
    <w:rsid w:val="004C27F5"/>
    <w:rsid w:val="004C39C6"/>
    <w:rsid w:val="004D23BA"/>
    <w:rsid w:val="004E069C"/>
    <w:rsid w:val="004E08E0"/>
    <w:rsid w:val="004E2197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3F4D"/>
    <w:rsid w:val="00567ED5"/>
    <w:rsid w:val="005A329F"/>
    <w:rsid w:val="005B31B3"/>
    <w:rsid w:val="005D1164"/>
    <w:rsid w:val="005D6488"/>
    <w:rsid w:val="005F6278"/>
    <w:rsid w:val="00601280"/>
    <w:rsid w:val="006411C1"/>
    <w:rsid w:val="00641DBD"/>
    <w:rsid w:val="006426C0"/>
    <w:rsid w:val="006455D2"/>
    <w:rsid w:val="006511EE"/>
    <w:rsid w:val="006537F3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135AE"/>
    <w:rsid w:val="00882773"/>
    <w:rsid w:val="00885C8C"/>
    <w:rsid w:val="008B4706"/>
    <w:rsid w:val="008B6676"/>
    <w:rsid w:val="008C2E83"/>
    <w:rsid w:val="008C3FA8"/>
    <w:rsid w:val="008D5FA7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D4484"/>
    <w:rsid w:val="009D5C50"/>
    <w:rsid w:val="009E0C42"/>
    <w:rsid w:val="009F10EC"/>
    <w:rsid w:val="00A3340F"/>
    <w:rsid w:val="00A50BE3"/>
    <w:rsid w:val="00A70E95"/>
    <w:rsid w:val="00AA1F73"/>
    <w:rsid w:val="00AB190D"/>
    <w:rsid w:val="00AB34CA"/>
    <w:rsid w:val="00AC1EC3"/>
    <w:rsid w:val="00AD2E65"/>
    <w:rsid w:val="00AD400E"/>
    <w:rsid w:val="00AF0DC5"/>
    <w:rsid w:val="00B012B7"/>
    <w:rsid w:val="00B30C52"/>
    <w:rsid w:val="00B501AB"/>
    <w:rsid w:val="00B73978"/>
    <w:rsid w:val="00B77C4D"/>
    <w:rsid w:val="00BB13FE"/>
    <w:rsid w:val="00BC0C89"/>
    <w:rsid w:val="00BC7EE2"/>
    <w:rsid w:val="00BE272A"/>
    <w:rsid w:val="00BF32F2"/>
    <w:rsid w:val="00BF5475"/>
    <w:rsid w:val="00C20ED7"/>
    <w:rsid w:val="00C42D2D"/>
    <w:rsid w:val="00C43474"/>
    <w:rsid w:val="00C4529F"/>
    <w:rsid w:val="00C61A48"/>
    <w:rsid w:val="00C80F8F"/>
    <w:rsid w:val="00C84355"/>
    <w:rsid w:val="00C84A65"/>
    <w:rsid w:val="00CA3051"/>
    <w:rsid w:val="00CB311E"/>
    <w:rsid w:val="00CD0F50"/>
    <w:rsid w:val="00CD20D9"/>
    <w:rsid w:val="00CD701A"/>
    <w:rsid w:val="00D05AAE"/>
    <w:rsid w:val="00D05E6B"/>
    <w:rsid w:val="00D066F8"/>
    <w:rsid w:val="00D254A6"/>
    <w:rsid w:val="00D42B55"/>
    <w:rsid w:val="00D57D70"/>
    <w:rsid w:val="00DE2520"/>
    <w:rsid w:val="00DE3E41"/>
    <w:rsid w:val="00E026B3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3617D"/>
    <w:rsid w:val="00F43C07"/>
    <w:rsid w:val="00F43D44"/>
    <w:rsid w:val="00F80E6E"/>
    <w:rsid w:val="00FB55E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FCF949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C1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46518d4-5ae2-4df8-85f7-7b99131ed106" targetNamespace="http://schemas.microsoft.com/office/2006/metadata/properties" ma:root="true" ma:fieldsID="d41af5c836d734370eb92e7ee5f83852" ns2:_="" ns3:_="">
    <xsd:import namespace="996b2e75-67fd-4955-a3b0-5ab9934cb50b"/>
    <xsd:import namespace="f46518d4-5ae2-4df8-85f7-7b99131ed106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518d4-5ae2-4df8-85f7-7b99131ed106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46518d4-5ae2-4df8-85f7-7b99131ed106">DPM</DPM_x0020_Author>
    <DPM_x0020_File_x0020_name xmlns="f46518d4-5ae2-4df8-85f7-7b99131ed106">S26-PP-C-0091!A39!MSW-S</DPM_x0020_File_x0020_name>
    <DPM_x0020_Version xmlns="f46518d4-5ae2-4df8-85f7-7b99131ed106">DPM_2025.10.23.1</DPM_x0020_Vers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46518d4-5ae2-4df8-85f7-7b99131ed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46518d4-5ae2-4df8-85f7-7b99131ed106"/>
  </ds:schemaRefs>
</ds:datastoreItem>
</file>

<file path=customXml/itemProps3.xml><?xml version="1.0" encoding="utf-8"?>
<ds:datastoreItem xmlns:ds="http://schemas.openxmlformats.org/officeDocument/2006/customXml" ds:itemID="{6F4C22F3-E584-4966-BC15-4822D0D82A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1696</Words>
  <Characters>9748</Characters>
  <Application>Microsoft Office Word</Application>
  <DocSecurity>0</DocSecurity>
  <Lines>81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S26-PP-C-0091!A39!MSW-S</vt:lpstr>
      <vt:lpstr/>
    </vt:vector>
  </TitlesOfParts>
  <Manager/>
  <Company/>
  <LinksUpToDate>false</LinksUpToDate>
  <CharactersWithSpaces>11422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S26-PP-C-0091!A39!MSW-S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17</cp:revision>
  <dcterms:created xsi:type="dcterms:W3CDTF">2026-10-22T09:24:00Z</dcterms:created>
  <dcterms:modified xsi:type="dcterms:W3CDTF">2026-10-22T12:34:00Z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