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DA2D5D" w14:paraId="589516FF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80F935D" w14:textId="77777777" w:rsidR="00BF32F2" w:rsidRPr="00DA2D5D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DA2D5D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85BE9EB" wp14:editId="7929E21D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DA2D5D" w14:paraId="1D2C63E5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AA02806" w14:textId="77777777" w:rsidR="00277985" w:rsidRPr="00DA2D5D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DA2D5D" w14:paraId="63521720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B010961" w14:textId="77777777" w:rsidR="00255FA1" w:rsidRPr="00DA2D5D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1D1A921" w14:textId="77777777" w:rsidR="00255FA1" w:rsidRPr="00DA2D5D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DA2D5D" w14:paraId="43DCD27D" w14:textId="77777777" w:rsidTr="005A329F">
        <w:trPr>
          <w:cantSplit/>
          <w:jc w:val="center"/>
        </w:trPr>
        <w:tc>
          <w:tcPr>
            <w:tcW w:w="7229" w:type="dxa"/>
          </w:tcPr>
          <w:p w14:paraId="5F4E130C" w14:textId="77777777" w:rsidR="00255FA1" w:rsidRPr="00DA2D5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DA2D5D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513D9DD5" w14:textId="77777777" w:rsidR="00255FA1" w:rsidRPr="00DA2D5D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DA2D5D">
              <w:rPr>
                <w:rFonts w:cstheme="minorHAnsi"/>
                <w:b/>
                <w:szCs w:val="24"/>
                <w:lang w:val="es-ES"/>
              </w:rPr>
              <w:t>Addéndum 34 al</w:t>
            </w:r>
            <w:r w:rsidRPr="00DA2D5D">
              <w:rPr>
                <w:rFonts w:cstheme="minorHAnsi"/>
                <w:b/>
                <w:szCs w:val="24"/>
                <w:lang w:val="es-ES"/>
              </w:rPr>
              <w:br/>
              <w:t>Documento 91</w:t>
            </w:r>
            <w:r w:rsidR="00262FF4" w:rsidRPr="00DA2D5D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DA2D5D" w14:paraId="7EBEDE40" w14:textId="77777777" w:rsidTr="005A329F">
        <w:trPr>
          <w:cantSplit/>
          <w:jc w:val="center"/>
        </w:trPr>
        <w:tc>
          <w:tcPr>
            <w:tcW w:w="7229" w:type="dxa"/>
          </w:tcPr>
          <w:p w14:paraId="0983E4A6" w14:textId="77777777" w:rsidR="00255FA1" w:rsidRPr="00DA2D5D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23E7629D" w14:textId="77777777" w:rsidR="00255FA1" w:rsidRPr="00DA2D5D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DA2D5D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DA2D5D" w14:paraId="5EA77497" w14:textId="77777777" w:rsidTr="005A329F">
        <w:trPr>
          <w:cantSplit/>
          <w:jc w:val="center"/>
        </w:trPr>
        <w:tc>
          <w:tcPr>
            <w:tcW w:w="7229" w:type="dxa"/>
          </w:tcPr>
          <w:p w14:paraId="7B612672" w14:textId="77777777" w:rsidR="00255FA1" w:rsidRPr="00DA2D5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590CE484" w14:textId="77777777" w:rsidR="00255FA1" w:rsidRPr="00DA2D5D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DA2D5D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DA2D5D" w14:paraId="3E554A0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930C07C" w14:textId="77777777" w:rsidR="00255FA1" w:rsidRPr="00DA2D5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DA2D5D" w14:paraId="0442B08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9051D52" w14:textId="77777777" w:rsidR="00255FA1" w:rsidRPr="00DA2D5D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DA2D5D">
              <w:rPr>
                <w:lang w:val="es-ES"/>
              </w:rPr>
              <w:t>Administraciones de los Estados Árabes</w:t>
            </w:r>
          </w:p>
        </w:tc>
      </w:tr>
      <w:tr w:rsidR="00255FA1" w:rsidRPr="00DA2D5D" w14:paraId="3F0D769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D7AE770" w14:textId="77777777" w:rsidR="00255FA1" w:rsidRPr="00DA2D5D" w:rsidRDefault="00255FA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DA2D5D">
              <w:rPr>
                <w:lang w:val="es-ES"/>
              </w:rPr>
              <w:t>Propuesta de no modificación (NOC) de la Resolución 216</w:t>
            </w:r>
          </w:p>
        </w:tc>
      </w:tr>
      <w:tr w:rsidR="00255FA1" w:rsidRPr="00DA2D5D" w14:paraId="4383C45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28BAD4B" w14:textId="77777777" w:rsidR="00255FA1" w:rsidRPr="00DA2D5D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DA2D5D" w14:paraId="3E74D30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10F9932" w14:textId="77777777" w:rsidR="00255FA1" w:rsidRPr="00DA2D5D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</w:tbl>
    <w:bookmarkEnd w:id="5"/>
    <w:p w14:paraId="22CF9DEA" w14:textId="77777777" w:rsidR="00C058B4" w:rsidRPr="00DA2D5D" w:rsidRDefault="00BB27CF">
      <w:pPr>
        <w:rPr>
          <w:b/>
          <w:bCs/>
          <w:lang w:val="es-ES"/>
        </w:rPr>
      </w:pPr>
      <w:r w:rsidRPr="00DA2D5D">
        <w:rPr>
          <w:b/>
          <w:bCs/>
          <w:lang w:val="es-ES"/>
        </w:rPr>
        <w:t>Resumen</w:t>
      </w:r>
    </w:p>
    <w:p w14:paraId="11E9D79A" w14:textId="77777777" w:rsidR="00C058B4" w:rsidRPr="00DA2D5D" w:rsidRDefault="00BB27CF">
      <w:pPr>
        <w:rPr>
          <w:lang w:val="es-ES"/>
        </w:rPr>
      </w:pPr>
      <w:r w:rsidRPr="00DA2D5D">
        <w:rPr>
          <w:lang w:val="es-ES"/>
        </w:rPr>
        <w:t>En el presente documento se propone no modificar (NOC) la Resolución 216 (Bucarest, 2022), «Utilización de las asignaciones de frecuencias en las instalaciones radioeléctricas militares de los servicios de defensa nacional».</w:t>
      </w:r>
    </w:p>
    <w:p w14:paraId="5300EE42" w14:textId="77777777" w:rsidR="00C058B4" w:rsidRPr="00DA2D5D" w:rsidRDefault="00BB27CF">
      <w:pPr>
        <w:rPr>
          <w:b/>
          <w:bCs/>
          <w:lang w:val="es-ES"/>
        </w:rPr>
      </w:pPr>
      <w:r w:rsidRPr="00DA2D5D">
        <w:rPr>
          <w:b/>
          <w:bCs/>
          <w:lang w:val="es-ES"/>
        </w:rPr>
        <w:t>Acción solicitada</w:t>
      </w:r>
    </w:p>
    <w:p w14:paraId="65C14679" w14:textId="77777777" w:rsidR="00C058B4" w:rsidRPr="00DA2D5D" w:rsidRDefault="00BB27CF">
      <w:pPr>
        <w:rPr>
          <w:lang w:val="es-ES"/>
        </w:rPr>
      </w:pPr>
      <w:r w:rsidRPr="00DA2D5D">
        <w:rPr>
          <w:lang w:val="es-ES"/>
        </w:rPr>
        <w:t xml:space="preserve">Se invita a la Conferencia de Plenipotenciarios a </w:t>
      </w:r>
      <w:r w:rsidRPr="00F655EF">
        <w:rPr>
          <w:b/>
          <w:bCs/>
          <w:lang w:val="es-ES"/>
        </w:rPr>
        <w:t>examinar</w:t>
      </w:r>
      <w:r w:rsidRPr="00DA2D5D">
        <w:rPr>
          <w:lang w:val="es-ES"/>
        </w:rPr>
        <w:t xml:space="preserve"> el presente documento y a </w:t>
      </w:r>
      <w:r w:rsidRPr="00F655EF">
        <w:rPr>
          <w:b/>
          <w:bCs/>
          <w:lang w:val="es-ES"/>
        </w:rPr>
        <w:t>aprobar</w:t>
      </w:r>
      <w:r w:rsidRPr="00DA2D5D">
        <w:rPr>
          <w:lang w:val="es-ES"/>
        </w:rPr>
        <w:t xml:space="preserve"> la propuesta de no modificación (NOC) de la Resolución 216 (Bucarest, 2022).</w:t>
      </w:r>
    </w:p>
    <w:p w14:paraId="42B96A65" w14:textId="77777777" w:rsidR="00504FD4" w:rsidRPr="00DA2D5D" w:rsidRDefault="00504FD4" w:rsidP="00930E84">
      <w:pPr>
        <w:rPr>
          <w:lang w:val="es-ES"/>
        </w:rPr>
      </w:pPr>
    </w:p>
    <w:p w14:paraId="5E3387BF" w14:textId="77777777" w:rsidR="00255FA1" w:rsidRPr="00DA2D5D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DA2D5D">
        <w:rPr>
          <w:rStyle w:val="PageNumber"/>
          <w:lang w:val="es-ES"/>
        </w:rPr>
        <w:br w:type="page"/>
      </w:r>
    </w:p>
    <w:p w14:paraId="79EB892B" w14:textId="11BC3D65" w:rsidR="00B60669" w:rsidRPr="00DA2D5D" w:rsidRDefault="00C73D2E" w:rsidP="00E358BA">
      <w:pPr>
        <w:pStyle w:val="Proposal"/>
        <w:rPr>
          <w:lang w:val="es-ES"/>
        </w:rPr>
      </w:pPr>
      <w:r w:rsidRPr="00EE3A16">
        <w:rPr>
          <w:u w:val="single"/>
          <w:lang w:val="es-ES"/>
        </w:rPr>
        <w:lastRenderedPageBreak/>
        <w:t>NOC</w:t>
      </w:r>
      <w:r w:rsidR="00E358BA">
        <w:rPr>
          <w:lang w:val="es-ES"/>
        </w:rPr>
        <w:tab/>
      </w:r>
      <w:r w:rsidR="00E358BA" w:rsidRPr="00E358BA">
        <w:rPr>
          <w:lang w:val="es-ES_tradnl"/>
        </w:rPr>
        <w:t>ARB/91A34/1</w:t>
      </w:r>
    </w:p>
    <w:p w14:paraId="5BFA2E35" w14:textId="77777777" w:rsidR="00EA0E72" w:rsidRPr="00DA2D5D" w:rsidRDefault="00C73D2E" w:rsidP="00825D9B">
      <w:pPr>
        <w:pStyle w:val="ResNo"/>
        <w:rPr>
          <w:lang w:val="es-ES"/>
        </w:rPr>
      </w:pPr>
      <w:r w:rsidRPr="00DA2D5D">
        <w:rPr>
          <w:lang w:val="es-ES"/>
        </w:rPr>
        <w:t xml:space="preserve">RESOLUCIÓN </w:t>
      </w:r>
      <w:r w:rsidRPr="00DA2D5D">
        <w:rPr>
          <w:rStyle w:val="href"/>
          <w:lang w:val="es-ES"/>
        </w:rPr>
        <w:t>216</w:t>
      </w:r>
      <w:r w:rsidRPr="00DA2D5D">
        <w:rPr>
          <w:lang w:val="es-ES"/>
        </w:rPr>
        <w:t xml:space="preserve"> (BUCAREST, 2022)</w:t>
      </w:r>
    </w:p>
    <w:p w14:paraId="27CB7D33" w14:textId="77777777" w:rsidR="00EA0E72" w:rsidRPr="00DA2D5D" w:rsidRDefault="00C73D2E" w:rsidP="00DB1EBB">
      <w:pPr>
        <w:pStyle w:val="Restitle"/>
        <w:rPr>
          <w:lang w:val="es-ES"/>
        </w:rPr>
      </w:pPr>
      <w:r w:rsidRPr="00DA2D5D">
        <w:rPr>
          <w:lang w:val="es-ES"/>
        </w:rPr>
        <w:t>Utilización de las asignaciones de frecuencias en las instalaciones radioeléctricas militares de los servicios de defensa nacional</w:t>
      </w:r>
    </w:p>
    <w:p w14:paraId="448ECE1E" w14:textId="77777777" w:rsidR="00EA0E72" w:rsidRPr="00DA2D5D" w:rsidRDefault="00C73D2E" w:rsidP="00DB1EBB">
      <w:pPr>
        <w:pStyle w:val="Normalaftertitle"/>
        <w:rPr>
          <w:lang w:val="es-ES"/>
        </w:rPr>
      </w:pPr>
      <w:r w:rsidRPr="00DA2D5D">
        <w:rPr>
          <w:lang w:val="es-ES"/>
        </w:rPr>
        <w:t>La Conferencia de Plenipotenciarios de la Unión Internacional de Telecomunicaciones (Bucarest, 2022),</w:t>
      </w:r>
    </w:p>
    <w:p w14:paraId="170FDDB9" w14:textId="26B0CBC7" w:rsidR="00656C38" w:rsidRDefault="00C73D2E" w:rsidP="00C37DF1">
      <w:pPr>
        <w:pStyle w:val="Reasons"/>
        <w:rPr>
          <w:lang w:val="es-ES"/>
        </w:rPr>
      </w:pPr>
      <w:r w:rsidRPr="00DA2D5D">
        <w:rPr>
          <w:b/>
          <w:lang w:val="es-ES"/>
        </w:rPr>
        <w:t>Motivos:</w:t>
      </w:r>
      <w:r w:rsidRPr="00DA2D5D">
        <w:rPr>
          <w:lang w:val="es-ES"/>
        </w:rPr>
        <w:tab/>
        <w:t xml:space="preserve">La Resolución </w:t>
      </w:r>
      <w:r w:rsidR="000F6EE4">
        <w:rPr>
          <w:lang w:val="es-ES"/>
        </w:rPr>
        <w:t>proporciona</w:t>
      </w:r>
      <w:r w:rsidRPr="00DA2D5D">
        <w:rPr>
          <w:lang w:val="es-ES"/>
        </w:rPr>
        <w:t xml:space="preserve"> un marco equilibrado para la invocación del Artículo 48 de la Constitución de la UIT, </w:t>
      </w:r>
      <w:r w:rsidR="003B3AAA">
        <w:rPr>
          <w:lang w:val="es-ES"/>
        </w:rPr>
        <w:t>en virtud del cual se</w:t>
      </w:r>
      <w:r w:rsidRPr="00DA2D5D">
        <w:rPr>
          <w:lang w:val="es-ES"/>
        </w:rPr>
        <w:t xml:space="preserve"> respeta la libertad de los Estados Miembros en lo que </w:t>
      </w:r>
      <w:r w:rsidR="003B3AAA">
        <w:rPr>
          <w:lang w:val="es-ES"/>
        </w:rPr>
        <w:t>atañe</w:t>
      </w:r>
      <w:r w:rsidRPr="00DA2D5D">
        <w:rPr>
          <w:lang w:val="es-ES"/>
        </w:rPr>
        <w:t xml:space="preserve"> a instalaciones radioeléctricas militares y </w:t>
      </w:r>
      <w:r w:rsidR="003B3AAA">
        <w:rPr>
          <w:lang w:val="es-ES"/>
        </w:rPr>
        <w:t xml:space="preserve">se </w:t>
      </w:r>
      <w:r w:rsidRPr="00DA2D5D">
        <w:rPr>
          <w:lang w:val="es-ES"/>
        </w:rPr>
        <w:t xml:space="preserve">salvaguarda información sensible, al tiempo que </w:t>
      </w:r>
      <w:r w:rsidR="003B3AAA">
        <w:rPr>
          <w:lang w:val="es-ES"/>
        </w:rPr>
        <w:t xml:space="preserve">se </w:t>
      </w:r>
      <w:r w:rsidRPr="00DA2D5D">
        <w:rPr>
          <w:lang w:val="es-ES"/>
        </w:rPr>
        <w:t>aclara</w:t>
      </w:r>
      <w:r w:rsidR="003B3AAA">
        <w:rPr>
          <w:lang w:val="es-ES"/>
        </w:rPr>
        <w:t>n</w:t>
      </w:r>
      <w:r w:rsidRPr="00DA2D5D">
        <w:rPr>
          <w:lang w:val="es-ES"/>
        </w:rPr>
        <w:t xml:space="preserve"> las responsabilidades y los procedimientos reglamentarios aplicables. No se considera necesario introducir modificaciones de fondo. </w:t>
      </w:r>
      <w:r w:rsidR="00656C38">
        <w:rPr>
          <w:lang w:val="es-ES"/>
        </w:rPr>
        <w:t>Habida cuenta de ello</w:t>
      </w:r>
      <w:r w:rsidRPr="00DA2D5D">
        <w:rPr>
          <w:lang w:val="es-ES"/>
        </w:rPr>
        <w:t>, el Grupo Árabe propone que no se modifique el texto de la presente Resolución.</w:t>
      </w:r>
    </w:p>
    <w:p w14:paraId="2EA6BECC" w14:textId="4DF26AE8" w:rsidR="00656C38" w:rsidRPr="00DA2D5D" w:rsidRDefault="00656C38" w:rsidP="006273B8">
      <w:pPr>
        <w:jc w:val="center"/>
        <w:rPr>
          <w:lang w:val="es-ES"/>
        </w:rPr>
      </w:pPr>
      <w:r>
        <w:t>_________________</w:t>
      </w:r>
    </w:p>
    <w:sectPr w:rsidR="00656C38" w:rsidRPr="00DA2D5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28CE1" w14:textId="77777777" w:rsidR="008E44E2" w:rsidRDefault="008E44E2">
      <w:r>
        <w:separator/>
      </w:r>
    </w:p>
  </w:endnote>
  <w:endnote w:type="continuationSeparator" w:id="0">
    <w:p w14:paraId="146FCE5A" w14:textId="77777777" w:rsidR="008E44E2" w:rsidRDefault="008E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429A3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B414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D7D2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5A902" w14:textId="77777777" w:rsidR="008E44E2" w:rsidRDefault="008E44E2">
      <w:r>
        <w:t>____________________</w:t>
      </w:r>
    </w:p>
  </w:footnote>
  <w:footnote w:type="continuationSeparator" w:id="0">
    <w:p w14:paraId="3714AD16" w14:textId="77777777" w:rsidR="008E44E2" w:rsidRDefault="008E4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7BF03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B408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8856CC7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/91(Add.34)-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94F03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0F6EE4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3AAA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38F"/>
    <w:rsid w:val="00556958"/>
    <w:rsid w:val="00567ED5"/>
    <w:rsid w:val="005A329F"/>
    <w:rsid w:val="005D1164"/>
    <w:rsid w:val="005D6488"/>
    <w:rsid w:val="005F6278"/>
    <w:rsid w:val="00601280"/>
    <w:rsid w:val="006273B8"/>
    <w:rsid w:val="00641DBD"/>
    <w:rsid w:val="006426C0"/>
    <w:rsid w:val="006455D2"/>
    <w:rsid w:val="006537F3"/>
    <w:rsid w:val="00656C38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82773"/>
    <w:rsid w:val="008B4706"/>
    <w:rsid w:val="008B6676"/>
    <w:rsid w:val="008C3FA8"/>
    <w:rsid w:val="008E44E2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60669"/>
    <w:rsid w:val="00B73978"/>
    <w:rsid w:val="00B77C4D"/>
    <w:rsid w:val="00BB13FE"/>
    <w:rsid w:val="00BB27CF"/>
    <w:rsid w:val="00BC7EE2"/>
    <w:rsid w:val="00BF32F2"/>
    <w:rsid w:val="00BF5475"/>
    <w:rsid w:val="00C058B4"/>
    <w:rsid w:val="00C20ED7"/>
    <w:rsid w:val="00C37DF1"/>
    <w:rsid w:val="00C42D2D"/>
    <w:rsid w:val="00C43474"/>
    <w:rsid w:val="00C61A48"/>
    <w:rsid w:val="00C73D2E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2D5D"/>
    <w:rsid w:val="00DE3E41"/>
    <w:rsid w:val="00E05D81"/>
    <w:rsid w:val="00E358BA"/>
    <w:rsid w:val="00E53DFC"/>
    <w:rsid w:val="00E66FC3"/>
    <w:rsid w:val="00E677DD"/>
    <w:rsid w:val="00E77F17"/>
    <w:rsid w:val="00E809D8"/>
    <w:rsid w:val="00E921EC"/>
    <w:rsid w:val="00EA0E72"/>
    <w:rsid w:val="00EB23D0"/>
    <w:rsid w:val="00EC395A"/>
    <w:rsid w:val="00EE3A16"/>
    <w:rsid w:val="00F01632"/>
    <w:rsid w:val="00F04858"/>
    <w:rsid w:val="00F13AA4"/>
    <w:rsid w:val="00F23399"/>
    <w:rsid w:val="00F3510D"/>
    <w:rsid w:val="00F43C07"/>
    <w:rsid w:val="00F43D44"/>
    <w:rsid w:val="00F655EF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458BD7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fcad593-008c-4260-ba04-7bdf0acc6cab">DPM</DPM_x0020_Author>
    <DPM_x0020_File_x0020_name xmlns="dfcad593-008c-4260-ba04-7bdf0acc6cab">S26-PP-C-0091!A34!MSW-S</DPM_x0020_File_x0020_name>
    <DPM_x0020_Version xmlns="dfcad593-008c-4260-ba04-7bdf0acc6cab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fcad593-008c-4260-ba04-7bdf0acc6cab" targetNamespace="http://schemas.microsoft.com/office/2006/metadata/properties" ma:root="true" ma:fieldsID="d41af5c836d734370eb92e7ee5f83852" ns2:_="" ns3:_="">
    <xsd:import namespace="996b2e75-67fd-4955-a3b0-5ab9934cb50b"/>
    <xsd:import namespace="dfcad593-008c-4260-ba04-7bdf0acc6ca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ad593-008c-4260-ba04-7bdf0acc6ca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fcad593-008c-4260-ba04-7bdf0acc6cab"/>
  </ds:schemaRefs>
</ds:datastoreItem>
</file>

<file path=customXml/itemProps2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fcad593-008c-4260-ba04-7bdf0acc6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207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S26-PP-C-0091!A34!MSW-S</vt:lpstr>
    </vt:vector>
  </TitlesOfParts>
  <Manager/>
  <Company/>
  <LinksUpToDate>false</LinksUpToDate>
  <CharactersWithSpaces>1465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S26-PP-C-0091!A34!MSW-S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6</cp:revision>
  <dcterms:created xsi:type="dcterms:W3CDTF">2026-10-22T08:26:00Z</dcterms:created>
  <dcterms:modified xsi:type="dcterms:W3CDTF">2026-10-22T09:10:00Z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