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F365B0" w14:paraId="60468D88" w14:textId="77777777" w:rsidTr="00EC1877">
        <w:trPr>
          <w:cantSplit/>
          <w:jc w:val="center"/>
        </w:trPr>
        <w:tc>
          <w:tcPr>
            <w:tcW w:w="10031" w:type="dxa"/>
            <w:gridSpan w:val="2"/>
            <w:tcMar>
              <w:left w:w="0" w:type="dxa"/>
              <w:right w:w="0" w:type="dxa"/>
            </w:tcMar>
            <w:vAlign w:val="center"/>
          </w:tcPr>
          <w:p w14:paraId="101A694E" w14:textId="77777777" w:rsidR="00CE496F" w:rsidRPr="00F365B0" w:rsidRDefault="00CE496F" w:rsidP="00CE496F">
            <w:pPr>
              <w:spacing w:before="0" w:line="240" w:lineRule="atLeast"/>
              <w:rPr>
                <w:rFonts w:cstheme="minorHAnsi"/>
              </w:rPr>
            </w:pPr>
            <w:bookmarkStart w:id="0" w:name="ditulogo"/>
            <w:bookmarkEnd w:id="0"/>
            <w:r w:rsidRPr="00F365B0">
              <w:rPr>
                <w:rFonts w:cstheme="minorHAnsi"/>
                <w:noProof/>
              </w:rPr>
              <w:drawing>
                <wp:anchor distT="0" distB="0" distL="0" distR="0" simplePos="0" relativeHeight="251658240" behindDoc="1" locked="0" layoutInCell="1" allowOverlap="1" wp14:anchorId="49538041" wp14:editId="236C144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F365B0" w14:paraId="46BB974C" w14:textId="77777777" w:rsidTr="00BD5C12">
        <w:trPr>
          <w:cantSplit/>
          <w:jc w:val="center"/>
        </w:trPr>
        <w:tc>
          <w:tcPr>
            <w:tcW w:w="10031" w:type="dxa"/>
            <w:gridSpan w:val="2"/>
            <w:tcBorders>
              <w:bottom w:val="single" w:sz="12" w:space="0" w:color="71716F"/>
            </w:tcBorders>
          </w:tcPr>
          <w:p w14:paraId="0DB07D17" w14:textId="77777777" w:rsidR="002E1AF7" w:rsidRPr="00F365B0" w:rsidRDefault="002E1AF7" w:rsidP="00CE496F">
            <w:pPr>
              <w:spacing w:before="0" w:line="240" w:lineRule="atLeast"/>
              <w:rPr>
                <w:rFonts w:cstheme="minorHAnsi"/>
                <w:b/>
                <w:smallCaps/>
                <w:szCs w:val="24"/>
              </w:rPr>
            </w:pPr>
            <w:bookmarkStart w:id="1" w:name="dhead"/>
          </w:p>
        </w:tc>
      </w:tr>
      <w:tr w:rsidR="00BD1614" w:rsidRPr="00F365B0" w14:paraId="69ABD4AC" w14:textId="77777777" w:rsidTr="00EC1877">
        <w:trPr>
          <w:cantSplit/>
          <w:jc w:val="center"/>
        </w:trPr>
        <w:tc>
          <w:tcPr>
            <w:tcW w:w="7229" w:type="dxa"/>
            <w:tcBorders>
              <w:top w:val="single" w:sz="12" w:space="0" w:color="71716F"/>
            </w:tcBorders>
          </w:tcPr>
          <w:p w14:paraId="25A82470" w14:textId="77777777" w:rsidR="00BD1614" w:rsidRPr="00F365B0"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E8AB0C2" w14:textId="77777777" w:rsidR="00BD1614" w:rsidRPr="00F365B0" w:rsidRDefault="00BD1614" w:rsidP="007A47E9">
            <w:pPr>
              <w:spacing w:before="0"/>
              <w:rPr>
                <w:rFonts w:cstheme="minorHAnsi"/>
                <w:szCs w:val="24"/>
              </w:rPr>
            </w:pPr>
          </w:p>
        </w:tc>
      </w:tr>
      <w:tr w:rsidR="00BD1614" w:rsidRPr="00F365B0" w14:paraId="3D02DC80" w14:textId="77777777" w:rsidTr="00CE496F">
        <w:trPr>
          <w:cantSplit/>
          <w:jc w:val="center"/>
        </w:trPr>
        <w:tc>
          <w:tcPr>
            <w:tcW w:w="7229" w:type="dxa"/>
          </w:tcPr>
          <w:p w14:paraId="000AAE4B" w14:textId="77777777" w:rsidR="00BD1614" w:rsidRPr="00F365B0" w:rsidRDefault="00BD1614" w:rsidP="007A47E9">
            <w:pPr>
              <w:pStyle w:val="Committee"/>
              <w:framePr w:hSpace="0" w:wrap="auto" w:hAnchor="text" w:yAlign="inline"/>
              <w:spacing w:after="0" w:line="240" w:lineRule="auto"/>
              <w:rPr>
                <w:lang w:val="fr-FR"/>
              </w:rPr>
            </w:pPr>
            <w:r w:rsidRPr="00F365B0">
              <w:rPr>
                <w:lang w:val="fr-FR"/>
              </w:rPr>
              <w:t>SÉANCE PLÉNIÈRE</w:t>
            </w:r>
          </w:p>
        </w:tc>
        <w:tc>
          <w:tcPr>
            <w:tcW w:w="2802" w:type="dxa"/>
            <w:tcMar>
              <w:left w:w="142" w:type="dxa"/>
              <w:right w:w="0" w:type="dxa"/>
            </w:tcMar>
          </w:tcPr>
          <w:p w14:paraId="34CD24A0" w14:textId="369289C8" w:rsidR="00BD1614" w:rsidRPr="00F365B0" w:rsidRDefault="00BD1614" w:rsidP="007A47E9">
            <w:pPr>
              <w:spacing w:before="0"/>
              <w:rPr>
                <w:rFonts w:cstheme="minorHAnsi"/>
                <w:szCs w:val="24"/>
              </w:rPr>
            </w:pPr>
            <w:r w:rsidRPr="00F365B0">
              <w:rPr>
                <w:rFonts w:cstheme="minorHAnsi"/>
                <w:b/>
                <w:szCs w:val="24"/>
              </w:rPr>
              <w:t>Document</w:t>
            </w:r>
            <w:r w:rsidR="00A83A43">
              <w:rPr>
                <w:rFonts w:cstheme="minorHAnsi"/>
                <w:b/>
                <w:szCs w:val="24"/>
              </w:rPr>
              <w:t> </w:t>
            </w:r>
            <w:r w:rsidRPr="00F365B0">
              <w:rPr>
                <w:rFonts w:cstheme="minorHAnsi"/>
                <w:b/>
                <w:szCs w:val="24"/>
              </w:rPr>
              <w:t>90</w:t>
            </w:r>
            <w:r w:rsidR="005F63BD" w:rsidRPr="00F365B0">
              <w:rPr>
                <w:rFonts w:cstheme="minorHAnsi"/>
                <w:b/>
                <w:szCs w:val="24"/>
              </w:rPr>
              <w:t>-F</w:t>
            </w:r>
          </w:p>
        </w:tc>
      </w:tr>
      <w:tr w:rsidR="00BD1614" w:rsidRPr="00F365B0" w14:paraId="7E7D1480" w14:textId="77777777" w:rsidTr="00CE496F">
        <w:trPr>
          <w:cantSplit/>
          <w:jc w:val="center"/>
        </w:trPr>
        <w:tc>
          <w:tcPr>
            <w:tcW w:w="7229" w:type="dxa"/>
          </w:tcPr>
          <w:p w14:paraId="31D201D4" w14:textId="77777777" w:rsidR="00BD1614" w:rsidRPr="00F365B0" w:rsidRDefault="00BD1614" w:rsidP="007A47E9">
            <w:pPr>
              <w:spacing w:before="0"/>
              <w:rPr>
                <w:rFonts w:cstheme="minorHAnsi"/>
                <w:b/>
                <w:szCs w:val="24"/>
              </w:rPr>
            </w:pPr>
          </w:p>
        </w:tc>
        <w:tc>
          <w:tcPr>
            <w:tcW w:w="2802" w:type="dxa"/>
            <w:tcMar>
              <w:left w:w="142" w:type="dxa"/>
              <w:right w:w="0" w:type="dxa"/>
            </w:tcMar>
          </w:tcPr>
          <w:p w14:paraId="609CE7FF" w14:textId="7A17976D" w:rsidR="00BD1614" w:rsidRPr="00F365B0" w:rsidRDefault="00BD1614" w:rsidP="007A47E9">
            <w:pPr>
              <w:spacing w:before="0"/>
              <w:rPr>
                <w:rFonts w:cstheme="minorHAnsi"/>
                <w:b/>
                <w:szCs w:val="24"/>
              </w:rPr>
            </w:pPr>
            <w:r w:rsidRPr="00F365B0">
              <w:rPr>
                <w:rFonts w:cstheme="minorHAnsi"/>
                <w:b/>
                <w:szCs w:val="24"/>
              </w:rPr>
              <w:t>19</w:t>
            </w:r>
            <w:r w:rsidR="00A83A43">
              <w:rPr>
                <w:rFonts w:cstheme="minorHAnsi"/>
                <w:b/>
                <w:szCs w:val="24"/>
              </w:rPr>
              <w:t> </w:t>
            </w:r>
            <w:r w:rsidRPr="00F365B0">
              <w:rPr>
                <w:rFonts w:cstheme="minorHAnsi"/>
                <w:b/>
                <w:szCs w:val="24"/>
              </w:rPr>
              <w:t>octobre 2026</w:t>
            </w:r>
          </w:p>
        </w:tc>
      </w:tr>
      <w:tr w:rsidR="00BD1614" w:rsidRPr="00F365B0" w14:paraId="3E3418B5" w14:textId="77777777" w:rsidTr="00CE496F">
        <w:trPr>
          <w:cantSplit/>
          <w:jc w:val="center"/>
        </w:trPr>
        <w:tc>
          <w:tcPr>
            <w:tcW w:w="7229" w:type="dxa"/>
          </w:tcPr>
          <w:p w14:paraId="1F885DCD" w14:textId="77777777" w:rsidR="00BD1614" w:rsidRPr="00F365B0" w:rsidRDefault="00BD1614" w:rsidP="007A47E9">
            <w:pPr>
              <w:spacing w:before="0"/>
              <w:rPr>
                <w:rFonts w:cstheme="minorHAnsi"/>
                <w:b/>
                <w:smallCaps/>
                <w:szCs w:val="24"/>
              </w:rPr>
            </w:pPr>
          </w:p>
        </w:tc>
        <w:tc>
          <w:tcPr>
            <w:tcW w:w="2802" w:type="dxa"/>
            <w:tcMar>
              <w:left w:w="142" w:type="dxa"/>
              <w:right w:w="0" w:type="dxa"/>
            </w:tcMar>
          </w:tcPr>
          <w:p w14:paraId="4D833925" w14:textId="77777777" w:rsidR="00BD1614" w:rsidRPr="00F365B0" w:rsidRDefault="00BD1614" w:rsidP="007A47E9">
            <w:pPr>
              <w:spacing w:before="0"/>
              <w:rPr>
                <w:rFonts w:cstheme="minorHAnsi"/>
                <w:b/>
                <w:szCs w:val="24"/>
              </w:rPr>
            </w:pPr>
            <w:r w:rsidRPr="00F365B0">
              <w:rPr>
                <w:rFonts w:cstheme="minorHAnsi"/>
                <w:b/>
                <w:szCs w:val="24"/>
              </w:rPr>
              <w:t>Original: anglais</w:t>
            </w:r>
          </w:p>
        </w:tc>
      </w:tr>
      <w:tr w:rsidR="00BD1614" w:rsidRPr="00F365B0" w14:paraId="1C15A7B4" w14:textId="77777777" w:rsidTr="002E1AF7">
        <w:trPr>
          <w:cantSplit/>
          <w:jc w:val="center"/>
        </w:trPr>
        <w:tc>
          <w:tcPr>
            <w:tcW w:w="10031" w:type="dxa"/>
            <w:gridSpan w:val="2"/>
          </w:tcPr>
          <w:p w14:paraId="6FA4B08B" w14:textId="77777777" w:rsidR="00BD1614" w:rsidRPr="00F365B0" w:rsidRDefault="00BD1614" w:rsidP="007A47E9">
            <w:pPr>
              <w:spacing w:before="0" w:line="240" w:lineRule="atLeast"/>
              <w:rPr>
                <w:rFonts w:cstheme="minorHAnsi"/>
                <w:b/>
                <w:szCs w:val="24"/>
              </w:rPr>
            </w:pPr>
          </w:p>
        </w:tc>
      </w:tr>
      <w:tr w:rsidR="00BD1614" w:rsidRPr="00F365B0" w14:paraId="013F10BC" w14:textId="77777777" w:rsidTr="002E1AF7">
        <w:trPr>
          <w:cantSplit/>
          <w:jc w:val="center"/>
        </w:trPr>
        <w:tc>
          <w:tcPr>
            <w:tcW w:w="10031" w:type="dxa"/>
            <w:gridSpan w:val="2"/>
          </w:tcPr>
          <w:p w14:paraId="05CF6AC1" w14:textId="22949175" w:rsidR="00BD1614" w:rsidRPr="00F365B0" w:rsidRDefault="00BD1614" w:rsidP="007A47E9">
            <w:pPr>
              <w:pStyle w:val="Source"/>
            </w:pPr>
            <w:bookmarkStart w:id="2" w:name="dsource" w:colFirst="0" w:colLast="0"/>
            <w:bookmarkEnd w:id="1"/>
            <w:r w:rsidRPr="00F365B0">
              <w:t>Allemagne (République fédérale d')/Autriche/Azerbaïdjan (République d')/Belgique/Bulgarie (République de)/Canada/Chypre (République de)/</w:t>
            </w:r>
            <w:r w:rsidR="001133B6" w:rsidRPr="00F365B0">
              <w:br/>
            </w:r>
            <w:r w:rsidRPr="00F365B0">
              <w:t>Corée (République de)/Croatie (République de)/Danemark/Espagne/</w:t>
            </w:r>
            <w:r w:rsidR="001133B6" w:rsidRPr="00F365B0">
              <w:br/>
            </w:r>
            <w:r w:rsidRPr="00F365B0">
              <w:t>Estonie</w:t>
            </w:r>
            <w:r w:rsidR="001133B6" w:rsidRPr="00F365B0">
              <w:t xml:space="preserve"> </w:t>
            </w:r>
            <w:r w:rsidRPr="00F365B0">
              <w:t>(République d')/Finlande/France/Grèce/Hongrie/Irlande/</w:t>
            </w:r>
            <w:r w:rsidR="001133B6" w:rsidRPr="00F365B0">
              <w:br/>
            </w:r>
            <w:r w:rsidRPr="00F365B0">
              <w:t>Islande/Italie/Lettonie (République</w:t>
            </w:r>
            <w:r w:rsidR="001133B6" w:rsidRPr="00F365B0">
              <w:t> </w:t>
            </w:r>
            <w:r w:rsidRPr="00F365B0">
              <w:t>de)/Liechtenstein (Principauté de)/</w:t>
            </w:r>
            <w:r w:rsidR="001133B6" w:rsidRPr="00F365B0">
              <w:br/>
            </w:r>
            <w:r w:rsidRPr="00F365B0">
              <w:t>Lituanie (République de)/Luxembourg/Malte/Moldova (République de)/Monténégro/Norvège/Pays-Bas (Royaume des)/Philippines</w:t>
            </w:r>
            <w:r w:rsidR="001133B6" w:rsidRPr="00F365B0">
              <w:br/>
            </w:r>
            <w:r w:rsidRPr="00F365B0">
              <w:t>(République des)/Pologne (République de)/Portugal/République slovaque/République tchèque/Roumanie/Royaume-Uni de</w:t>
            </w:r>
            <w:r w:rsidR="001133B6" w:rsidRPr="00F365B0">
              <w:br/>
            </w:r>
            <w:r w:rsidRPr="00F365B0">
              <w:t>Grande-Bretagne et d'Irlande du Nord/Slovénie</w:t>
            </w:r>
            <w:r w:rsidR="001133B6" w:rsidRPr="00F365B0">
              <w:br/>
            </w:r>
            <w:r w:rsidRPr="00F365B0">
              <w:t>(République de)/Suède/Suisse</w:t>
            </w:r>
            <w:r w:rsidR="001133B6" w:rsidRPr="00F365B0">
              <w:br/>
            </w:r>
            <w:r w:rsidRPr="00F365B0">
              <w:t>(Confédération)/Ukraine</w:t>
            </w:r>
          </w:p>
        </w:tc>
      </w:tr>
      <w:tr w:rsidR="005B20C7" w:rsidRPr="00F365B0" w14:paraId="02F8560A" w14:textId="77777777" w:rsidTr="002E1AF7">
        <w:trPr>
          <w:cantSplit/>
          <w:jc w:val="center"/>
        </w:trPr>
        <w:tc>
          <w:tcPr>
            <w:tcW w:w="10031" w:type="dxa"/>
            <w:gridSpan w:val="2"/>
          </w:tcPr>
          <w:p w14:paraId="6B71ACA0" w14:textId="788EFD9A" w:rsidR="005B20C7" w:rsidRPr="00F365B0" w:rsidRDefault="005B20C7" w:rsidP="00C501A7">
            <w:pPr>
              <w:pStyle w:val="Title1"/>
            </w:pPr>
            <w:bookmarkStart w:id="3" w:name="dtitle1" w:colFirst="0" w:colLast="0"/>
            <w:bookmarkEnd w:id="2"/>
            <w:r w:rsidRPr="00F365B0">
              <w:rPr>
                <w:color w:val="000000"/>
              </w:rPr>
              <w:t>Propositions pour les travaux de la ConfÉrence</w:t>
            </w:r>
          </w:p>
        </w:tc>
      </w:tr>
      <w:tr w:rsidR="005B20C7" w:rsidRPr="00F365B0" w14:paraId="601FDE09" w14:textId="77777777" w:rsidTr="002E1AF7">
        <w:trPr>
          <w:cantSplit/>
          <w:jc w:val="center"/>
        </w:trPr>
        <w:tc>
          <w:tcPr>
            <w:tcW w:w="10031" w:type="dxa"/>
            <w:gridSpan w:val="2"/>
          </w:tcPr>
          <w:p w14:paraId="0C096978" w14:textId="0004BB46" w:rsidR="005B20C7" w:rsidRPr="00F365B0" w:rsidRDefault="005B20C7" w:rsidP="00C501A7">
            <w:pPr>
              <w:pStyle w:val="Title2"/>
            </w:pPr>
            <w:bookmarkStart w:id="4" w:name="dtitle2" w:colFirst="0" w:colLast="0"/>
            <w:bookmarkEnd w:id="3"/>
            <w:r w:rsidRPr="00F365B0">
              <w:rPr>
                <w:color w:val="000000"/>
              </w:rPr>
              <w:t>Projet de nouvelle R</w:t>
            </w:r>
            <w:r w:rsidR="00D02678" w:rsidRPr="00F365B0">
              <w:rPr>
                <w:color w:val="000000"/>
              </w:rPr>
              <w:t>É</w:t>
            </w:r>
            <w:r w:rsidRPr="00F365B0">
              <w:rPr>
                <w:color w:val="000000"/>
              </w:rPr>
              <w:t>solution – Renforcement du cadre de l</w:t>
            </w:r>
            <w:r w:rsidR="00E63E7F">
              <w:rPr>
                <w:color w:val="000000"/>
              </w:rPr>
              <w:t>'</w:t>
            </w:r>
            <w:r w:rsidRPr="00F365B0">
              <w:rPr>
                <w:color w:val="000000"/>
              </w:rPr>
              <w:t xml:space="preserve">UIT </w:t>
            </w:r>
            <w:r w:rsidR="00DA3BDE">
              <w:rPr>
                <w:color w:val="000000"/>
              </w:rPr>
              <w:br/>
            </w:r>
            <w:r w:rsidRPr="00F365B0">
              <w:rPr>
                <w:color w:val="000000"/>
              </w:rPr>
              <w:t>pour la r</w:t>
            </w:r>
            <w:r w:rsidR="00D02678" w:rsidRPr="00F365B0">
              <w:rPr>
                <w:color w:val="000000"/>
              </w:rPr>
              <w:t>É</w:t>
            </w:r>
            <w:r w:rsidRPr="00F365B0">
              <w:rPr>
                <w:color w:val="000000"/>
              </w:rPr>
              <w:t>solution des cas de brouillage pr</w:t>
            </w:r>
            <w:r w:rsidR="00D02678" w:rsidRPr="00F365B0">
              <w:rPr>
                <w:color w:val="000000"/>
              </w:rPr>
              <w:t>É</w:t>
            </w:r>
            <w:r w:rsidRPr="00F365B0">
              <w:rPr>
                <w:color w:val="000000"/>
              </w:rPr>
              <w:t>judiciable</w:t>
            </w:r>
          </w:p>
        </w:tc>
      </w:tr>
      <w:tr w:rsidR="00BD1614" w:rsidRPr="00F365B0" w14:paraId="2FD878C0" w14:textId="77777777" w:rsidTr="002E1AF7">
        <w:trPr>
          <w:cantSplit/>
          <w:jc w:val="center"/>
        </w:trPr>
        <w:tc>
          <w:tcPr>
            <w:tcW w:w="10031" w:type="dxa"/>
            <w:gridSpan w:val="2"/>
          </w:tcPr>
          <w:p w14:paraId="4195EE01" w14:textId="77777777" w:rsidR="00BD1614" w:rsidRPr="00F365B0" w:rsidRDefault="00BD1614" w:rsidP="00C501A7">
            <w:pPr>
              <w:pStyle w:val="Agendaitem"/>
              <w:rPr>
                <w:lang w:val="fr-FR"/>
              </w:rPr>
            </w:pPr>
            <w:bookmarkStart w:id="5" w:name="dtitle3" w:colFirst="0" w:colLast="0"/>
            <w:bookmarkEnd w:id="4"/>
          </w:p>
        </w:tc>
      </w:tr>
      <w:bookmarkEnd w:id="5"/>
    </w:tbl>
    <w:p w14:paraId="1033CFFD" w14:textId="77777777" w:rsidR="00BD1614" w:rsidRPr="00F365B0"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F365B0">
        <w:br w:type="page"/>
      </w:r>
    </w:p>
    <w:p w14:paraId="2EBED183" w14:textId="61DBB15A" w:rsidR="007660D7" w:rsidRPr="00F365B0" w:rsidRDefault="00357FCB">
      <w:pPr>
        <w:pStyle w:val="Proposal"/>
      </w:pPr>
      <w:r w:rsidRPr="00F365B0">
        <w:lastRenderedPageBreak/>
        <w:t>ADD</w:t>
      </w:r>
      <w:r w:rsidR="00026B52">
        <w:tab/>
      </w:r>
      <w:r w:rsidRPr="00F365B0">
        <w:t>D/AUT/AZE/BEL/BUL/CAN/CYP/KOR/HRV/DNK/E/EST/FIN/F/GRC/HNG/IRL/ISL/I/LVA/LIE/LTU/LUX/MLT/MDA/MNE/NOR/HOL/PHL/POL/POR/SVK/CZE/ROU/G/SVN/S/SUI/UKR/90/1</w:t>
      </w:r>
    </w:p>
    <w:p w14:paraId="697855B2" w14:textId="7CA9E8A3" w:rsidR="007660D7" w:rsidRPr="00F365B0" w:rsidRDefault="00357FCB">
      <w:pPr>
        <w:pStyle w:val="ResNo"/>
      </w:pPr>
      <w:r w:rsidRPr="00F365B0">
        <w:t>Projet de nouvelle R</w:t>
      </w:r>
      <w:r w:rsidR="006E55D2">
        <w:t>É</w:t>
      </w:r>
      <w:r w:rsidRPr="00F365B0">
        <w:t>solution [D/AUT/AZE/BEL/BUL/CAN/CYP/KOR/HRV/DNK/E/EST/FIN/F/GRC/</w:t>
      </w:r>
      <w:r w:rsidR="00CA3BDE">
        <w:br/>
      </w:r>
      <w:r w:rsidRPr="00F365B0">
        <w:t>HNG/IRL/ISL/I/LVA/LIE/LTU/LUX/MLT/MDA/MNE/NOR/HOL/</w:t>
      </w:r>
      <w:r w:rsidR="00CA3BDE">
        <w:br/>
      </w:r>
      <w:r w:rsidRPr="00F365B0">
        <w:t>PHL/POL/POR/SVK/CZE/ROU/G/SVN/S/SUI/UKR-1]</w:t>
      </w:r>
    </w:p>
    <w:p w14:paraId="130DCEC2" w14:textId="0761E2AD" w:rsidR="00F255D6" w:rsidRPr="00F365B0" w:rsidRDefault="00F255D6" w:rsidP="00F255D6">
      <w:pPr>
        <w:pStyle w:val="Restitle"/>
      </w:pPr>
      <w:r w:rsidRPr="00F365B0">
        <w:rPr>
          <w:bCs/>
        </w:rPr>
        <w:t>Renforcement du cadre de l</w:t>
      </w:r>
      <w:r w:rsidR="00E63E7F">
        <w:rPr>
          <w:bCs/>
        </w:rPr>
        <w:t>'</w:t>
      </w:r>
      <w:r w:rsidRPr="00F365B0">
        <w:rPr>
          <w:bCs/>
        </w:rPr>
        <w:t xml:space="preserve">UIT pour la résolution </w:t>
      </w:r>
      <w:r w:rsidR="00DA3BDE">
        <w:rPr>
          <w:bCs/>
        </w:rPr>
        <w:br/>
      </w:r>
      <w:r w:rsidRPr="00F365B0">
        <w:rPr>
          <w:bCs/>
        </w:rPr>
        <w:t>des cas de brouillage préjudiciable</w:t>
      </w:r>
    </w:p>
    <w:p w14:paraId="13C19716" w14:textId="0260ACE7" w:rsidR="00F255D6" w:rsidRPr="00F365B0" w:rsidRDefault="00F255D6" w:rsidP="00F255D6">
      <w:pPr>
        <w:pStyle w:val="Normalaftertitle"/>
      </w:pPr>
      <w:r w:rsidRPr="00F365B0">
        <w:t>La Conférence de plénipotentiaires de l'Union internationale des télécommunications (Doha,</w:t>
      </w:r>
      <w:r w:rsidR="00DA3BDE">
        <w:t> </w:t>
      </w:r>
      <w:r w:rsidRPr="00F365B0">
        <w:t>2026),</w:t>
      </w:r>
    </w:p>
    <w:p w14:paraId="04CDD9B9" w14:textId="77777777" w:rsidR="00F255D6" w:rsidRPr="00CA3BDE" w:rsidRDefault="00F255D6" w:rsidP="00CA3BDE">
      <w:pPr>
        <w:pStyle w:val="Call"/>
      </w:pPr>
      <w:r w:rsidRPr="00F365B0">
        <w:t>rappelant</w:t>
      </w:r>
    </w:p>
    <w:p w14:paraId="6826408F" w14:textId="6C25E323" w:rsidR="00F255D6" w:rsidRPr="00F365B0" w:rsidRDefault="00F255D6" w:rsidP="00F255D6">
      <w:r w:rsidRPr="00F365B0">
        <w:rPr>
          <w:i/>
          <w:iCs/>
        </w:rPr>
        <w:t>a)</w:t>
      </w:r>
      <w:r w:rsidRPr="00F365B0">
        <w:tab/>
        <w:t xml:space="preserve">les </w:t>
      </w:r>
      <w:r w:rsidR="00CA3BDE">
        <w:t>a</w:t>
      </w:r>
      <w:r w:rsidRPr="00F365B0">
        <w:t>rticles</w:t>
      </w:r>
      <w:r w:rsidR="00A83A43">
        <w:t> </w:t>
      </w:r>
      <w:r w:rsidRPr="00F365B0">
        <w:t>1, 6 et 45 de la Constitution de l</w:t>
      </w:r>
      <w:r w:rsidR="00E63E7F">
        <w:t>'</w:t>
      </w:r>
      <w:r w:rsidRPr="00F365B0">
        <w:t>Union internationale des télécommunications, y</w:t>
      </w:r>
      <w:r w:rsidR="00DA3BDE">
        <w:t> </w:t>
      </w:r>
      <w:r w:rsidRPr="00F365B0">
        <w:t xml:space="preserve">compris le rôle </w:t>
      </w:r>
      <w:r w:rsidR="00E10910">
        <w:t>que joue</w:t>
      </w:r>
      <w:r w:rsidR="00E10910" w:rsidRPr="00F365B0">
        <w:t xml:space="preserve"> </w:t>
      </w:r>
      <w:r w:rsidRPr="00F365B0">
        <w:t>l</w:t>
      </w:r>
      <w:r w:rsidR="00E63E7F">
        <w:t>'</w:t>
      </w:r>
      <w:r w:rsidRPr="00F365B0">
        <w:t xml:space="preserve">Union </w:t>
      </w:r>
      <w:r w:rsidR="00E10910">
        <w:t>en vue d'éviter</w:t>
      </w:r>
      <w:r w:rsidRPr="00F365B0">
        <w:t xml:space="preserve"> et </w:t>
      </w:r>
      <w:r w:rsidR="00E10910">
        <w:t>d'éliminer les</w:t>
      </w:r>
      <w:r w:rsidRPr="00F365B0">
        <w:t xml:space="preserve"> brouillages préjudiciables entre les stations de radiocommunication de</w:t>
      </w:r>
      <w:r w:rsidR="00F26026">
        <w:t>s</w:t>
      </w:r>
      <w:r w:rsidRPr="00F365B0">
        <w:t xml:space="preserve"> différents pays et </w:t>
      </w:r>
      <w:r w:rsidR="00F26026">
        <w:t>de</w:t>
      </w:r>
      <w:r w:rsidR="00F26026" w:rsidRPr="00F365B0">
        <w:t xml:space="preserve"> </w:t>
      </w:r>
      <w:r w:rsidRPr="00F365B0">
        <w:t>promo</w:t>
      </w:r>
      <w:r w:rsidR="00F26026">
        <w:t>uvoir</w:t>
      </w:r>
      <w:r w:rsidRPr="00F365B0">
        <w:t xml:space="preserve"> de</w:t>
      </w:r>
      <w:r w:rsidR="00F26026">
        <w:t>s</w:t>
      </w:r>
      <w:r w:rsidRPr="00F365B0">
        <w:t xml:space="preserve"> mesures visant à garantir la sécurité de la vie humaine grâce à la coopération des services de télécommunication;</w:t>
      </w:r>
    </w:p>
    <w:p w14:paraId="1E878A30" w14:textId="5C494994" w:rsidR="00F255D6" w:rsidRPr="00F365B0" w:rsidRDefault="00F255D6" w:rsidP="00F255D6">
      <w:r w:rsidRPr="00F365B0">
        <w:rPr>
          <w:i/>
          <w:iCs/>
        </w:rPr>
        <w:t>b)</w:t>
      </w:r>
      <w:r w:rsidRPr="00F365B0">
        <w:tab/>
        <w:t>le numéro</w:t>
      </w:r>
      <w:r w:rsidR="00A83A43">
        <w:t> </w:t>
      </w:r>
      <w:r w:rsidRPr="00F365B0">
        <w:t>15.1 du Règlement des radiocommunications, selon lequel sont interdites à toutes les stations les transmissions inutiles, la transmission de signaux superflus, faux ou trompeurs, ou la transmission de signaux dont l'identité n'est pas donnée (sauf dans les cas prévus à l'Article 19);</w:t>
      </w:r>
    </w:p>
    <w:p w14:paraId="50CD1DEA" w14:textId="37662473" w:rsidR="00F255D6" w:rsidRPr="00F365B0" w:rsidRDefault="00F255D6" w:rsidP="00F255D6">
      <w:r w:rsidRPr="00F365B0">
        <w:rPr>
          <w:i/>
          <w:iCs/>
        </w:rPr>
        <w:t>c)</w:t>
      </w:r>
      <w:r w:rsidRPr="00F365B0">
        <w:tab/>
        <w:t>la Résolution</w:t>
      </w:r>
      <w:r w:rsidR="00A83A43">
        <w:t> </w:t>
      </w:r>
      <w:r w:rsidRPr="00F365B0">
        <w:t>676 (CMR-23), intitulée "Prévention et atténuation des brouillages préjudiciables causés au service de radionavigation par satellite dans les bandes de fréquences</w:t>
      </w:r>
      <w:r w:rsidR="00CA3BDE">
        <w:t xml:space="preserve"> </w:t>
      </w:r>
      <w:r w:rsidRPr="00F365B0">
        <w:t>1 164-1 215 MHz et 1 559-1 610 MHz";</w:t>
      </w:r>
    </w:p>
    <w:p w14:paraId="680188F9" w14:textId="5F759701" w:rsidR="00F255D6" w:rsidRPr="00F365B0" w:rsidRDefault="00F255D6" w:rsidP="00F255D6">
      <w:r w:rsidRPr="00F365B0">
        <w:rPr>
          <w:i/>
          <w:iCs/>
        </w:rPr>
        <w:t>d)</w:t>
      </w:r>
      <w:r w:rsidRPr="00F365B0">
        <w:tab/>
        <w:t xml:space="preserve">la déclaration conjointe </w:t>
      </w:r>
      <w:r w:rsidR="00F26026">
        <w:t>de la</w:t>
      </w:r>
      <w:r w:rsidR="00F26026" w:rsidRPr="00F365B0">
        <w:t xml:space="preserve"> </w:t>
      </w:r>
      <w:r w:rsidRPr="00F365B0">
        <w:t>Secrétaire général</w:t>
      </w:r>
      <w:r w:rsidR="00F26026">
        <w:t>e</w:t>
      </w:r>
      <w:r w:rsidRPr="00F365B0">
        <w:t xml:space="preserve"> de l</w:t>
      </w:r>
      <w:r w:rsidR="00E63E7F">
        <w:t>'</w:t>
      </w:r>
      <w:r w:rsidRPr="00F365B0">
        <w:t>Union internationale des télécommunications, du Secrétaire général de l</w:t>
      </w:r>
      <w:r w:rsidR="00E63E7F">
        <w:t>'</w:t>
      </w:r>
      <w:r w:rsidRPr="00F365B0">
        <w:t>Organisation de l</w:t>
      </w:r>
      <w:r w:rsidR="00E63E7F">
        <w:t>'</w:t>
      </w:r>
      <w:r w:rsidRPr="00F365B0">
        <w:t>aviation civile internationale (OACI) et du Secrétaire général de l</w:t>
      </w:r>
      <w:r w:rsidR="00E63E7F">
        <w:t>'</w:t>
      </w:r>
      <w:r w:rsidRPr="00F365B0">
        <w:t>Organisation maritime internationale (OMI) concernant la protection du service de radionavigation par satellite contre les brouillages préjudiciables,</w:t>
      </w:r>
    </w:p>
    <w:p w14:paraId="1DF0B909" w14:textId="77777777" w:rsidR="00F255D6" w:rsidRPr="00F365B0" w:rsidRDefault="00F255D6" w:rsidP="00F255D6">
      <w:pPr>
        <w:pStyle w:val="Call"/>
      </w:pPr>
      <w:r w:rsidRPr="00CA3BDE">
        <w:t>reconnaissant</w:t>
      </w:r>
    </w:p>
    <w:p w14:paraId="36F75C6C" w14:textId="57E46F44" w:rsidR="00F255D6" w:rsidRPr="00F365B0" w:rsidRDefault="00F255D6" w:rsidP="00F255D6">
      <w:r w:rsidRPr="00F365B0">
        <w:rPr>
          <w:i/>
          <w:iCs/>
        </w:rPr>
        <w:t>a)</w:t>
      </w:r>
      <w:r w:rsidRPr="00F365B0">
        <w:tab/>
        <w:t xml:space="preserve">que les brouillages préjudiciables affectant les services de radionavigation et </w:t>
      </w:r>
      <w:r w:rsidR="00F26026">
        <w:t>d'</w:t>
      </w:r>
      <w:r w:rsidRPr="00F365B0">
        <w:t>autres services de radiocommunication liés à la sécurité peuvent avoir des incidences sur des services auxquels la Constitution accorde une priorité particulière en ce qui concerne la sécurité de la vie humaine;</w:t>
      </w:r>
    </w:p>
    <w:p w14:paraId="4AA16005" w14:textId="7A06BE41" w:rsidR="00F255D6" w:rsidRPr="00F365B0" w:rsidRDefault="00F255D6" w:rsidP="00F255D6">
      <w:r w:rsidRPr="00F365B0">
        <w:rPr>
          <w:i/>
          <w:iCs/>
        </w:rPr>
        <w:t>b)</w:t>
      </w:r>
      <w:r w:rsidRPr="00F365B0">
        <w:tab/>
        <w:t>que des cas persistants de brouillage préjudiciable affectant les systèmes de radiocommunication, y compris les services de radionavigation et liés à la sécurité de la vie humaine, ne sont toujours pas résolus, malgré les procédures en vigueur et les mesures répétées prises par le Bureau des radiocommunications et le Comité du Règlement des radiocommunications;</w:t>
      </w:r>
    </w:p>
    <w:p w14:paraId="2BED6FEB" w14:textId="13E38CE1" w:rsidR="00F255D6" w:rsidRPr="00F365B0" w:rsidRDefault="00F255D6" w:rsidP="00F255D6">
      <w:r w:rsidRPr="00F365B0">
        <w:rPr>
          <w:i/>
          <w:iCs/>
        </w:rPr>
        <w:lastRenderedPageBreak/>
        <w:t>c)</w:t>
      </w:r>
      <w:r w:rsidRPr="00F365B0">
        <w:tab/>
        <w:t>que le Conseil de l</w:t>
      </w:r>
      <w:r w:rsidR="00E63E7F">
        <w:t>'</w:t>
      </w:r>
      <w:r w:rsidRPr="00F365B0">
        <w:t>UIT, en sa qualité d</w:t>
      </w:r>
      <w:r w:rsidR="00E63E7F">
        <w:t>'</w:t>
      </w:r>
      <w:r w:rsidRPr="00F365B0">
        <w:t>organe directeur de l</w:t>
      </w:r>
      <w:r w:rsidR="00E63E7F">
        <w:t>'</w:t>
      </w:r>
      <w:r w:rsidRPr="00F365B0">
        <w:t xml:space="preserve">Union entre les Conférences de plénipotentiaires, peut envisager </w:t>
      </w:r>
      <w:r w:rsidR="00F26026">
        <w:t>d</w:t>
      </w:r>
      <w:r w:rsidRPr="00F365B0">
        <w:t>es mesures</w:t>
      </w:r>
      <w:r w:rsidR="00F26026">
        <w:t xml:space="preserve"> sur le plan des</w:t>
      </w:r>
      <w:r w:rsidRPr="00F365B0">
        <w:t xml:space="preserve"> </w:t>
      </w:r>
      <w:r w:rsidR="00F26026">
        <w:t xml:space="preserve">stratégies </w:t>
      </w:r>
      <w:r w:rsidRPr="00F365B0">
        <w:t>et de</w:t>
      </w:r>
      <w:r w:rsidR="00F26026">
        <w:t xml:space="preserve"> la</w:t>
      </w:r>
      <w:r w:rsidRPr="00F365B0">
        <w:t xml:space="preserve"> coordination nécessaires </w:t>
      </w:r>
      <w:r w:rsidR="00F26026">
        <w:t xml:space="preserve">en faveur de l'objet de </w:t>
      </w:r>
      <w:r w:rsidRPr="00F365B0">
        <w:t>l</w:t>
      </w:r>
      <w:r w:rsidR="00E63E7F">
        <w:t>'</w:t>
      </w:r>
      <w:r w:rsidRPr="00F365B0">
        <w:t xml:space="preserve">Union, y compris la coordination des efforts internationaux </w:t>
      </w:r>
      <w:r w:rsidR="00F26026">
        <w:t>afin d'</w:t>
      </w:r>
      <w:r w:rsidRPr="00F365B0">
        <w:t>éliminer les brouillages préjudiciables entre les stations de radiocommunication de</w:t>
      </w:r>
      <w:r w:rsidR="00F26026">
        <w:t>s</w:t>
      </w:r>
      <w:r w:rsidRPr="00F365B0">
        <w:t xml:space="preserve"> différents pays</w:t>
      </w:r>
      <w:r w:rsidR="006B5036">
        <w:t>,</w:t>
      </w:r>
    </w:p>
    <w:p w14:paraId="4EEB4484" w14:textId="0A9A1908" w:rsidR="00F255D6" w:rsidRPr="00F365B0" w:rsidRDefault="00F255D6" w:rsidP="00F255D6">
      <w:pPr>
        <w:pStyle w:val="Call"/>
      </w:pPr>
      <w:r w:rsidRPr="00CA3BDE">
        <w:t>décide</w:t>
      </w:r>
    </w:p>
    <w:p w14:paraId="32B053FF" w14:textId="5A559E8F" w:rsidR="00F255D6" w:rsidRPr="00F365B0" w:rsidRDefault="00F255D6" w:rsidP="00F255D6">
      <w:r w:rsidRPr="00F365B0">
        <w:t>que l</w:t>
      </w:r>
      <w:r w:rsidR="00E63E7F">
        <w:t>'</w:t>
      </w:r>
      <w:r w:rsidRPr="00F365B0">
        <w:t xml:space="preserve">Union </w:t>
      </w:r>
      <w:r w:rsidR="00F26026">
        <w:t>devrait</w:t>
      </w:r>
      <w:r w:rsidR="00F26026" w:rsidRPr="00F365B0">
        <w:t xml:space="preserve"> </w:t>
      </w:r>
      <w:r w:rsidRPr="00F365B0">
        <w:t>renforcer, dans le cadre de</w:t>
      </w:r>
      <w:r w:rsidR="00F26026">
        <w:t>s</w:t>
      </w:r>
      <w:r w:rsidR="00827943" w:rsidRPr="00F365B0">
        <w:t xml:space="preserve"> </w:t>
      </w:r>
      <w:r w:rsidRPr="00F365B0">
        <w:t xml:space="preserve">compétences </w:t>
      </w:r>
      <w:r w:rsidR="00F26026">
        <w:t>que lui conférent</w:t>
      </w:r>
      <w:r w:rsidRPr="00F365B0">
        <w:t xml:space="preserve"> la Constitution, la Convention et </w:t>
      </w:r>
      <w:r w:rsidR="00F26026">
        <w:t>le</w:t>
      </w:r>
      <w:r w:rsidR="00F26026" w:rsidRPr="00F365B0">
        <w:t xml:space="preserve"> </w:t>
      </w:r>
      <w:r w:rsidRPr="00F365B0">
        <w:t>Règlement des radiocommunications, l</w:t>
      </w:r>
      <w:r w:rsidR="00E63E7F">
        <w:t>'</w:t>
      </w:r>
      <w:r w:rsidRPr="00F365B0">
        <w:t>efficacité, la transparence et l</w:t>
      </w:r>
      <w:r w:rsidR="00E63E7F">
        <w:t>'</w:t>
      </w:r>
      <w:r w:rsidRPr="00F365B0">
        <w:t xml:space="preserve">application </w:t>
      </w:r>
      <w:r w:rsidR="00814AB0">
        <w:t>sans délai</w:t>
      </w:r>
      <w:r w:rsidRPr="00F365B0">
        <w:t xml:space="preserve"> des procédures internationales visant à prévenir, à atténuer et à résoudre les cas </w:t>
      </w:r>
      <w:r w:rsidR="00672B8E" w:rsidRPr="00F365B0">
        <w:t>persistant</w:t>
      </w:r>
      <w:r w:rsidR="00672B8E">
        <w:t>s</w:t>
      </w:r>
      <w:r w:rsidR="00672B8E" w:rsidRPr="00F365B0">
        <w:t xml:space="preserve"> </w:t>
      </w:r>
      <w:r w:rsidRPr="00F365B0">
        <w:t>de brouillage préjudiciable,</w:t>
      </w:r>
    </w:p>
    <w:p w14:paraId="31932186" w14:textId="77777777" w:rsidR="00F255D6" w:rsidRPr="00F365B0" w:rsidRDefault="00F255D6" w:rsidP="00CA3BDE">
      <w:pPr>
        <w:pStyle w:val="Call"/>
      </w:pPr>
      <w:r w:rsidRPr="00F365B0">
        <w:t xml:space="preserve">charge le </w:t>
      </w:r>
      <w:r w:rsidRPr="00CA3BDE">
        <w:t>Directeur</w:t>
      </w:r>
      <w:r w:rsidRPr="00F365B0">
        <w:t xml:space="preserve"> du Bureau des radiocommunications</w:t>
      </w:r>
    </w:p>
    <w:p w14:paraId="7479DAE2" w14:textId="55A6BA42" w:rsidR="00F255D6" w:rsidRPr="00F365B0" w:rsidRDefault="00F255D6" w:rsidP="00F255D6">
      <w:r w:rsidRPr="00F365B0">
        <w:t>d</w:t>
      </w:r>
      <w:r w:rsidR="00E63E7F">
        <w:t>'</w:t>
      </w:r>
      <w:r w:rsidRPr="00F365B0">
        <w:t xml:space="preserve">élaborer, après </w:t>
      </w:r>
      <w:r w:rsidR="00814AB0">
        <w:t>avoir consulté</w:t>
      </w:r>
      <w:r w:rsidRPr="00F365B0">
        <w:t xml:space="preserve"> le Comité du Règlement des radiocommunications, un rapport détaillé sur la question des brouillages préjudiciables persistants et de le porter à l</w:t>
      </w:r>
      <w:r w:rsidR="00E63E7F">
        <w:t>'</w:t>
      </w:r>
      <w:r w:rsidRPr="00F365B0">
        <w:t>attention du Conseil pour examen, ledit rapport devant comprendre:</w:t>
      </w:r>
    </w:p>
    <w:p w14:paraId="01CEFBB4" w14:textId="0D24534E" w:rsidR="00F255D6" w:rsidRPr="00F365B0" w:rsidRDefault="00F255D6" w:rsidP="00F255D6">
      <w:pPr>
        <w:pStyle w:val="enumlev1"/>
      </w:pPr>
      <w:r w:rsidRPr="00F365B0">
        <w:t>i</w:t>
      </w:r>
      <w:r w:rsidR="00CA3BDE">
        <w:t>)</w:t>
      </w:r>
      <w:r w:rsidRPr="00F365B0">
        <w:tab/>
        <w:t>un résumé des mesures actuelles que l</w:t>
      </w:r>
      <w:r w:rsidR="00E63E7F">
        <w:t>'</w:t>
      </w:r>
      <w:r w:rsidRPr="00F365B0">
        <w:t>UIT peut mettre en œuvre pour résoudre ce problème;</w:t>
      </w:r>
    </w:p>
    <w:p w14:paraId="7C9AD592" w14:textId="459C7CBA" w:rsidR="00F255D6" w:rsidRPr="00F365B0" w:rsidRDefault="00F255D6" w:rsidP="00F255D6">
      <w:pPr>
        <w:pStyle w:val="enumlev1"/>
      </w:pPr>
      <w:r w:rsidRPr="00F365B0">
        <w:t>ii</w:t>
      </w:r>
      <w:r w:rsidR="00CA3BDE">
        <w:t>)</w:t>
      </w:r>
      <w:r w:rsidRPr="00F365B0">
        <w:tab/>
        <w:t xml:space="preserve">des renseignements sur les cas persistants de brouillage préjudiciable non résolus et sur les </w:t>
      </w:r>
      <w:r w:rsidR="00814AB0">
        <w:t xml:space="preserve">limites </w:t>
      </w:r>
      <w:r w:rsidRPr="00F365B0">
        <w:t>rencontrées</w:t>
      </w:r>
      <w:r w:rsidR="00814AB0">
        <w:t xml:space="preserve"> en matière de procédures</w:t>
      </w:r>
      <w:r w:rsidRPr="00F365B0">
        <w:t>;</w:t>
      </w:r>
    </w:p>
    <w:p w14:paraId="5B00302F" w14:textId="1F69B78D" w:rsidR="00F255D6" w:rsidRPr="00F365B0" w:rsidRDefault="00F255D6" w:rsidP="00F255D6">
      <w:pPr>
        <w:pStyle w:val="enumlev1"/>
      </w:pPr>
      <w:r w:rsidRPr="00F365B0">
        <w:t>iii</w:t>
      </w:r>
      <w:r w:rsidR="00CA3BDE">
        <w:t>)</w:t>
      </w:r>
      <w:r w:rsidRPr="00F365B0">
        <w:tab/>
        <w:t xml:space="preserve">les </w:t>
      </w:r>
      <w:r w:rsidR="00814AB0">
        <w:t xml:space="preserve">options possibles concernant les </w:t>
      </w:r>
      <w:r w:rsidRPr="00F365B0">
        <w:t>modification</w:t>
      </w:r>
      <w:r w:rsidR="00550524">
        <w:t xml:space="preserve">s </w:t>
      </w:r>
      <w:r w:rsidR="00814AB0">
        <w:t>à apporter</w:t>
      </w:r>
      <w:r w:rsidR="00550524">
        <w:t xml:space="preserve"> aux </w:t>
      </w:r>
      <w:r w:rsidRPr="00F365B0">
        <w:t xml:space="preserve">procédures actuelles et </w:t>
      </w:r>
      <w:r w:rsidR="00550524">
        <w:t xml:space="preserve">au </w:t>
      </w:r>
      <w:r w:rsidRPr="00F365B0">
        <w:t xml:space="preserve">Règlement des radiocommunications et les mesures ou recours additionnels </w:t>
      </w:r>
      <w:r w:rsidR="00814AB0">
        <w:t>qui pourraient être appliqués</w:t>
      </w:r>
      <w:r w:rsidR="00550524">
        <w:t xml:space="preserve"> pour </w:t>
      </w:r>
      <w:r w:rsidRPr="00F365B0">
        <w:t>résoudre les cas persistants de brouillage préjudiciable,</w:t>
      </w:r>
    </w:p>
    <w:p w14:paraId="31456C71" w14:textId="77777777" w:rsidR="00F255D6" w:rsidRPr="00F365B0" w:rsidRDefault="00F255D6" w:rsidP="00CA3BDE">
      <w:pPr>
        <w:pStyle w:val="Call"/>
      </w:pPr>
      <w:r w:rsidRPr="00F365B0">
        <w:t>charge le Conseil de l'UIT</w:t>
      </w:r>
    </w:p>
    <w:p w14:paraId="4F5DFE12" w14:textId="48E53946" w:rsidR="00F255D6" w:rsidRPr="00F365B0" w:rsidRDefault="00F255D6" w:rsidP="00F255D6">
      <w:r w:rsidRPr="00F365B0">
        <w:t>d</w:t>
      </w:r>
      <w:r w:rsidR="00E63E7F">
        <w:t>'</w:t>
      </w:r>
      <w:r w:rsidRPr="00F365B0">
        <w:t>examiner, sur la base du rapport du Directeur du Bureau des radiocommunications, la question des cas persistants de brouillage préjudiciable qui n</w:t>
      </w:r>
      <w:r w:rsidR="00E63E7F">
        <w:t>'</w:t>
      </w:r>
      <w:r w:rsidRPr="00F365B0">
        <w:t xml:space="preserve">ont toujours pas été résolus </w:t>
      </w:r>
      <w:r w:rsidR="00814AB0">
        <w:t>à l'issue de leur</w:t>
      </w:r>
      <w:r w:rsidR="00814AB0" w:rsidRPr="00F365B0">
        <w:t xml:space="preserve"> </w:t>
      </w:r>
      <w:r w:rsidRPr="00F365B0">
        <w:t xml:space="preserve">examen </w:t>
      </w:r>
      <w:r w:rsidR="00814AB0">
        <w:t>par le</w:t>
      </w:r>
      <w:r w:rsidR="00814AB0" w:rsidRPr="00F365B0">
        <w:t xml:space="preserve"> </w:t>
      </w:r>
      <w:r w:rsidRPr="00F365B0">
        <w:t>Comité du Règlement des radiocommunications, et de recenser, d</w:t>
      </w:r>
      <w:r w:rsidR="00E63E7F">
        <w:t>'</w:t>
      </w:r>
      <w:r w:rsidRPr="00F365B0">
        <w:t xml:space="preserve">évaluer et de mettre en </w:t>
      </w:r>
      <w:r w:rsidR="009F7A4F" w:rsidRPr="00F365B0">
        <w:t>place</w:t>
      </w:r>
      <w:r w:rsidRPr="00F365B0">
        <w:t xml:space="preserve"> </w:t>
      </w:r>
      <w:r w:rsidR="00814AB0">
        <w:t>d</w:t>
      </w:r>
      <w:r w:rsidRPr="00F365B0">
        <w:t xml:space="preserve">es mesures ou recours additionnels </w:t>
      </w:r>
      <w:r w:rsidR="00814AB0">
        <w:t>possibles</w:t>
      </w:r>
      <w:r w:rsidRPr="00F365B0">
        <w:t xml:space="preserve"> à la disposition de l</w:t>
      </w:r>
      <w:r w:rsidR="00E63E7F">
        <w:t>'</w:t>
      </w:r>
      <w:r w:rsidRPr="00F365B0">
        <w:t>Union</w:t>
      </w:r>
      <w:r w:rsidR="0046011B" w:rsidRPr="00F365B0">
        <w:t xml:space="preserve"> </w:t>
      </w:r>
      <w:r w:rsidRPr="00F365B0">
        <w:t>afin de faciliter leur résolution dans les meilleurs délais et d</w:t>
      </w:r>
      <w:r w:rsidR="00E63E7F">
        <w:t>'</w:t>
      </w:r>
      <w:r w:rsidRPr="00F365B0">
        <w:t>éliminer les infractions à la Constitution et au Règlement des radiocommunications,</w:t>
      </w:r>
    </w:p>
    <w:p w14:paraId="63E8DC44" w14:textId="4CA562D9" w:rsidR="00F255D6" w:rsidRPr="00F365B0" w:rsidRDefault="00F255D6" w:rsidP="00026B52">
      <w:pPr>
        <w:pStyle w:val="Call"/>
      </w:pPr>
      <w:r w:rsidRPr="00F365B0">
        <w:t xml:space="preserve">charge le Directeur du Bureau de développement des télécommunications, en coordination avec le </w:t>
      </w:r>
      <w:r w:rsidRPr="00026B52">
        <w:t>Directeur</w:t>
      </w:r>
      <w:r w:rsidRPr="00F365B0">
        <w:t xml:space="preserve"> du Bureau </w:t>
      </w:r>
      <w:r w:rsidR="005E4056">
        <w:t xml:space="preserve">des </w:t>
      </w:r>
      <w:r w:rsidRPr="00F365B0">
        <w:t>radiocommunications</w:t>
      </w:r>
    </w:p>
    <w:p w14:paraId="775713D6" w14:textId="742E23F5" w:rsidR="00F255D6" w:rsidRPr="00F365B0" w:rsidRDefault="00814AB0" w:rsidP="00F255D6">
      <w:pPr>
        <w:rPr>
          <w:i/>
        </w:rPr>
      </w:pPr>
      <w:r>
        <w:t>de fournir aux</w:t>
      </w:r>
      <w:r w:rsidR="00F255D6" w:rsidRPr="00F365B0">
        <w:t xml:space="preserve"> États Membres </w:t>
      </w:r>
      <w:r>
        <w:t xml:space="preserve">un appui afin de renforcer leurs capacités à </w:t>
      </w:r>
      <w:r w:rsidR="00F255D6" w:rsidRPr="00F365B0">
        <w:t xml:space="preserve">prévenir, détecter et résoudre les cas de brouillage en </w:t>
      </w:r>
      <w:r w:rsidR="00A578AB">
        <w:t xml:space="preserve">leur fournissant des </w:t>
      </w:r>
      <w:r>
        <w:t xml:space="preserve">compétences techniques </w:t>
      </w:r>
      <w:r w:rsidR="00A578AB">
        <w:t xml:space="preserve">et une </w:t>
      </w:r>
      <w:r w:rsidR="00A578AB" w:rsidRPr="00F365B0">
        <w:t>assistance</w:t>
      </w:r>
      <w:r w:rsidR="00A578AB">
        <w:t xml:space="preserve"> et </w:t>
      </w:r>
      <w:r w:rsidR="00F255D6" w:rsidRPr="00F365B0">
        <w:t xml:space="preserve">en </w:t>
      </w:r>
      <w:r w:rsidR="00A578AB">
        <w:t xml:space="preserve">leur </w:t>
      </w:r>
      <w:r w:rsidR="00F255D6" w:rsidRPr="00F365B0">
        <w:t>facilitant l</w:t>
      </w:r>
      <w:r w:rsidR="00E63E7F">
        <w:t>'</w:t>
      </w:r>
      <w:r w:rsidR="00F255D6" w:rsidRPr="00F365B0">
        <w:t>accès aux connaissances, à l</w:t>
      </w:r>
      <w:r w:rsidR="00E63E7F">
        <w:t>'</w:t>
      </w:r>
      <w:r w:rsidR="00F255D6" w:rsidRPr="00F365B0">
        <w:t>information et à l</w:t>
      </w:r>
      <w:r w:rsidR="00E63E7F">
        <w:t>'</w:t>
      </w:r>
      <w:r w:rsidR="00F255D6" w:rsidRPr="00F365B0">
        <w:t>échange de données d</w:t>
      </w:r>
      <w:r w:rsidR="00E63E7F">
        <w:t>'</w:t>
      </w:r>
      <w:r w:rsidR="00F255D6" w:rsidRPr="00F365B0">
        <w:t>expérience,</w:t>
      </w:r>
    </w:p>
    <w:p w14:paraId="62A0F19A" w14:textId="6F2702E5" w:rsidR="00F255D6" w:rsidRPr="00F365B0" w:rsidRDefault="00F255D6" w:rsidP="00026B52">
      <w:pPr>
        <w:pStyle w:val="Call"/>
      </w:pPr>
      <w:r w:rsidRPr="00F365B0">
        <w:t>invite les États Membres</w:t>
      </w:r>
    </w:p>
    <w:p w14:paraId="53617A55" w14:textId="4017332E" w:rsidR="00F255D6" w:rsidRPr="00F365B0" w:rsidRDefault="00F255D6" w:rsidP="00F255D6">
      <w:r w:rsidRPr="00F365B0">
        <w:t>1</w:t>
      </w:r>
      <w:r w:rsidRPr="00F365B0">
        <w:tab/>
        <w:t>à coopérer pleinement avec le Conseil de l</w:t>
      </w:r>
      <w:r w:rsidR="00E63E7F">
        <w:t>'</w:t>
      </w:r>
      <w:r w:rsidRPr="00F365B0">
        <w:t xml:space="preserve">UIT, le Bureau des radiocommunications et le Comité du Règlement des radiocommunications </w:t>
      </w:r>
      <w:r w:rsidR="00427494">
        <w:t>concernant les enquêtes relatives aux</w:t>
      </w:r>
      <w:r w:rsidRPr="00F365B0">
        <w:t xml:space="preserve"> cas de brouillage préjudiciable</w:t>
      </w:r>
      <w:r w:rsidR="00427494">
        <w:t xml:space="preserve"> et la résolution de ces cas</w:t>
      </w:r>
      <w:r w:rsidRPr="00F365B0">
        <w:t>;</w:t>
      </w:r>
    </w:p>
    <w:p w14:paraId="5D9F0377" w14:textId="77777777" w:rsidR="00F255D6" w:rsidRPr="00F365B0" w:rsidRDefault="00F255D6" w:rsidP="00F255D6">
      <w:r w:rsidRPr="00F365B0">
        <w:t>2</w:t>
      </w:r>
      <w:r w:rsidRPr="00F365B0">
        <w:tab/>
        <w:t>à prendre les mesures appropriées en vue d'éliminer les brouillages préjudiciables provenant des stations relevant de leur juridiction,</w:t>
      </w:r>
    </w:p>
    <w:p w14:paraId="3854DE59" w14:textId="77777777" w:rsidR="00F255D6" w:rsidRPr="00F365B0" w:rsidRDefault="00F255D6" w:rsidP="00CA3BDE">
      <w:pPr>
        <w:pStyle w:val="Call"/>
      </w:pPr>
      <w:r w:rsidRPr="00F365B0">
        <w:lastRenderedPageBreak/>
        <w:t xml:space="preserve">charge le Secrétaire </w:t>
      </w:r>
      <w:r w:rsidRPr="00CA3BDE">
        <w:t>général</w:t>
      </w:r>
    </w:p>
    <w:p w14:paraId="2AE2C850" w14:textId="282B735E" w:rsidR="00F255D6" w:rsidRPr="00F365B0" w:rsidRDefault="00F255D6" w:rsidP="00F255D6">
      <w:r w:rsidRPr="00F365B0">
        <w:t>1</w:t>
      </w:r>
      <w:r w:rsidRPr="00F365B0">
        <w:tab/>
        <w:t>d</w:t>
      </w:r>
      <w:r w:rsidR="00E63E7F">
        <w:t>'</w:t>
      </w:r>
      <w:r w:rsidRPr="00F365B0">
        <w:t>appuyer la réalisation d</w:t>
      </w:r>
      <w:r w:rsidR="00E63E7F">
        <w:t>'</w:t>
      </w:r>
      <w:r w:rsidRPr="00F365B0">
        <w:t>un examen détaillé de l</w:t>
      </w:r>
      <w:r w:rsidR="00E63E7F">
        <w:t>'</w:t>
      </w:r>
      <w:r w:rsidRPr="00F365B0">
        <w:t>efficacité des mesures existantes visant à résoudre les cas de brouillage préjudiciable;</w:t>
      </w:r>
    </w:p>
    <w:p w14:paraId="592B5F95" w14:textId="46375EA4" w:rsidR="00F255D6" w:rsidRPr="00F365B0" w:rsidRDefault="00F255D6" w:rsidP="00F255D6">
      <w:r w:rsidRPr="00F365B0">
        <w:t>2</w:t>
      </w:r>
      <w:r w:rsidRPr="00F365B0">
        <w:tab/>
        <w:t>de poursuivre la collaboration avec toutes les parties</w:t>
      </w:r>
      <w:r w:rsidR="008F16F1">
        <w:t xml:space="preserve"> </w:t>
      </w:r>
      <w:r w:rsidR="00427494">
        <w:t>concernées</w:t>
      </w:r>
      <w:r w:rsidRPr="00F365B0">
        <w:t>, y compris l</w:t>
      </w:r>
      <w:r w:rsidR="00E63E7F">
        <w:t>'</w:t>
      </w:r>
      <w:r w:rsidRPr="00F365B0">
        <w:t>OACI et l</w:t>
      </w:r>
      <w:r w:rsidR="00E63E7F">
        <w:t>'</w:t>
      </w:r>
      <w:r w:rsidRPr="00F365B0">
        <w:t>OMI.</w:t>
      </w:r>
    </w:p>
    <w:p w14:paraId="6FFEABA5" w14:textId="77777777" w:rsidR="00F255D6" w:rsidRPr="00F365B0" w:rsidRDefault="00F255D6" w:rsidP="00F255D6">
      <w:pPr>
        <w:pStyle w:val="Reasons"/>
      </w:pPr>
    </w:p>
    <w:p w14:paraId="180BD4F3" w14:textId="77777777" w:rsidR="00F255D6" w:rsidRPr="00F365B0" w:rsidRDefault="00F255D6" w:rsidP="00F255D6">
      <w:pPr>
        <w:jc w:val="center"/>
      </w:pPr>
      <w:r w:rsidRPr="00F365B0">
        <w:t>________________</w:t>
      </w:r>
    </w:p>
    <w:sectPr w:rsidR="00F255D6" w:rsidRPr="00F365B0" w:rsidSect="003A0B7D">
      <w:headerReference w:type="default" r:id="rId13"/>
      <w:footerReference w:type="first" r:id="rId14"/>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6B050" w14:textId="77777777" w:rsidR="00B95DEB" w:rsidRDefault="00B95DEB">
      <w:r>
        <w:separator/>
      </w:r>
    </w:p>
  </w:endnote>
  <w:endnote w:type="continuationSeparator" w:id="0">
    <w:p w14:paraId="78C03731" w14:textId="77777777" w:rsidR="00B95DEB" w:rsidRDefault="00B95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BF042"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7C67D" w14:textId="77777777" w:rsidR="00B95DEB" w:rsidRDefault="00B95DEB">
      <w:r>
        <w:t>____________________</w:t>
      </w:r>
    </w:p>
  </w:footnote>
  <w:footnote w:type="continuationSeparator" w:id="0">
    <w:p w14:paraId="24D53D14" w14:textId="77777777" w:rsidR="00B95DEB" w:rsidRDefault="00B95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7218E"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7D7F1102" w14:textId="77777777" w:rsidR="00BD1614" w:rsidRDefault="00BD1614" w:rsidP="001E2226">
    <w:pPr>
      <w:pStyle w:val="Header"/>
    </w:pPr>
    <w:r>
      <w:t>PP</w:t>
    </w:r>
    <w:r w:rsidR="002A7A1D">
      <w:t>2</w:t>
    </w:r>
    <w:r w:rsidR="008407A7">
      <w:t>6</w:t>
    </w:r>
    <w:r>
      <w:t>/90-</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FE80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C16C7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A7A11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A87C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21896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C454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9C8F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5EA5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9611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888CEC"/>
    <w:lvl w:ilvl="0">
      <w:start w:val="1"/>
      <w:numFmt w:val="bullet"/>
      <w:lvlText w:val=""/>
      <w:lvlJc w:val="left"/>
      <w:pPr>
        <w:tabs>
          <w:tab w:val="num" w:pos="360"/>
        </w:tabs>
        <w:ind w:left="360" w:hanging="360"/>
      </w:pPr>
      <w:rPr>
        <w:rFonts w:ascii="Symbol" w:hAnsi="Symbol" w:hint="default"/>
      </w:rPr>
    </w:lvl>
  </w:abstractNum>
  <w:num w:numId="1" w16cid:durableId="36636079">
    <w:abstractNumId w:val="9"/>
  </w:num>
  <w:num w:numId="2" w16cid:durableId="1509324696">
    <w:abstractNumId w:val="7"/>
  </w:num>
  <w:num w:numId="3" w16cid:durableId="851065908">
    <w:abstractNumId w:val="6"/>
  </w:num>
  <w:num w:numId="4" w16cid:durableId="584726550">
    <w:abstractNumId w:val="5"/>
  </w:num>
  <w:num w:numId="5" w16cid:durableId="599292288">
    <w:abstractNumId w:val="4"/>
  </w:num>
  <w:num w:numId="6" w16cid:durableId="673536260">
    <w:abstractNumId w:val="8"/>
  </w:num>
  <w:num w:numId="7" w16cid:durableId="1988507209">
    <w:abstractNumId w:val="3"/>
  </w:num>
  <w:num w:numId="8" w16cid:durableId="1136221625">
    <w:abstractNumId w:val="2"/>
  </w:num>
  <w:num w:numId="9" w16cid:durableId="1684169135">
    <w:abstractNumId w:val="1"/>
  </w:num>
  <w:num w:numId="10" w16cid:durableId="1361393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4C13"/>
    <w:rsid w:val="00026B52"/>
    <w:rsid w:val="000325E1"/>
    <w:rsid w:val="00060D74"/>
    <w:rsid w:val="00072D5C"/>
    <w:rsid w:val="0008398C"/>
    <w:rsid w:val="00084308"/>
    <w:rsid w:val="000B14B6"/>
    <w:rsid w:val="000C467B"/>
    <w:rsid w:val="000D15FB"/>
    <w:rsid w:val="000F58F7"/>
    <w:rsid w:val="001051E4"/>
    <w:rsid w:val="001133B6"/>
    <w:rsid w:val="0012772B"/>
    <w:rsid w:val="001354EA"/>
    <w:rsid w:val="00136FCE"/>
    <w:rsid w:val="00153BA4"/>
    <w:rsid w:val="001941AD"/>
    <w:rsid w:val="0019732C"/>
    <w:rsid w:val="001A0682"/>
    <w:rsid w:val="001A5E68"/>
    <w:rsid w:val="001B4D8D"/>
    <w:rsid w:val="001C3790"/>
    <w:rsid w:val="001D31B2"/>
    <w:rsid w:val="001D4BFD"/>
    <w:rsid w:val="001E1B9B"/>
    <w:rsid w:val="001E2226"/>
    <w:rsid w:val="001F0B24"/>
    <w:rsid w:val="001F6233"/>
    <w:rsid w:val="00214288"/>
    <w:rsid w:val="002355CD"/>
    <w:rsid w:val="00263C1C"/>
    <w:rsid w:val="00270B2F"/>
    <w:rsid w:val="002712F9"/>
    <w:rsid w:val="002A0E1B"/>
    <w:rsid w:val="002A7A1D"/>
    <w:rsid w:val="002C1059"/>
    <w:rsid w:val="002C2F9C"/>
    <w:rsid w:val="002D0C22"/>
    <w:rsid w:val="002E1AF7"/>
    <w:rsid w:val="0032128A"/>
    <w:rsid w:val="00322DEA"/>
    <w:rsid w:val="00355FBD"/>
    <w:rsid w:val="00357FCB"/>
    <w:rsid w:val="00371863"/>
    <w:rsid w:val="00381461"/>
    <w:rsid w:val="00391C12"/>
    <w:rsid w:val="003A0B7D"/>
    <w:rsid w:val="003A45C2"/>
    <w:rsid w:val="003B7A11"/>
    <w:rsid w:val="003C4BE2"/>
    <w:rsid w:val="003D147D"/>
    <w:rsid w:val="003D637A"/>
    <w:rsid w:val="00413CB9"/>
    <w:rsid w:val="00427494"/>
    <w:rsid w:val="00430015"/>
    <w:rsid w:val="004470B3"/>
    <w:rsid w:val="0046011B"/>
    <w:rsid w:val="004678D0"/>
    <w:rsid w:val="00482954"/>
    <w:rsid w:val="004951C0"/>
    <w:rsid w:val="004C7646"/>
    <w:rsid w:val="0051462E"/>
    <w:rsid w:val="00514AA2"/>
    <w:rsid w:val="00524001"/>
    <w:rsid w:val="00550524"/>
    <w:rsid w:val="00564B63"/>
    <w:rsid w:val="00575DC7"/>
    <w:rsid w:val="0058129C"/>
    <w:rsid w:val="005836C2"/>
    <w:rsid w:val="005A4EFD"/>
    <w:rsid w:val="005A5ABE"/>
    <w:rsid w:val="005B20C7"/>
    <w:rsid w:val="005C2ECC"/>
    <w:rsid w:val="005C6744"/>
    <w:rsid w:val="005E4056"/>
    <w:rsid w:val="005E419E"/>
    <w:rsid w:val="005F63BD"/>
    <w:rsid w:val="00611CF1"/>
    <w:rsid w:val="006201D9"/>
    <w:rsid w:val="006277DB"/>
    <w:rsid w:val="006326A5"/>
    <w:rsid w:val="00635B7B"/>
    <w:rsid w:val="00655B98"/>
    <w:rsid w:val="006710E6"/>
    <w:rsid w:val="00672B8E"/>
    <w:rsid w:val="00686973"/>
    <w:rsid w:val="00696B2D"/>
    <w:rsid w:val="006A2656"/>
    <w:rsid w:val="006A3475"/>
    <w:rsid w:val="006A6342"/>
    <w:rsid w:val="006B5036"/>
    <w:rsid w:val="006B6C9C"/>
    <w:rsid w:val="006C7AE3"/>
    <w:rsid w:val="006D55E8"/>
    <w:rsid w:val="006E1921"/>
    <w:rsid w:val="006E55D2"/>
    <w:rsid w:val="006F36F9"/>
    <w:rsid w:val="0070576B"/>
    <w:rsid w:val="00713335"/>
    <w:rsid w:val="00727C2F"/>
    <w:rsid w:val="00735F13"/>
    <w:rsid w:val="007575CC"/>
    <w:rsid w:val="007660D7"/>
    <w:rsid w:val="007717F2"/>
    <w:rsid w:val="00772E3B"/>
    <w:rsid w:val="00780430"/>
    <w:rsid w:val="0078134C"/>
    <w:rsid w:val="007A47E9"/>
    <w:rsid w:val="007A5830"/>
    <w:rsid w:val="007D21FB"/>
    <w:rsid w:val="00801256"/>
    <w:rsid w:val="00814AB0"/>
    <w:rsid w:val="00820F85"/>
    <w:rsid w:val="008264FC"/>
    <w:rsid w:val="00827943"/>
    <w:rsid w:val="008407A7"/>
    <w:rsid w:val="008527AF"/>
    <w:rsid w:val="008703CB"/>
    <w:rsid w:val="008B61AF"/>
    <w:rsid w:val="008C33C2"/>
    <w:rsid w:val="008C6137"/>
    <w:rsid w:val="008E2DB4"/>
    <w:rsid w:val="008F16F1"/>
    <w:rsid w:val="00901DD5"/>
    <w:rsid w:val="00901E77"/>
    <w:rsid w:val="0090735B"/>
    <w:rsid w:val="00912D5E"/>
    <w:rsid w:val="00934340"/>
    <w:rsid w:val="00956DC7"/>
    <w:rsid w:val="00966CD3"/>
    <w:rsid w:val="00987A20"/>
    <w:rsid w:val="00997AF7"/>
    <w:rsid w:val="009A0E15"/>
    <w:rsid w:val="009D4037"/>
    <w:rsid w:val="009F0592"/>
    <w:rsid w:val="009F7A4F"/>
    <w:rsid w:val="00A20E72"/>
    <w:rsid w:val="00A246DC"/>
    <w:rsid w:val="00A35BE9"/>
    <w:rsid w:val="00A44D7B"/>
    <w:rsid w:val="00A47B32"/>
    <w:rsid w:val="00A47BAF"/>
    <w:rsid w:val="00A542D3"/>
    <w:rsid w:val="00A5784F"/>
    <w:rsid w:val="00A578AB"/>
    <w:rsid w:val="00A83A43"/>
    <w:rsid w:val="00A8436E"/>
    <w:rsid w:val="00A95B66"/>
    <w:rsid w:val="00AA369A"/>
    <w:rsid w:val="00AB190D"/>
    <w:rsid w:val="00AE0667"/>
    <w:rsid w:val="00B41E0A"/>
    <w:rsid w:val="00B56DE0"/>
    <w:rsid w:val="00B71F12"/>
    <w:rsid w:val="00B76FEC"/>
    <w:rsid w:val="00B95DEB"/>
    <w:rsid w:val="00B96B1E"/>
    <w:rsid w:val="00BB2A6F"/>
    <w:rsid w:val="00BD1614"/>
    <w:rsid w:val="00BD382C"/>
    <w:rsid w:val="00BD5C12"/>
    <w:rsid w:val="00BD5DA6"/>
    <w:rsid w:val="00BF7D25"/>
    <w:rsid w:val="00C010C0"/>
    <w:rsid w:val="00C0405F"/>
    <w:rsid w:val="00C40CB5"/>
    <w:rsid w:val="00C501A7"/>
    <w:rsid w:val="00C54CE6"/>
    <w:rsid w:val="00C575E2"/>
    <w:rsid w:val="00C7368B"/>
    <w:rsid w:val="00C92746"/>
    <w:rsid w:val="00CA2498"/>
    <w:rsid w:val="00CA3BDE"/>
    <w:rsid w:val="00CC4DC5"/>
    <w:rsid w:val="00CE1A7C"/>
    <w:rsid w:val="00CE496F"/>
    <w:rsid w:val="00D02678"/>
    <w:rsid w:val="00D0464B"/>
    <w:rsid w:val="00D12C74"/>
    <w:rsid w:val="00D2263F"/>
    <w:rsid w:val="00D56483"/>
    <w:rsid w:val="00D5658F"/>
    <w:rsid w:val="00D56AD6"/>
    <w:rsid w:val="00D70019"/>
    <w:rsid w:val="00D74B58"/>
    <w:rsid w:val="00D82ABE"/>
    <w:rsid w:val="00DA3BDE"/>
    <w:rsid w:val="00DA4ABA"/>
    <w:rsid w:val="00DA685B"/>
    <w:rsid w:val="00DA742B"/>
    <w:rsid w:val="00DB7CBB"/>
    <w:rsid w:val="00DF25C1"/>
    <w:rsid w:val="00DF48F7"/>
    <w:rsid w:val="00DF4964"/>
    <w:rsid w:val="00DF4D73"/>
    <w:rsid w:val="00DF79B0"/>
    <w:rsid w:val="00E1047D"/>
    <w:rsid w:val="00E10910"/>
    <w:rsid w:val="00E4050B"/>
    <w:rsid w:val="00E443FA"/>
    <w:rsid w:val="00E533DD"/>
    <w:rsid w:val="00E54FCE"/>
    <w:rsid w:val="00E60DA1"/>
    <w:rsid w:val="00E63E7F"/>
    <w:rsid w:val="00E921A2"/>
    <w:rsid w:val="00E93D35"/>
    <w:rsid w:val="00EA45DB"/>
    <w:rsid w:val="00EC1877"/>
    <w:rsid w:val="00ED229F"/>
    <w:rsid w:val="00ED2CD9"/>
    <w:rsid w:val="00F07DA7"/>
    <w:rsid w:val="00F255D6"/>
    <w:rsid w:val="00F26026"/>
    <w:rsid w:val="00F3254F"/>
    <w:rsid w:val="00F365B0"/>
    <w:rsid w:val="00F564C1"/>
    <w:rsid w:val="00F77FA2"/>
    <w:rsid w:val="00F8357A"/>
    <w:rsid w:val="00FA1B77"/>
    <w:rsid w:val="00FB4B65"/>
    <w:rsid w:val="00FB74B8"/>
    <w:rsid w:val="00FC49E0"/>
    <w:rsid w:val="00FD7FB7"/>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D649A5"/>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character" w:styleId="CommentReference">
    <w:name w:val="annotation reference"/>
    <w:basedOn w:val="DefaultParagraphFont"/>
    <w:semiHidden/>
    <w:unhideWhenUsed/>
    <w:rsid w:val="00F255D6"/>
    <w:rPr>
      <w:sz w:val="16"/>
      <w:szCs w:val="16"/>
    </w:rPr>
  </w:style>
  <w:style w:type="paragraph" w:styleId="Revision">
    <w:name w:val="Revision"/>
    <w:hidden/>
    <w:uiPriority w:val="99"/>
    <w:semiHidden/>
    <w:rsid w:val="00E10910"/>
    <w:rPr>
      <w:rFonts w:ascii="Calibri" w:hAnsi="Calibri"/>
      <w:sz w:val="24"/>
      <w:lang w:val="fr-FR" w:eastAsia="en-US"/>
    </w:rPr>
  </w:style>
  <w:style w:type="paragraph" w:styleId="CommentText">
    <w:name w:val="annotation text"/>
    <w:basedOn w:val="Normal"/>
    <w:link w:val="CommentTextChar"/>
    <w:unhideWhenUsed/>
    <w:rsid w:val="00427494"/>
    <w:rPr>
      <w:sz w:val="20"/>
    </w:rPr>
  </w:style>
  <w:style w:type="character" w:customStyle="1" w:styleId="CommentTextChar">
    <w:name w:val="Comment Text Char"/>
    <w:basedOn w:val="DefaultParagraphFont"/>
    <w:link w:val="CommentText"/>
    <w:rsid w:val="00427494"/>
    <w:rPr>
      <w:rFonts w:ascii="Calibri" w:hAnsi="Calibri"/>
      <w:lang w:val="fr-FR" w:eastAsia="en-US"/>
    </w:rPr>
  </w:style>
  <w:style w:type="paragraph" w:styleId="CommentSubject">
    <w:name w:val="annotation subject"/>
    <w:basedOn w:val="CommentText"/>
    <w:next w:val="CommentText"/>
    <w:link w:val="CommentSubjectChar"/>
    <w:semiHidden/>
    <w:unhideWhenUsed/>
    <w:rsid w:val="00427494"/>
    <w:rPr>
      <w:b/>
      <w:bCs/>
    </w:rPr>
  </w:style>
  <w:style w:type="character" w:customStyle="1" w:styleId="CommentSubjectChar">
    <w:name w:val="Comment Subject Char"/>
    <w:basedOn w:val="CommentTextChar"/>
    <w:link w:val="CommentSubject"/>
    <w:semiHidden/>
    <w:rsid w:val="00427494"/>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8356ede1-a879-4635-a903-5c7ef726b086">DPM</DPM_x0020_Author>
    <DPM_x0020_File_x0020_name xmlns="8356ede1-a879-4635-a903-5c7ef726b086">S26-PP-C-0090!!MSW-F</DPM_x0020_File_x0020_name>
    <DPM_x0020_Version xmlns="8356ede1-a879-4635-a903-5c7ef726b086">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356ede1-a879-4635-a903-5c7ef726b086" targetNamespace="http://schemas.microsoft.com/office/2006/metadata/properties" ma:root="true" ma:fieldsID="d41af5c836d734370eb92e7ee5f83852" ns2:_="" ns3:_="">
    <xsd:import namespace="996b2e75-67fd-4955-a3b0-5ab9934cb50b"/>
    <xsd:import namespace="8356ede1-a879-4635-a903-5c7ef726b08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356ede1-a879-4635-a903-5c7ef726b08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356ede1-a879-4635-a903-5c7ef726b086"/>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356ede1-a879-4635-a903-5c7ef726b0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856</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S26-PP-C-0090!!MSW-F</vt:lpstr>
    </vt:vector>
  </TitlesOfParts>
  <Manager/>
  <Company/>
  <LinksUpToDate>false</LinksUpToDate>
  <CharactersWithSpaces>6595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S26-PP-C-0090!!MSW-F</dc:title>
  <dc:subject>ITU Plenipotentiary Conference (PP-26)</dc:subject>
  <dc:creator>Documents Proposals Manager (DPM)</dc:creator>
  <cp:keywords>DPM_v2026.8.25.1_prod</cp:keywords>
  <dc:description/>
  <cp:lastModifiedBy>Froehly, Mathilde</cp:lastModifiedBy>
  <cp:revision>10</cp:revision>
  <dcterms:created xsi:type="dcterms:W3CDTF">2026-10-26T11:21:00Z</dcterms:created>
  <dcterms:modified xsi:type="dcterms:W3CDTF">2026-10-26T13:28:00Z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