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B9888CF" w14:textId="77777777" w:rsidTr="00C70164">
        <w:trPr>
          <w:cantSplit/>
          <w:jc w:val="center"/>
        </w:trPr>
        <w:tc>
          <w:tcPr>
            <w:tcW w:w="10031" w:type="dxa"/>
            <w:gridSpan w:val="2"/>
            <w:tcMar>
              <w:left w:w="0" w:type="dxa"/>
              <w:right w:w="0" w:type="dxa"/>
            </w:tcMar>
            <w:vAlign w:val="center"/>
          </w:tcPr>
          <w:p w14:paraId="73908DB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8633829" wp14:editId="716E704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79D11D9" w14:textId="77777777" w:rsidTr="00C70164">
        <w:trPr>
          <w:cantSplit/>
          <w:trHeight w:val="283"/>
          <w:jc w:val="center"/>
        </w:trPr>
        <w:tc>
          <w:tcPr>
            <w:tcW w:w="10031" w:type="dxa"/>
            <w:gridSpan w:val="2"/>
            <w:tcBorders>
              <w:bottom w:val="single" w:sz="12" w:space="0" w:color="71716F"/>
            </w:tcBorders>
          </w:tcPr>
          <w:p w14:paraId="75C5280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41C0919" w14:textId="77777777" w:rsidTr="00C70164">
        <w:trPr>
          <w:cantSplit/>
          <w:trHeight w:val="255"/>
          <w:jc w:val="center"/>
        </w:trPr>
        <w:tc>
          <w:tcPr>
            <w:tcW w:w="7230" w:type="dxa"/>
            <w:tcBorders>
              <w:top w:val="single" w:sz="12" w:space="0" w:color="71716F"/>
            </w:tcBorders>
          </w:tcPr>
          <w:p w14:paraId="4FC276F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25BBAD9" w14:textId="77777777" w:rsidR="001A16ED" w:rsidRPr="00D96B4B" w:rsidRDefault="001A16ED" w:rsidP="000B596F">
            <w:pPr>
              <w:spacing w:before="0"/>
              <w:rPr>
                <w:rFonts w:cstheme="minorHAnsi"/>
                <w:sz w:val="20"/>
              </w:rPr>
            </w:pPr>
          </w:p>
        </w:tc>
      </w:tr>
      <w:tr w:rsidR="001A16ED" w:rsidRPr="00C324A8" w14:paraId="0DF7DAF5" w14:textId="77777777" w:rsidTr="00C70164">
        <w:trPr>
          <w:cantSplit/>
          <w:trHeight w:val="23"/>
          <w:jc w:val="center"/>
        </w:trPr>
        <w:tc>
          <w:tcPr>
            <w:tcW w:w="7230" w:type="dxa"/>
          </w:tcPr>
          <w:p w14:paraId="0295DE1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A753826"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87</w:t>
            </w:r>
            <w:r w:rsidR="00F44B1A" w:rsidRPr="00F44B1A">
              <w:rPr>
                <w:rFonts w:cstheme="minorHAnsi"/>
                <w:b/>
                <w:szCs w:val="24"/>
              </w:rPr>
              <w:t>-E</w:t>
            </w:r>
          </w:p>
        </w:tc>
      </w:tr>
      <w:tr w:rsidR="001A16ED" w:rsidRPr="00C324A8" w14:paraId="62B93ABC" w14:textId="77777777" w:rsidTr="00C70164">
        <w:trPr>
          <w:cantSplit/>
          <w:trHeight w:val="23"/>
          <w:jc w:val="center"/>
        </w:trPr>
        <w:tc>
          <w:tcPr>
            <w:tcW w:w="7230" w:type="dxa"/>
          </w:tcPr>
          <w:p w14:paraId="7897A89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D2C9767" w14:textId="77777777" w:rsidR="001A16ED" w:rsidRPr="00D96B4B" w:rsidRDefault="001A16ED" w:rsidP="000B596F">
            <w:pPr>
              <w:spacing w:before="0"/>
              <w:rPr>
                <w:rFonts w:cstheme="minorHAnsi"/>
                <w:szCs w:val="24"/>
              </w:rPr>
            </w:pPr>
            <w:r w:rsidRPr="00D96B4B">
              <w:rPr>
                <w:rFonts w:cstheme="minorHAnsi"/>
                <w:b/>
                <w:szCs w:val="24"/>
              </w:rPr>
              <w:t>29 October 2026</w:t>
            </w:r>
          </w:p>
        </w:tc>
      </w:tr>
      <w:tr w:rsidR="001A16ED" w:rsidRPr="00C324A8" w14:paraId="2E38E7C3" w14:textId="77777777" w:rsidTr="00C70164">
        <w:trPr>
          <w:cantSplit/>
          <w:trHeight w:val="23"/>
          <w:jc w:val="center"/>
        </w:trPr>
        <w:tc>
          <w:tcPr>
            <w:tcW w:w="7230" w:type="dxa"/>
          </w:tcPr>
          <w:p w14:paraId="770F22E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ABBB5C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B431130" w14:textId="77777777" w:rsidTr="00C70164">
        <w:trPr>
          <w:cantSplit/>
          <w:trHeight w:val="23"/>
          <w:jc w:val="center"/>
        </w:trPr>
        <w:tc>
          <w:tcPr>
            <w:tcW w:w="10031" w:type="dxa"/>
            <w:gridSpan w:val="2"/>
          </w:tcPr>
          <w:p w14:paraId="581FE939" w14:textId="77777777" w:rsidR="001A16ED" w:rsidRPr="00D96B4B" w:rsidRDefault="001A16ED" w:rsidP="000B596F">
            <w:pPr>
              <w:tabs>
                <w:tab w:val="left" w:pos="993"/>
              </w:tabs>
              <w:rPr>
                <w:rFonts w:ascii="Verdana" w:hAnsi="Verdana"/>
                <w:b/>
                <w:szCs w:val="24"/>
              </w:rPr>
            </w:pPr>
          </w:p>
        </w:tc>
      </w:tr>
      <w:tr w:rsidR="001A16ED" w:rsidRPr="00C324A8" w14:paraId="470598A5" w14:textId="77777777" w:rsidTr="00C70164">
        <w:trPr>
          <w:cantSplit/>
          <w:trHeight w:val="23"/>
          <w:jc w:val="center"/>
        </w:trPr>
        <w:tc>
          <w:tcPr>
            <w:tcW w:w="10031" w:type="dxa"/>
            <w:gridSpan w:val="2"/>
          </w:tcPr>
          <w:p w14:paraId="36F74457" w14:textId="77777777" w:rsidR="001A16ED" w:rsidRDefault="001A16ED" w:rsidP="000B596F">
            <w:pPr>
              <w:pStyle w:val="Source"/>
            </w:pPr>
            <w:r>
              <w:t>China (People's Republic of)</w:t>
            </w:r>
          </w:p>
        </w:tc>
      </w:tr>
      <w:tr w:rsidR="001A16ED" w:rsidRPr="00C324A8" w14:paraId="567C3DA2" w14:textId="77777777" w:rsidTr="00C70164">
        <w:trPr>
          <w:cantSplit/>
          <w:trHeight w:val="23"/>
          <w:jc w:val="center"/>
        </w:trPr>
        <w:tc>
          <w:tcPr>
            <w:tcW w:w="10031" w:type="dxa"/>
            <w:gridSpan w:val="2"/>
          </w:tcPr>
          <w:p w14:paraId="3CBDC004" w14:textId="77777777" w:rsidR="001A16ED" w:rsidRDefault="001A16ED" w:rsidP="000B596F">
            <w:pPr>
              <w:pStyle w:val="Title1"/>
            </w:pPr>
            <w:r>
              <w:t>Proposals for the work of the Conference</w:t>
            </w:r>
          </w:p>
        </w:tc>
      </w:tr>
      <w:tr w:rsidR="001A16ED" w:rsidRPr="00C324A8" w14:paraId="1D2146AD" w14:textId="77777777" w:rsidTr="00C70164">
        <w:trPr>
          <w:cantSplit/>
          <w:trHeight w:val="23"/>
          <w:jc w:val="center"/>
        </w:trPr>
        <w:tc>
          <w:tcPr>
            <w:tcW w:w="10031" w:type="dxa"/>
            <w:gridSpan w:val="2"/>
          </w:tcPr>
          <w:p w14:paraId="77554411" w14:textId="77777777" w:rsidR="001A16ED" w:rsidRDefault="001A16ED" w:rsidP="000B596F">
            <w:pPr>
              <w:pStyle w:val="Title2"/>
            </w:pPr>
            <w:r>
              <w:t>Proposed new Resolution: Satellite identity broadcasting to enhance the transparency of in-orbit operations and the safety of space activities</w:t>
            </w:r>
          </w:p>
        </w:tc>
      </w:tr>
      <w:tr w:rsidR="001A16ED" w:rsidRPr="00C324A8" w14:paraId="5DF454B8" w14:textId="77777777" w:rsidTr="00C70164">
        <w:trPr>
          <w:cantSplit/>
          <w:trHeight w:val="23"/>
          <w:jc w:val="center"/>
        </w:trPr>
        <w:tc>
          <w:tcPr>
            <w:tcW w:w="10031" w:type="dxa"/>
            <w:gridSpan w:val="2"/>
          </w:tcPr>
          <w:p w14:paraId="20A11020" w14:textId="77777777" w:rsidR="001A16ED" w:rsidRDefault="001A16ED" w:rsidP="000B596F">
            <w:pPr>
              <w:pStyle w:val="Agendaitem"/>
            </w:pPr>
          </w:p>
        </w:tc>
      </w:tr>
      <w:bookmarkEnd w:id="6"/>
      <w:bookmarkEnd w:id="7"/>
    </w:tbl>
    <w:p w14:paraId="0163006C" w14:textId="77777777" w:rsidR="001A16ED" w:rsidRDefault="001A16ED" w:rsidP="00AB2D04"/>
    <w:p w14:paraId="4E13E016" w14:textId="77777777" w:rsidR="0008540E" w:rsidRPr="0008540E" w:rsidRDefault="001A16ED" w:rsidP="00004F8B">
      <w:r>
        <w:br w:type="page"/>
      </w:r>
    </w:p>
    <w:p w14:paraId="6B889650" w14:textId="77777777" w:rsidR="00DF6D50" w:rsidRDefault="00000000">
      <w:pPr>
        <w:pStyle w:val="Proposal"/>
      </w:pPr>
      <w:r>
        <w:lastRenderedPageBreak/>
        <w:t>ADD</w:t>
      </w:r>
      <w:r>
        <w:tab/>
        <w:t>CHN/87A1/1</w:t>
      </w:r>
    </w:p>
    <w:p w14:paraId="71FB7D0F" w14:textId="77777777" w:rsidR="00DF6D50" w:rsidRDefault="00000000">
      <w:pPr>
        <w:pStyle w:val="ResNo"/>
      </w:pPr>
      <w:r>
        <w:t>Draft New Resolution [CHN-1]</w:t>
      </w:r>
    </w:p>
    <w:p w14:paraId="20A25697" w14:textId="5A6AA450" w:rsidR="00DF6D50" w:rsidRDefault="0056300C" w:rsidP="0056300C">
      <w:pPr>
        <w:pStyle w:val="Annextitle"/>
      </w:pPr>
      <w:r w:rsidRPr="0056300C">
        <w:t>Satellite identity broadcasting to enhance the transparency of in-orbit operations and the safety of space activities</w:t>
      </w:r>
    </w:p>
    <w:p w14:paraId="6BAEE080" w14:textId="77777777" w:rsidR="0056300C" w:rsidRDefault="0056300C" w:rsidP="0056300C">
      <w:pPr>
        <w:pStyle w:val="Normalaftertitle"/>
      </w:pPr>
      <w:r>
        <w:t>The Plenipotentiary Conference of the International Telecommunication Union (Doha, 2026),</w:t>
      </w:r>
    </w:p>
    <w:p w14:paraId="2EE76E1C" w14:textId="77777777" w:rsidR="0056300C" w:rsidRDefault="0056300C" w:rsidP="0056300C">
      <w:pPr>
        <w:pStyle w:val="Call"/>
      </w:pPr>
      <w:r>
        <w:t>recalling</w:t>
      </w:r>
    </w:p>
    <w:p w14:paraId="7F77F951" w14:textId="77777777" w:rsidR="0056300C" w:rsidRDefault="0056300C" w:rsidP="0056300C">
      <w:r w:rsidRPr="0056300C">
        <w:rPr>
          <w:i/>
          <w:iCs/>
        </w:rPr>
        <w:t>a)</w:t>
      </w:r>
      <w:r>
        <w:tab/>
        <w:t>Article 1 of the ITU Constitution (Purposes of the Union), in particular Nos 11 and 12, which provide for the allocation of bands of the radio-frequency spectrum, the allotment of radio frequencies and the registration of radio-frequency assignments and, for space services, of any associated orbital position in the geostationary-satellite orbit or of any associated characteristics of satellites in other orbits, in order to avoid harmful interference between radio stations of different countries, and for coordinating efforts to eliminate such harmful interference and to improve the use made of the radio-frequency spectrum and of the satellite orbits;</w:t>
      </w:r>
    </w:p>
    <w:p w14:paraId="38A48DC4" w14:textId="2B4DDBD7" w:rsidR="0056300C" w:rsidRDefault="0056300C" w:rsidP="0056300C">
      <w:r w:rsidRPr="0056300C">
        <w:rPr>
          <w:i/>
          <w:iCs/>
        </w:rPr>
        <w:t>b)</w:t>
      </w:r>
      <w:r>
        <w:tab/>
        <w:t>Article 44 of the Constitution, in particular Nos 195 and 196, which provide that Member States shall endeavour to limit the number of frequencies and the spectrum used to the minimum essential, and shall bear in mind that radio frequencies and any associated orbits are limited natural resources to be used rationally, efficiently and economically, so that countries or groups of countries may have equitable access to those orbits and frequencies;</w:t>
      </w:r>
    </w:p>
    <w:p w14:paraId="1BDF5D11" w14:textId="64F7A224" w:rsidR="0056300C" w:rsidRDefault="0056300C" w:rsidP="0056300C">
      <w:r w:rsidRPr="0056300C">
        <w:rPr>
          <w:i/>
          <w:iCs/>
        </w:rPr>
        <w:t>c)</w:t>
      </w:r>
      <w:r>
        <w:tab/>
        <w:t>Article 45 of the Constitution, which provides that all stations, whatever their purpose, must be established and operated in such a manner as not to cause harmful interference to the radio services or communications of other Member States or of recognized operating agencies;</w:t>
      </w:r>
    </w:p>
    <w:p w14:paraId="630205E1" w14:textId="0B143385" w:rsidR="0056300C" w:rsidRDefault="0056300C" w:rsidP="0056300C">
      <w:r w:rsidRPr="0056300C">
        <w:rPr>
          <w:i/>
          <w:iCs/>
        </w:rPr>
        <w:t>d)</w:t>
      </w:r>
      <w:r>
        <w:tab/>
        <w:t>Article 47 of the Constitution, which provides that Member States shall take the steps required to prevent the transmission or circulation of false or deceptive distress, urgency, safety or identification signals and shall collaborate in locating and identifying stations under their jurisdiction transmitting such signals;</w:t>
      </w:r>
    </w:p>
    <w:p w14:paraId="5FA86520" w14:textId="77777777" w:rsidR="0056300C" w:rsidRDefault="0056300C" w:rsidP="0056300C">
      <w:r w:rsidRPr="0056300C">
        <w:rPr>
          <w:i/>
          <w:iCs/>
        </w:rPr>
        <w:t>e)</w:t>
      </w:r>
      <w:r>
        <w:tab/>
        <w:t>Article 19 of the Radio Regulations (Identification of stations), in particular Nos 19.1, 19.2 and 19.26, which provide that all transmissions shall be capable of being identified either by identification signals or by other means, that transmissions with false or misleading identification are prohibited, and that administrations shall ensure that transmissions not carrying identification signals can be identified by other means when they are capable of causing harmful interference;</w:t>
      </w:r>
    </w:p>
    <w:p w14:paraId="5A3C550A" w14:textId="77777777" w:rsidR="0056300C" w:rsidRDefault="0056300C" w:rsidP="0056300C">
      <w:r w:rsidRPr="0056300C">
        <w:rPr>
          <w:i/>
          <w:iCs/>
        </w:rPr>
        <w:t>f)</w:t>
      </w:r>
      <w:r>
        <w:tab/>
        <w:t>Resolution 186 (Rev. Bucharest, 2022), on strengthening the role of ITU with regard to transparency and confidence-building measures in outer space activities;</w:t>
      </w:r>
    </w:p>
    <w:p w14:paraId="5797475C" w14:textId="77777777" w:rsidR="0056300C" w:rsidRDefault="0056300C" w:rsidP="0056300C">
      <w:r w:rsidRPr="0056300C">
        <w:rPr>
          <w:i/>
          <w:iCs/>
        </w:rPr>
        <w:t>g)</w:t>
      </w:r>
      <w:r>
        <w:tab/>
        <w:t>Resolution 218 (Bucharest, 2022), on ITU's role in the implementation of the “Space2030” Agenda: space as a driver of sustainable development, and its follow-up and review process;</w:t>
      </w:r>
    </w:p>
    <w:p w14:paraId="61996F62" w14:textId="77777777" w:rsidR="0056300C" w:rsidRDefault="0056300C" w:rsidP="0056300C">
      <w:r w:rsidRPr="0056300C">
        <w:rPr>
          <w:i/>
          <w:iCs/>
        </w:rPr>
        <w:t>h)</w:t>
      </w:r>
      <w:r>
        <w:tab/>
        <w:t>Resolution 219 (Bucharest, 2022), on the sustainability of the radio-frequency spectrum and associated satellite-orbit resources used by space services;</w:t>
      </w:r>
    </w:p>
    <w:p w14:paraId="5652F012" w14:textId="77777777" w:rsidR="0056300C" w:rsidRDefault="0056300C" w:rsidP="0056300C">
      <w:r w:rsidRPr="0056300C">
        <w:rPr>
          <w:i/>
          <w:iCs/>
        </w:rPr>
        <w:t>i)</w:t>
      </w:r>
      <w:r>
        <w:tab/>
        <w:t xml:space="preserve">Resolution 8 (WRC-23), on tolerances for certain orbital characteristics of space stations in non-geostationary-satellite orbit systems, which instructs the Radiocommunication Bureau to </w:t>
      </w:r>
      <w:r>
        <w:lastRenderedPageBreak/>
        <w:t>develop tools, including a naming convention, to help with the implementation of that Resolution (on the basis of which the Bureau has established the unique ITU satellite identifier, itu_sat_id),</w:t>
      </w:r>
    </w:p>
    <w:p w14:paraId="46D0CAD7" w14:textId="77777777" w:rsidR="0056300C" w:rsidRDefault="0056300C" w:rsidP="0056300C">
      <w:pPr>
        <w:pStyle w:val="Call"/>
      </w:pPr>
      <w:r>
        <w:t>recognizing</w:t>
      </w:r>
    </w:p>
    <w:p w14:paraId="53026DF3" w14:textId="77777777" w:rsidR="0056300C" w:rsidRDefault="0056300C" w:rsidP="0056300C">
      <w:r w:rsidRPr="0056300C">
        <w:rPr>
          <w:i/>
          <w:iCs/>
        </w:rPr>
        <w:t>a)</w:t>
      </w:r>
      <w:r>
        <w:tab/>
        <w:t>that space situational awareness systems are able to detect the presence of a satellite in orbit, but do not by themselves establish to which satellite network filing that satellite belongs;</w:t>
      </w:r>
    </w:p>
    <w:p w14:paraId="1F40E6EF" w14:textId="77777777" w:rsidR="0056300C" w:rsidRDefault="0056300C" w:rsidP="0056300C">
      <w:r w:rsidRPr="0056300C">
        <w:rPr>
          <w:i/>
          <w:iCs/>
        </w:rPr>
        <w:t>b)</w:t>
      </w:r>
      <w:r>
        <w:tab/>
        <w:t>that the transmission signals of a satellite in orbit do not, at present, enable that satellite to be identified as belonging to a particular satellite network filing;</w:t>
      </w:r>
    </w:p>
    <w:p w14:paraId="17E828A2" w14:textId="77777777" w:rsidR="0056300C" w:rsidRDefault="0056300C" w:rsidP="0056300C">
      <w:r w:rsidRPr="0056300C">
        <w:rPr>
          <w:i/>
          <w:iCs/>
        </w:rPr>
        <w:t>c)</w:t>
      </w:r>
      <w:r>
        <w:tab/>
        <w:t>that the effective management of the radio frequencies and associated orbits used by space services requires that the use actually made of those resources in orbit can be known,</w:t>
      </w:r>
    </w:p>
    <w:p w14:paraId="406B7F1B" w14:textId="77777777" w:rsidR="0056300C" w:rsidRDefault="0056300C" w:rsidP="0056300C">
      <w:pPr>
        <w:pStyle w:val="Call"/>
      </w:pPr>
      <w:r>
        <w:t>considering</w:t>
      </w:r>
    </w:p>
    <w:p w14:paraId="76F807BF" w14:textId="77777777" w:rsidR="0056300C" w:rsidRDefault="0056300C" w:rsidP="0056300C">
      <w:r w:rsidRPr="0056300C">
        <w:rPr>
          <w:i/>
          <w:iCs/>
        </w:rPr>
        <w:t>a)</w:t>
      </w:r>
      <w:r>
        <w:tab/>
        <w:t>the continuing growth in the number of satellites and space objects in non-geostationary-satellite orbits, and the resulting congestion of the associated frequency and orbit resources;</w:t>
      </w:r>
    </w:p>
    <w:p w14:paraId="244E1B88" w14:textId="77777777" w:rsidR="0056300C" w:rsidRDefault="0056300C" w:rsidP="0056300C">
      <w:r w:rsidRPr="0056300C">
        <w:rPr>
          <w:i/>
          <w:iCs/>
        </w:rPr>
        <w:t>b)</w:t>
      </w:r>
      <w:r>
        <w:tab/>
        <w:t>that the identification of a satellite in orbit is a prerequisite for the attribution of responsibility in the event of a collision or of harmful interference, and for the orderly handling of such cases between administrations and between operators;</w:t>
      </w:r>
    </w:p>
    <w:p w14:paraId="6382EEAB" w14:textId="77777777" w:rsidR="0056300C" w:rsidRDefault="0056300C" w:rsidP="0056300C">
      <w:r w:rsidRPr="0056300C">
        <w:rPr>
          <w:i/>
          <w:iCs/>
        </w:rPr>
        <w:t>c)</w:t>
      </w:r>
      <w:r>
        <w:tab/>
        <w:t>that a signal broadcast by a satellite about its own identity would be received independently of any frequency coordination relationship, and would therefore be available to any administration or operator having the corresponding receiving capability;</w:t>
      </w:r>
    </w:p>
    <w:p w14:paraId="310B1427" w14:textId="77777777" w:rsidR="0056300C" w:rsidRDefault="0056300C" w:rsidP="0056300C">
      <w:r w:rsidRPr="0056300C">
        <w:rPr>
          <w:i/>
          <w:iCs/>
        </w:rPr>
        <w:t>d)</w:t>
      </w:r>
      <w:r>
        <w:tab/>
        <w:t>that such a broadcast should be without prejudice to the rights and priority of any satellite network filing, and should not alter the status of any frequency assignment in the Master International Frequency Register,</w:t>
      </w:r>
    </w:p>
    <w:p w14:paraId="1110E394" w14:textId="77777777" w:rsidR="0056300C" w:rsidRDefault="0056300C" w:rsidP="0056300C">
      <w:pPr>
        <w:pStyle w:val="Call"/>
      </w:pPr>
      <w:r>
        <w:t>noting</w:t>
      </w:r>
    </w:p>
    <w:p w14:paraId="4FF75C36" w14:textId="77777777" w:rsidR="0056300C" w:rsidRDefault="0056300C" w:rsidP="0056300C">
      <w:r w:rsidRPr="0056300C">
        <w:rPr>
          <w:i/>
          <w:iCs/>
        </w:rPr>
        <w:t>a)</w:t>
      </w:r>
      <w:r>
        <w:tab/>
        <w:t>that the principle that a station should broadcast its own identity has been applied for many years in aviation and maritime radio services, and that the experience thereby gained is of relevance to the use of analogous arrangements by satellites;</w:t>
      </w:r>
    </w:p>
    <w:p w14:paraId="5F996D57" w14:textId="77777777" w:rsidR="0056300C" w:rsidRDefault="0056300C" w:rsidP="0056300C">
      <w:r w:rsidRPr="0056300C">
        <w:rPr>
          <w:i/>
          <w:iCs/>
        </w:rPr>
        <w:t>b)</w:t>
      </w:r>
      <w:r>
        <w:tab/>
        <w:t>that the registration of space objects, and related transparency measures, are also the subject of the work of the United Nations Committee on the Peaceful Uses of Outer Space and of the United Nations Office for Outer Space Affairs, and that the work referred to in this Resolution should be complementary to, and not duplicate, that work,</w:t>
      </w:r>
    </w:p>
    <w:p w14:paraId="1C0487C3" w14:textId="77777777" w:rsidR="0056300C" w:rsidRDefault="0056300C" w:rsidP="0056300C">
      <w:pPr>
        <w:pStyle w:val="Call"/>
      </w:pPr>
      <w:r>
        <w:t>resolves</w:t>
      </w:r>
    </w:p>
    <w:p w14:paraId="74D8FF8E" w14:textId="2743241D" w:rsidR="0056300C" w:rsidRDefault="0056300C" w:rsidP="0056300C">
      <w:r>
        <w:t>1</w:t>
      </w:r>
      <w:r>
        <w:tab/>
        <w:t xml:space="preserve">it is proposed to encourage and recommend the inclusion of satellite identity broadcasting in the agenda of the 2031 </w:t>
      </w:r>
      <w:r w:rsidR="00B71A6B">
        <w:t xml:space="preserve">world radiocommunication conference </w:t>
      </w:r>
      <w:r>
        <w:t>by the Plenipotentiary Conference;</w:t>
      </w:r>
    </w:p>
    <w:p w14:paraId="43D0E1DF" w14:textId="77777777" w:rsidR="0056300C" w:rsidRDefault="0056300C" w:rsidP="0056300C">
      <w:r>
        <w:t>2</w:t>
      </w:r>
      <w:r>
        <w:tab/>
        <w:t xml:space="preserve">that, as an urgent part of the preparation for the consideration of that item, the studies referred to in </w:t>
      </w:r>
      <w:r w:rsidRPr="00B71A6B">
        <w:rPr>
          <w:i/>
          <w:iCs/>
        </w:rPr>
        <w:t>resolves</w:t>
      </w:r>
      <w:r>
        <w:t xml:space="preserve"> 3 below be carried out within the ITU Radiocommunication Sector;</w:t>
      </w:r>
    </w:p>
    <w:p w14:paraId="3F760872" w14:textId="77777777" w:rsidR="0056300C" w:rsidRDefault="0056300C" w:rsidP="0056300C">
      <w:r>
        <w:t>3</w:t>
      </w:r>
      <w:r>
        <w:tab/>
        <w:t>that those studies address:</w:t>
      </w:r>
    </w:p>
    <w:p w14:paraId="2E2ECE7D" w14:textId="05912726" w:rsidR="0056300C" w:rsidRDefault="0056300C" w:rsidP="0056300C">
      <w:pPr>
        <w:pStyle w:val="enumlev2"/>
      </w:pPr>
      <w:r>
        <w:t>i</w:t>
      </w:r>
      <w:r>
        <w:tab/>
        <w:t>the technical and regulatory feasibility of a satellite broadcasting its own identity, on a voluntary basis, using frequencies already available to the space services under the Radio Regulations, or such other means as the studies may identify;</w:t>
      </w:r>
    </w:p>
    <w:p w14:paraId="54B4596A" w14:textId="1687E3C2" w:rsidR="0056300C" w:rsidRDefault="0056300C" w:rsidP="0056300C">
      <w:pPr>
        <w:pStyle w:val="enumlev2"/>
      </w:pPr>
      <w:r>
        <w:lastRenderedPageBreak/>
        <w:t>ii</w:t>
      </w:r>
      <w:r>
        <w:tab/>
        <w:t>the content and format of such identity, which could include the satellite network filing reference, the satellite identifier, the name of the administration or of the operator, and such other information as may be agreed;</w:t>
      </w:r>
    </w:p>
    <w:p w14:paraId="25D726B4" w14:textId="33521DBB" w:rsidR="0056300C" w:rsidRDefault="0056300C" w:rsidP="0056300C">
      <w:pPr>
        <w:pStyle w:val="enumlev2"/>
      </w:pPr>
      <w:r>
        <w:t>iii</w:t>
      </w:r>
      <w:r>
        <w:tab/>
        <w:t>the relationship between such a broadcast and the information recorded in the ITU databases, including the Master International Frequency Register and the satellite network filings;</w:t>
      </w:r>
    </w:p>
    <w:p w14:paraId="49F49025" w14:textId="2583857C" w:rsidR="0056300C" w:rsidRDefault="0056300C" w:rsidP="0056300C">
      <w:pPr>
        <w:pStyle w:val="enumlev2"/>
      </w:pPr>
      <w:r>
        <w:t>iv</w:t>
      </w:r>
      <w:r>
        <w:tab/>
        <w:t>the protection of such a broadcast from harmful interference, and its compatibility with the existing frequency allocations and with the rights of other services,</w:t>
      </w:r>
    </w:p>
    <w:p w14:paraId="464AC397" w14:textId="77777777" w:rsidR="0056300C" w:rsidRDefault="0056300C" w:rsidP="0056300C">
      <w:pPr>
        <w:pStyle w:val="Call"/>
      </w:pPr>
      <w:r>
        <w:t>instructs the Radiocommunication Assembly</w:t>
      </w:r>
    </w:p>
    <w:p w14:paraId="3D3E6421" w14:textId="77777777" w:rsidR="0056300C" w:rsidRDefault="0056300C" w:rsidP="0056300C">
      <w:r>
        <w:t>1</w:t>
      </w:r>
      <w:r>
        <w:tab/>
        <w:t xml:space="preserve">to carry out the studies referred to in </w:t>
      </w:r>
      <w:r w:rsidRPr="00B71A6B">
        <w:rPr>
          <w:i/>
          <w:iCs/>
        </w:rPr>
        <w:t>resolves</w:t>
      </w:r>
      <w:r>
        <w:t xml:space="preserve"> 2 and 3 above, as a matter of urgency, through the relevant ITU-R Study Groups, and to communicate the results of those studies;</w:t>
      </w:r>
    </w:p>
    <w:p w14:paraId="1D940B86" w14:textId="2859BB6C" w:rsidR="0056300C" w:rsidRDefault="0056300C" w:rsidP="0056300C">
      <w:r>
        <w:t>2</w:t>
      </w:r>
      <w:r>
        <w:tab/>
        <w:t xml:space="preserve">to submit the results of those studies, together with the technical bases required for the consideration of that item, to the </w:t>
      </w:r>
      <w:r w:rsidR="00B71A6B">
        <w:t xml:space="preserve">world radiocommunication conference </w:t>
      </w:r>
      <w:r>
        <w:t xml:space="preserve">referred to in </w:t>
      </w:r>
      <w:r w:rsidRPr="00B71A6B">
        <w:rPr>
          <w:i/>
          <w:iCs/>
        </w:rPr>
        <w:t>resolves</w:t>
      </w:r>
      <w:r>
        <w:t xml:space="preserve"> 1 above,</w:t>
      </w:r>
    </w:p>
    <w:p w14:paraId="538ADCBC" w14:textId="77777777" w:rsidR="0056300C" w:rsidRDefault="0056300C" w:rsidP="0056300C">
      <w:pPr>
        <w:pStyle w:val="Call"/>
      </w:pPr>
      <w:r>
        <w:t>instructs the Director of the Radiocommunication Bureau</w:t>
      </w:r>
    </w:p>
    <w:p w14:paraId="1142F5F6" w14:textId="13C570AE" w:rsidR="0056300C" w:rsidRDefault="0056300C" w:rsidP="0056300C">
      <w:r>
        <w:t>1</w:t>
      </w:r>
      <w:r>
        <w:tab/>
        <w:t xml:space="preserve">to report to the Council on the progress of this work, so that the Council may take the matter into account when it establishes the agenda of </w:t>
      </w:r>
      <w:r w:rsidR="00B71A6B">
        <w:t>the 2031 world radiocommunication conference</w:t>
      </w:r>
      <w:r>
        <w:t>;</w:t>
      </w:r>
    </w:p>
    <w:p w14:paraId="50E293CA" w14:textId="5D443DC4" w:rsidR="0056300C" w:rsidRDefault="0056300C" w:rsidP="0056300C">
      <w:r>
        <w:t>2</w:t>
      </w:r>
      <w:r>
        <w:tab/>
        <w:t xml:space="preserve">to submit a report on the implementation of this </w:t>
      </w:r>
      <w:r w:rsidR="00B71A6B">
        <w:t xml:space="preserve">resolution </w:t>
      </w:r>
      <w:r>
        <w:t xml:space="preserve">to the </w:t>
      </w:r>
      <w:r w:rsidR="00B71A6B">
        <w:t>2031 world radiocommunication conference</w:t>
      </w:r>
      <w:r>
        <w:t>,</w:t>
      </w:r>
    </w:p>
    <w:p w14:paraId="1F4C99C8" w14:textId="77777777" w:rsidR="0056300C" w:rsidRDefault="0056300C" w:rsidP="0056300C">
      <w:pPr>
        <w:pStyle w:val="Call"/>
      </w:pPr>
      <w:r>
        <w:t>invites the Council</w:t>
      </w:r>
    </w:p>
    <w:p w14:paraId="58B448A0" w14:textId="65B4B619" w:rsidR="0056300C" w:rsidRDefault="0056300C" w:rsidP="0056300C">
      <w:r>
        <w:t xml:space="preserve">to include the matter in the agenda of </w:t>
      </w:r>
      <w:r w:rsidR="00B71A6B">
        <w:t xml:space="preserve">the 2031 world radiocommunication conference </w:t>
      </w:r>
      <w:r>
        <w:t>when it establishes that agenda,</w:t>
      </w:r>
    </w:p>
    <w:p w14:paraId="1752FA18" w14:textId="77777777" w:rsidR="0056300C" w:rsidRDefault="0056300C" w:rsidP="0056300C">
      <w:pPr>
        <w:pStyle w:val="Call"/>
      </w:pPr>
      <w:r>
        <w:t>invites the Radio Regulations Board</w:t>
      </w:r>
    </w:p>
    <w:p w14:paraId="655127A2" w14:textId="73815D5C" w:rsidR="0056300C" w:rsidRDefault="0056300C" w:rsidP="0056300C">
      <w:r>
        <w:t xml:space="preserve">to take account of the matter set out in this </w:t>
      </w:r>
      <w:r w:rsidR="00B71A6B">
        <w:t xml:space="preserve">resolution </w:t>
      </w:r>
      <w:r>
        <w:t>when it examines cases involving harmful interference and the identification of satellite networks and, as appropriate, in its work on the Rules of Procedure of the Radiocommunication Bureau,</w:t>
      </w:r>
    </w:p>
    <w:p w14:paraId="756A658A" w14:textId="77777777" w:rsidR="0056300C" w:rsidRDefault="0056300C" w:rsidP="0056300C">
      <w:pPr>
        <w:pStyle w:val="Call"/>
      </w:pPr>
      <w:r>
        <w:t>instructs the Secretary-General</w:t>
      </w:r>
    </w:p>
    <w:p w14:paraId="0DC64A5C" w14:textId="66C31DED" w:rsidR="0056300C" w:rsidRDefault="0056300C" w:rsidP="0056300C">
      <w:r>
        <w:t xml:space="preserve">to bring this </w:t>
      </w:r>
      <w:r w:rsidR="00B71A6B">
        <w:t xml:space="preserve">resolution </w:t>
      </w:r>
      <w:r>
        <w:t>to the attention of the United Nations Office for Outer Space Affairs and of other relevant international organizations, with a view to ensuring complementarity with their respective functions, including the registration of space objects,</w:t>
      </w:r>
    </w:p>
    <w:p w14:paraId="0B1F5C34" w14:textId="77777777" w:rsidR="0056300C" w:rsidRDefault="0056300C" w:rsidP="0056300C">
      <w:pPr>
        <w:pStyle w:val="Call"/>
      </w:pPr>
      <w:r>
        <w:t>invites Member States</w:t>
      </w:r>
    </w:p>
    <w:p w14:paraId="4D20F3E2" w14:textId="77777777" w:rsidR="0056300C" w:rsidRDefault="0056300C" w:rsidP="0056300C">
      <w:r>
        <w:t>1</w:t>
      </w:r>
      <w:r>
        <w:tab/>
        <w:t xml:space="preserve">to participate in the studies referred to in </w:t>
      </w:r>
      <w:r w:rsidRPr="00B71A6B">
        <w:rPr>
          <w:i/>
          <w:iCs/>
        </w:rPr>
        <w:t>resolves</w:t>
      </w:r>
      <w:r>
        <w:t xml:space="preserve"> 2 and 3 above, and to contribute their experience with the identification of satellites in orbit;</w:t>
      </w:r>
    </w:p>
    <w:p w14:paraId="0438F966" w14:textId="77777777" w:rsidR="0056300C" w:rsidRDefault="0056300C" w:rsidP="0056300C">
      <w:r>
        <w:t>2</w:t>
      </w:r>
      <w:r>
        <w:tab/>
        <w:t>to consider, on a voluntary basis, implementing satellite identity broadcasting in the satellite networks under their jurisdiction,</w:t>
      </w:r>
    </w:p>
    <w:p w14:paraId="18C47ECC" w14:textId="77777777" w:rsidR="0056300C" w:rsidRDefault="0056300C" w:rsidP="0056300C">
      <w:pPr>
        <w:pStyle w:val="Call"/>
      </w:pPr>
      <w:r>
        <w:t>invites Sector Members</w:t>
      </w:r>
    </w:p>
    <w:p w14:paraId="37327851" w14:textId="45410930" w:rsidR="0056300C" w:rsidRPr="0056300C" w:rsidRDefault="0056300C" w:rsidP="0056300C">
      <w:r>
        <w:t>to participate in the studies and in the development of the relevant technical arrangements.</w:t>
      </w:r>
    </w:p>
    <w:p w14:paraId="0EE0928F" w14:textId="0CF4903B" w:rsidR="00DF6D50" w:rsidRDefault="00000000">
      <w:pPr>
        <w:pStyle w:val="Reasons"/>
      </w:pPr>
      <w:r>
        <w:rPr>
          <w:b/>
        </w:rPr>
        <w:lastRenderedPageBreak/>
        <w:t>Reasons:</w:t>
      </w:r>
      <w:r>
        <w:tab/>
      </w:r>
      <w:r w:rsidR="0056300C" w:rsidRPr="0056300C">
        <w:t xml:space="preserve">The number of satellites and space objects in non-geostationary-satellite orbits continues to grow, and the associated frequency and orbit resources are becoming congested. The identification of a satellite in orbit is a prerequisite for the attribution of responsibility in the event of a collision or of harmful interference, and for the orderly handling of such events between administrations and between operators; at present, however, a satellite in orbit cannot be identified, from the signals it transmits, as belonging to a particular satellite network filing. A signal broadcast by a satellite about its own identity would provide an independent source of that identification, on a voluntary basis. Since the matter may involve changes to the Radio Regulations, it is proposed that it be placed on the agenda of </w:t>
      </w:r>
      <w:r w:rsidR="00B71A6B">
        <w:t xml:space="preserve">the 2031 </w:t>
      </w:r>
      <w:r w:rsidR="00B71A6B" w:rsidRPr="0056300C">
        <w:t>world radiocommunication conference</w:t>
      </w:r>
      <w:r w:rsidR="0056300C" w:rsidRPr="0056300C">
        <w:t>, and that the necessary studies be carried out in the meantime within the ITU Radiocommunication Sector, so as to determine whether such arrangements are technically and regulatorily feasible and how they would relate to the information already recorded in the ITU databases. The arrangements would be voluntary, would create no new right and no new priority, would not alter the status of any frequency assignment in the Master International Frequency Register, and would complement the relevant work of the United Nations Committee on the Peaceful Uses of Outer Space and of the United Nations Office for Outer Space Affairs.</w:t>
      </w:r>
    </w:p>
    <w:sectPr w:rsidR="00DF6D50"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8921F" w14:textId="77777777" w:rsidR="008047BB" w:rsidRDefault="008047BB">
      <w:r>
        <w:separator/>
      </w:r>
    </w:p>
  </w:endnote>
  <w:endnote w:type="continuationSeparator" w:id="0">
    <w:p w14:paraId="484AE1CA" w14:textId="77777777" w:rsidR="008047BB" w:rsidRDefault="0080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97D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9B2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8933"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C3288" w14:textId="77777777" w:rsidR="008047BB" w:rsidRDefault="008047BB">
      <w:r>
        <w:t>____________________</w:t>
      </w:r>
    </w:p>
  </w:footnote>
  <w:footnote w:type="continuationSeparator" w:id="0">
    <w:p w14:paraId="4AEB6CAA" w14:textId="77777777" w:rsidR="008047BB" w:rsidRDefault="00804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09B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242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2ED0998" w14:textId="77777777" w:rsidR="00CE1B90" w:rsidRDefault="00CE1B90" w:rsidP="004F7925">
    <w:pPr>
      <w:pStyle w:val="Header"/>
    </w:pPr>
    <w:r>
      <w:t>PP</w:t>
    </w:r>
    <w:r w:rsidR="000235EC">
      <w:t>2</w:t>
    </w:r>
    <w:r w:rsidR="00EF3B7A">
      <w:t>6</w:t>
    </w:r>
    <w:r>
      <w:t>/87(Add.1)-E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B09C4"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174AF"/>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300C"/>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047BB"/>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1A6B"/>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DF6D50"/>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F3A6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679f44f-2990-4a20-8fdf-725130ed7b28">DPM</DPM_x0020_Author>
    <DPM_x0020_File_x0020_name xmlns="e679f44f-2990-4a20-8fdf-725130ed7b28">S26-PP-C-0087!A1!MSW-E</DPM_x0020_File_x0020_name>
    <DPM_x0020_Version xmlns="e679f44f-2990-4a20-8fdf-725130ed7b28">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679f44f-2990-4a20-8fdf-725130ed7b28" targetNamespace="http://schemas.microsoft.com/office/2006/metadata/properties" ma:root="true" ma:fieldsID="d41af5c836d734370eb92e7ee5f83852" ns2:_="" ns3:_="">
    <xsd:import namespace="996b2e75-67fd-4955-a3b0-5ab9934cb50b"/>
    <xsd:import namespace="e679f44f-2990-4a20-8fdf-725130ed7b2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679f44f-2990-4a20-8fdf-725130ed7b2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679f44f-2990-4a20-8fdf-725130ed7b28"/>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679f44f-2990-4a20-8fdf-725130ed7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1502</Words>
  <Characters>8923</Characters>
  <Application>Microsoft Office Word</Application>
  <DocSecurity>0</DocSecurity>
  <Lines>743</Lines>
  <Paragraphs>372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10053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S26-PP-C-0087!A1!MSW-E</dc:title>
  <dc:subject>ITU Plenipotentiary Conference (PP-26)</dc:subject>
  <dc:creator>Documents Proposals Manager (DPM)</dc:creator>
  <cp:keywords>DPM_v2026.8.25.1_prod</cp:keywords>
  <cp:lastModifiedBy>ITUGBS</cp:lastModifiedBy>
  <cp:revision>3</cp:revision>
  <dcterms:created xsi:type="dcterms:W3CDTF">2026-10-31T22:55:00Z</dcterms:created>
  <dcterms:modified xsi:type="dcterms:W3CDTF">2026-10-31T23:01:00Z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