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BF32F2" w:rsidRPr="0002785D" w14:paraId="437638AC" w14:textId="77777777" w:rsidTr="005A329F">
        <w:trPr>
          <w:cantSplit/>
          <w:jc w:val="center"/>
        </w:trPr>
        <w:tc>
          <w:tcPr>
            <w:tcW w:w="10031" w:type="dxa"/>
            <w:gridSpan w:val="2"/>
            <w:tcMar>
              <w:left w:w="0" w:type="dxa"/>
              <w:right w:w="0" w:type="dxa"/>
            </w:tcMar>
            <w:vAlign w:val="center"/>
          </w:tcPr>
          <w:p w14:paraId="3B8DA16A" w14:textId="77777777" w:rsidR="00BF32F2" w:rsidRPr="00BF32F2" w:rsidRDefault="00BF32F2" w:rsidP="00BF32F2">
            <w:pPr>
              <w:spacing w:before="0" w:line="240" w:lineRule="atLeast"/>
              <w:rPr>
                <w:rFonts w:cstheme="minorHAnsi"/>
              </w:rPr>
            </w:pPr>
            <w:bookmarkStart w:id="0" w:name="ditulogo"/>
            <w:bookmarkEnd w:id="0"/>
            <w:r>
              <w:rPr>
                <w:rFonts w:cstheme="minorHAnsi"/>
                <w:noProof/>
                <w:lang w:val="en-US"/>
              </w:rPr>
              <w:drawing>
                <wp:anchor distT="0" distB="0" distL="0" distR="0" simplePos="0" relativeHeight="251658240" behindDoc="1" locked="0" layoutInCell="1" allowOverlap="1" wp14:anchorId="0AD36709" wp14:editId="6B248395">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7045" y="16094"/>
                      <wp:lineTo x="19206" y="15247"/>
                      <wp:lineTo x="19144" y="7200"/>
                      <wp:lineTo x="16921" y="6353"/>
                      <wp:lineTo x="432" y="1694"/>
                      <wp:lineTo x="124" y="1694"/>
                    </wp:wrapPolygon>
                  </wp:wrapTight>
                  <wp:docPr id="13302119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11939" name="Picture 1" descr="A black background with a black squar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77985" w:rsidRPr="00930E84" w14:paraId="3BEB8FBD" w14:textId="77777777" w:rsidTr="005A329F">
        <w:trPr>
          <w:cantSplit/>
          <w:trHeight w:val="283"/>
          <w:jc w:val="center"/>
        </w:trPr>
        <w:tc>
          <w:tcPr>
            <w:tcW w:w="10031" w:type="dxa"/>
            <w:gridSpan w:val="2"/>
            <w:tcBorders>
              <w:bottom w:val="single" w:sz="12" w:space="0" w:color="71716F"/>
            </w:tcBorders>
          </w:tcPr>
          <w:p w14:paraId="2968FE2B" w14:textId="77777777" w:rsidR="00277985" w:rsidRPr="00DE3E41" w:rsidRDefault="00277985" w:rsidP="00BF32F2">
            <w:pPr>
              <w:spacing w:before="0" w:line="240" w:lineRule="atLeast"/>
              <w:rPr>
                <w:rFonts w:cstheme="minorHAnsi"/>
                <w:b/>
                <w:smallCaps/>
                <w:szCs w:val="24"/>
                <w:lang w:val="fr-CH"/>
              </w:rPr>
            </w:pPr>
            <w:bookmarkStart w:id="1" w:name="dhead"/>
          </w:p>
        </w:tc>
      </w:tr>
      <w:tr w:rsidR="00255FA1" w:rsidRPr="0002785D" w14:paraId="2BD20E3E" w14:textId="77777777" w:rsidTr="005A329F">
        <w:trPr>
          <w:cantSplit/>
          <w:trHeight w:val="255"/>
          <w:jc w:val="center"/>
        </w:trPr>
        <w:tc>
          <w:tcPr>
            <w:tcW w:w="7229" w:type="dxa"/>
            <w:tcBorders>
              <w:top w:val="single" w:sz="12" w:space="0" w:color="71716F"/>
            </w:tcBorders>
          </w:tcPr>
          <w:p w14:paraId="56F61083" w14:textId="77777777" w:rsidR="00255FA1" w:rsidRPr="00DE3E41" w:rsidRDefault="00255FA1" w:rsidP="00BF32F2">
            <w:pPr>
              <w:spacing w:before="0"/>
              <w:ind w:firstLine="720"/>
              <w:rPr>
                <w:rFonts w:cstheme="minorHAnsi"/>
                <w:b/>
                <w:smallCaps/>
                <w:szCs w:val="24"/>
                <w:lang w:val="fr-CH"/>
              </w:rPr>
            </w:pPr>
          </w:p>
        </w:tc>
        <w:tc>
          <w:tcPr>
            <w:tcW w:w="2802" w:type="dxa"/>
            <w:tcBorders>
              <w:top w:val="single" w:sz="12" w:space="0" w:color="71716F"/>
            </w:tcBorders>
          </w:tcPr>
          <w:p w14:paraId="38E45D0A" w14:textId="77777777" w:rsidR="00255FA1" w:rsidRPr="00DE3E41" w:rsidRDefault="00255FA1" w:rsidP="00BF32F2">
            <w:pPr>
              <w:spacing w:before="0"/>
              <w:rPr>
                <w:rFonts w:cstheme="minorHAnsi"/>
                <w:szCs w:val="24"/>
                <w:lang w:val="fr-CH"/>
              </w:rPr>
            </w:pPr>
          </w:p>
        </w:tc>
      </w:tr>
      <w:tr w:rsidR="00255FA1" w:rsidRPr="0002785D" w14:paraId="7774D937" w14:textId="77777777" w:rsidTr="005A329F">
        <w:trPr>
          <w:cantSplit/>
          <w:jc w:val="center"/>
        </w:trPr>
        <w:tc>
          <w:tcPr>
            <w:tcW w:w="7229" w:type="dxa"/>
          </w:tcPr>
          <w:p w14:paraId="3479308C" w14:textId="77777777" w:rsidR="00255FA1" w:rsidRPr="004C22ED" w:rsidRDefault="00255FA1" w:rsidP="003B5DC9">
            <w:pPr>
              <w:pStyle w:val="Committee"/>
              <w:framePr w:hSpace="0" w:wrap="auto" w:hAnchor="text" w:yAlign="inline"/>
              <w:spacing w:after="0" w:line="240" w:lineRule="auto"/>
            </w:pPr>
            <w:r w:rsidRPr="004C22ED">
              <w:t>SESIÓN PLENARIA</w:t>
            </w:r>
          </w:p>
        </w:tc>
        <w:tc>
          <w:tcPr>
            <w:tcW w:w="2802" w:type="dxa"/>
          </w:tcPr>
          <w:p w14:paraId="28484467" w14:textId="77777777" w:rsidR="00255FA1" w:rsidRPr="004C22ED" w:rsidRDefault="00255FA1" w:rsidP="003B5DC9">
            <w:pPr>
              <w:spacing w:before="0"/>
              <w:rPr>
                <w:rFonts w:cstheme="minorHAnsi"/>
                <w:szCs w:val="24"/>
                <w:lang w:val="en-US"/>
              </w:rPr>
            </w:pPr>
            <w:r>
              <w:rPr>
                <w:rFonts w:cstheme="minorHAnsi"/>
                <w:b/>
                <w:szCs w:val="24"/>
                <w:lang w:val="en-US"/>
              </w:rPr>
              <w:t>Addéndum 1 al</w:t>
            </w:r>
            <w:r>
              <w:rPr>
                <w:rFonts w:cstheme="minorHAnsi"/>
                <w:b/>
                <w:szCs w:val="24"/>
                <w:lang w:val="en-US"/>
              </w:rPr>
              <w:br/>
              <w:t>Documento 86</w:t>
            </w:r>
            <w:r w:rsidR="00262FF4" w:rsidRPr="00F44B1A">
              <w:rPr>
                <w:rFonts w:cstheme="minorHAnsi"/>
                <w:b/>
                <w:szCs w:val="24"/>
              </w:rPr>
              <w:t>-S</w:t>
            </w:r>
          </w:p>
        </w:tc>
      </w:tr>
      <w:tr w:rsidR="00255FA1" w:rsidRPr="0002785D" w14:paraId="3457EC3B" w14:textId="77777777" w:rsidTr="005A329F">
        <w:trPr>
          <w:cantSplit/>
          <w:jc w:val="center"/>
        </w:trPr>
        <w:tc>
          <w:tcPr>
            <w:tcW w:w="7229" w:type="dxa"/>
          </w:tcPr>
          <w:p w14:paraId="58BDFCDA" w14:textId="77777777" w:rsidR="00255FA1" w:rsidRPr="00BF5475" w:rsidRDefault="00255FA1" w:rsidP="003B5DC9">
            <w:pPr>
              <w:spacing w:before="0"/>
              <w:rPr>
                <w:rFonts w:cstheme="minorHAnsi"/>
                <w:b/>
                <w:szCs w:val="24"/>
                <w:lang w:val="en-US"/>
              </w:rPr>
            </w:pPr>
          </w:p>
        </w:tc>
        <w:tc>
          <w:tcPr>
            <w:tcW w:w="2802" w:type="dxa"/>
          </w:tcPr>
          <w:p w14:paraId="0B9A2A5D" w14:textId="77777777" w:rsidR="00255FA1" w:rsidRPr="004C22ED" w:rsidRDefault="00255FA1" w:rsidP="003B5DC9">
            <w:pPr>
              <w:spacing w:before="0"/>
              <w:rPr>
                <w:rFonts w:cstheme="minorHAnsi"/>
                <w:b/>
                <w:szCs w:val="24"/>
                <w:lang w:val="en-US"/>
              </w:rPr>
            </w:pPr>
            <w:r w:rsidRPr="004C22ED">
              <w:rPr>
                <w:rFonts w:cstheme="minorHAnsi"/>
                <w:b/>
                <w:szCs w:val="24"/>
                <w:lang w:val="en-US"/>
              </w:rPr>
              <w:t>19 de octubre de 2026</w:t>
            </w:r>
          </w:p>
        </w:tc>
      </w:tr>
      <w:tr w:rsidR="00255FA1" w:rsidRPr="0002785D" w14:paraId="53F330C4" w14:textId="77777777" w:rsidTr="005A329F">
        <w:trPr>
          <w:cantSplit/>
          <w:jc w:val="center"/>
        </w:trPr>
        <w:tc>
          <w:tcPr>
            <w:tcW w:w="7229" w:type="dxa"/>
          </w:tcPr>
          <w:p w14:paraId="2C0E60FC" w14:textId="77777777" w:rsidR="00255FA1" w:rsidRPr="004C22ED" w:rsidRDefault="00255FA1" w:rsidP="003B5DC9">
            <w:pPr>
              <w:spacing w:before="0"/>
              <w:rPr>
                <w:rFonts w:cstheme="minorHAnsi"/>
                <w:b/>
                <w:smallCaps/>
                <w:szCs w:val="24"/>
                <w:lang w:val="en-US"/>
              </w:rPr>
            </w:pPr>
          </w:p>
        </w:tc>
        <w:tc>
          <w:tcPr>
            <w:tcW w:w="2802" w:type="dxa"/>
          </w:tcPr>
          <w:p w14:paraId="3EAB7D50" w14:textId="77777777" w:rsidR="00255FA1" w:rsidRPr="004C22ED" w:rsidRDefault="00255FA1" w:rsidP="003B5DC9">
            <w:pPr>
              <w:spacing w:before="0"/>
              <w:rPr>
                <w:rFonts w:cstheme="minorHAnsi"/>
                <w:b/>
                <w:szCs w:val="24"/>
                <w:lang w:val="en-US"/>
              </w:rPr>
            </w:pPr>
            <w:r w:rsidRPr="004C22ED">
              <w:rPr>
                <w:rFonts w:cstheme="minorHAnsi"/>
                <w:b/>
                <w:szCs w:val="24"/>
                <w:lang w:val="en-US"/>
              </w:rPr>
              <w:t>Original: inglés</w:t>
            </w:r>
          </w:p>
        </w:tc>
      </w:tr>
      <w:tr w:rsidR="00255FA1" w:rsidRPr="0002785D" w14:paraId="02C8B656" w14:textId="77777777" w:rsidTr="005A329F">
        <w:trPr>
          <w:cantSplit/>
          <w:jc w:val="center"/>
        </w:trPr>
        <w:tc>
          <w:tcPr>
            <w:tcW w:w="10031" w:type="dxa"/>
            <w:gridSpan w:val="2"/>
          </w:tcPr>
          <w:p w14:paraId="33A2ACB7" w14:textId="77777777" w:rsidR="00255FA1" w:rsidRPr="004C22ED" w:rsidRDefault="00255FA1" w:rsidP="003B5DC9">
            <w:pPr>
              <w:spacing w:before="0" w:line="240" w:lineRule="atLeast"/>
              <w:rPr>
                <w:rFonts w:cstheme="minorHAnsi"/>
                <w:b/>
                <w:szCs w:val="24"/>
                <w:lang w:val="en-US"/>
              </w:rPr>
            </w:pPr>
          </w:p>
        </w:tc>
      </w:tr>
      <w:tr w:rsidR="00255FA1" w:rsidRPr="0002785D" w14:paraId="66177AC0" w14:textId="77777777" w:rsidTr="005A329F">
        <w:trPr>
          <w:cantSplit/>
          <w:jc w:val="center"/>
        </w:trPr>
        <w:tc>
          <w:tcPr>
            <w:tcW w:w="10031" w:type="dxa"/>
            <w:gridSpan w:val="2"/>
          </w:tcPr>
          <w:p w14:paraId="6907AA27" w14:textId="77777777" w:rsidR="00255FA1" w:rsidRPr="001143E9" w:rsidRDefault="00255FA1" w:rsidP="003B5DC9">
            <w:pPr>
              <w:pStyle w:val="Source"/>
              <w:rPr>
                <w:lang w:val="es-ES"/>
              </w:rPr>
            </w:pPr>
            <w:bookmarkStart w:id="2" w:name="dsource" w:colFirst="0" w:colLast="0"/>
            <w:bookmarkEnd w:id="1"/>
            <w:r w:rsidRPr="001143E9">
              <w:rPr>
                <w:lang w:val="es-ES"/>
              </w:rPr>
              <w:t>China (República Popular de)/Federación de Rusia</w:t>
            </w:r>
          </w:p>
        </w:tc>
      </w:tr>
      <w:tr w:rsidR="00255FA1" w:rsidRPr="0002785D" w14:paraId="2E95CEE7" w14:textId="77777777" w:rsidTr="005A329F">
        <w:trPr>
          <w:cantSplit/>
          <w:jc w:val="center"/>
        </w:trPr>
        <w:tc>
          <w:tcPr>
            <w:tcW w:w="10031" w:type="dxa"/>
            <w:gridSpan w:val="2"/>
          </w:tcPr>
          <w:p w14:paraId="2DCD0DC3" w14:textId="77270890" w:rsidR="00255FA1" w:rsidRPr="0002785D" w:rsidRDefault="00207EF4" w:rsidP="00207EF4">
            <w:pPr>
              <w:pStyle w:val="Title1"/>
              <w:rPr>
                <w:lang w:val="en-US"/>
              </w:rPr>
            </w:pPr>
            <w:bookmarkStart w:id="3" w:name="dtitle1" w:colFirst="0" w:colLast="0"/>
            <w:bookmarkEnd w:id="2"/>
            <w:r>
              <w:rPr>
                <w:lang w:val="en-US"/>
              </w:rPr>
              <w:t>PROYECTO DE NUEVA RESOLUCIÓN</w:t>
            </w:r>
          </w:p>
        </w:tc>
      </w:tr>
      <w:tr w:rsidR="00255FA1" w:rsidRPr="0002785D" w14:paraId="6376B7CA" w14:textId="77777777" w:rsidTr="005A329F">
        <w:trPr>
          <w:cantSplit/>
          <w:jc w:val="center"/>
        </w:trPr>
        <w:tc>
          <w:tcPr>
            <w:tcW w:w="10031" w:type="dxa"/>
            <w:gridSpan w:val="2"/>
          </w:tcPr>
          <w:p w14:paraId="442F3E52" w14:textId="6CC662E6" w:rsidR="00255FA1" w:rsidRPr="001143E9" w:rsidRDefault="00207EF4" w:rsidP="003B5DC9">
            <w:pPr>
              <w:pStyle w:val="Title2"/>
              <w:rPr>
                <w:lang w:val="es-ES"/>
              </w:rPr>
            </w:pPr>
            <w:bookmarkStart w:id="4" w:name="dtitle2" w:colFirst="0" w:colLast="0"/>
            <w:bookmarkEnd w:id="3"/>
            <w:r w:rsidRPr="001143E9">
              <w:rPr>
                <w:lang w:val="es-ES"/>
              </w:rPr>
              <w:t>Fortalecimiento de la coordinación orbital asociada con frecuencias radioeléctricas en la coordinación de redes/sistemas de constelaciones de satélites en órbita terrestre baja</w:t>
            </w:r>
          </w:p>
        </w:tc>
      </w:tr>
      <w:tr w:rsidR="00255FA1" w14:paraId="2756C69F" w14:textId="77777777" w:rsidTr="005A329F">
        <w:trPr>
          <w:cantSplit/>
          <w:jc w:val="center"/>
        </w:trPr>
        <w:tc>
          <w:tcPr>
            <w:tcW w:w="10031" w:type="dxa"/>
            <w:gridSpan w:val="2"/>
          </w:tcPr>
          <w:p w14:paraId="5C759EB7" w14:textId="77777777" w:rsidR="00255FA1" w:rsidRDefault="00255FA1" w:rsidP="003B5DC9">
            <w:pPr>
              <w:pStyle w:val="Agendaitem"/>
            </w:pPr>
            <w:bookmarkStart w:id="5" w:name="dtitle3" w:colFirst="0" w:colLast="0"/>
            <w:bookmarkEnd w:id="4"/>
          </w:p>
        </w:tc>
      </w:tr>
      <w:bookmarkEnd w:id="5"/>
    </w:tbl>
    <w:p w14:paraId="13D392E2" w14:textId="77777777" w:rsidR="00255FA1" w:rsidRDefault="00255FA1">
      <w:pPr>
        <w:tabs>
          <w:tab w:val="clear" w:pos="567"/>
          <w:tab w:val="clear" w:pos="1134"/>
          <w:tab w:val="clear" w:pos="1701"/>
          <w:tab w:val="clear" w:pos="2268"/>
          <w:tab w:val="clear" w:pos="2835"/>
        </w:tabs>
        <w:overflowPunct/>
        <w:autoSpaceDE/>
        <w:autoSpaceDN/>
        <w:adjustRightInd/>
        <w:spacing w:before="0"/>
        <w:textAlignment w:val="auto"/>
        <w:rPr>
          <w:rStyle w:val="PageNumber"/>
        </w:rPr>
      </w:pPr>
      <w:r>
        <w:rPr>
          <w:rStyle w:val="PageNumber"/>
        </w:rPr>
        <w:br w:type="page"/>
      </w:r>
    </w:p>
    <w:p w14:paraId="36B6A060" w14:textId="77777777" w:rsidR="00A22375" w:rsidRPr="001143E9" w:rsidRDefault="0033151D">
      <w:pPr>
        <w:pStyle w:val="Proposal"/>
        <w:rPr>
          <w:lang w:val="es-ES"/>
        </w:rPr>
      </w:pPr>
      <w:r w:rsidRPr="001143E9">
        <w:rPr>
          <w:lang w:val="es-ES"/>
        </w:rPr>
        <w:lastRenderedPageBreak/>
        <w:t>ADD</w:t>
      </w:r>
      <w:r w:rsidRPr="001143E9">
        <w:rPr>
          <w:lang w:val="es-ES"/>
        </w:rPr>
        <w:tab/>
        <w:t>CHN/RUS/86A1/1</w:t>
      </w:r>
    </w:p>
    <w:p w14:paraId="1733462A" w14:textId="63D15527" w:rsidR="00A22375" w:rsidRDefault="0033151D">
      <w:pPr>
        <w:pStyle w:val="ResNo"/>
      </w:pPr>
      <w:r>
        <w:t>Proyecto de nueva Resolución [CHN/RUS</w:t>
      </w:r>
      <w:r w:rsidR="001572E4">
        <w:t>–</w:t>
      </w:r>
      <w:r>
        <w:t>2]</w:t>
      </w:r>
      <w:r w:rsidR="00207EF4">
        <w:t xml:space="preserve"> (DOHA, 2026)</w:t>
      </w:r>
    </w:p>
    <w:p w14:paraId="25177115" w14:textId="2F9BD2C6" w:rsidR="00A22375" w:rsidRDefault="00207EF4">
      <w:pPr>
        <w:pStyle w:val="Restitle"/>
      </w:pPr>
      <w:r w:rsidRPr="00207EF4">
        <w:t xml:space="preserve">Fortalecimiento de la coordinación orbital asociada con frecuencias radioeléctricas en la coordinación de redes/sistemas de constelaciones de satélites </w:t>
      </w:r>
      <w:r w:rsidR="004B5693">
        <w:br/>
      </w:r>
      <w:r w:rsidRPr="00207EF4">
        <w:t>en órbita terrestre baja</w:t>
      </w:r>
    </w:p>
    <w:p w14:paraId="38D4E624" w14:textId="1E42402D" w:rsidR="00207EF4" w:rsidRDefault="00207EF4" w:rsidP="00207EF4">
      <w:pPr>
        <w:pStyle w:val="Normalaftertitle"/>
      </w:pPr>
      <w:r>
        <w:t>La Conferencia de Plenipotenciarios de la Unión Internacional de Telecomunicaciones (Doha,</w:t>
      </w:r>
      <w:r w:rsidR="001143E9">
        <w:t> </w:t>
      </w:r>
      <w:r>
        <w:t>2026),</w:t>
      </w:r>
    </w:p>
    <w:p w14:paraId="5A8DD59C" w14:textId="289A06D5" w:rsidR="00207EF4" w:rsidRPr="00207EF4" w:rsidRDefault="00207EF4" w:rsidP="00E1010D">
      <w:pPr>
        <w:pStyle w:val="Call"/>
      </w:pPr>
      <w:r w:rsidRPr="00207EF4">
        <w:t>reconociendo</w:t>
      </w:r>
    </w:p>
    <w:p w14:paraId="0E48960B" w14:textId="76DE3996" w:rsidR="00207EF4" w:rsidRDefault="00207EF4" w:rsidP="00E1010D">
      <w:r w:rsidRPr="001572E4">
        <w:rPr>
          <w:i/>
          <w:iCs/>
        </w:rPr>
        <w:t>a)</w:t>
      </w:r>
      <w:r w:rsidRPr="001572E4">
        <w:rPr>
          <w:i/>
          <w:iCs/>
        </w:rPr>
        <w:tab/>
      </w:r>
      <w:r>
        <w:t>los Artículos</w:t>
      </w:r>
      <w:r w:rsidR="001143E9">
        <w:t> </w:t>
      </w:r>
      <w:r>
        <w:t>1 y 44 de la Constitución de la</w:t>
      </w:r>
      <w:r w:rsidR="001143E9">
        <w:t> </w:t>
      </w:r>
      <w:r>
        <w:t>UIT;</w:t>
      </w:r>
    </w:p>
    <w:p w14:paraId="11B0EBB5" w14:textId="2341393F" w:rsidR="00207EF4" w:rsidRDefault="00207EF4" w:rsidP="00E1010D">
      <w:r w:rsidRPr="001572E4">
        <w:rPr>
          <w:i/>
          <w:iCs/>
        </w:rPr>
        <w:t>b)</w:t>
      </w:r>
      <w:r w:rsidRPr="001572E4">
        <w:rPr>
          <w:i/>
          <w:iCs/>
        </w:rPr>
        <w:tab/>
      </w:r>
      <w:r>
        <w:t>la función de la</w:t>
      </w:r>
      <w:r w:rsidR="001143E9">
        <w:t> </w:t>
      </w:r>
      <w:r>
        <w:t>UIT en la gestión del espectro radioeléctrico y los recursos afines de órbitas de satélites,</w:t>
      </w:r>
    </w:p>
    <w:p w14:paraId="4B4F2BB6" w14:textId="60B518AA" w:rsidR="00207EF4" w:rsidRPr="00207EF4" w:rsidRDefault="00207EF4" w:rsidP="00E1010D">
      <w:pPr>
        <w:pStyle w:val="Call"/>
        <w:rPr>
          <w:i w:val="0"/>
        </w:rPr>
      </w:pPr>
      <w:r w:rsidRPr="00207EF4">
        <w:t>considerando</w:t>
      </w:r>
    </w:p>
    <w:p w14:paraId="374CBE5C" w14:textId="77777777" w:rsidR="00207EF4" w:rsidRDefault="00207EF4" w:rsidP="00E1010D">
      <w:r w:rsidRPr="001572E4">
        <w:rPr>
          <w:i/>
          <w:iCs/>
        </w:rPr>
        <w:t>a)</w:t>
      </w:r>
      <w:r w:rsidRPr="001572E4">
        <w:rPr>
          <w:i/>
          <w:iCs/>
        </w:rPr>
        <w:tab/>
      </w:r>
      <w:r>
        <w:t>la creciente frecuencia de lanzamientos y operaciones de maniobra de satélites de la constelación en órbita terrestre baja (OTB);</w:t>
      </w:r>
    </w:p>
    <w:p w14:paraId="162F8FB7" w14:textId="77777777" w:rsidR="00207EF4" w:rsidRDefault="00207EF4" w:rsidP="00E1010D">
      <w:r w:rsidRPr="001572E4">
        <w:rPr>
          <w:i/>
          <w:iCs/>
        </w:rPr>
        <w:t>b)</w:t>
      </w:r>
      <w:r w:rsidRPr="001572E4">
        <w:rPr>
          <w:i/>
          <w:iCs/>
        </w:rPr>
        <w:tab/>
      </w:r>
      <w:r>
        <w:t>la ausencia de disposiciones en el actual Reglamento de Radiocomunicaciones para la gestión de los recursos orbitales asociados a las frecuencias radioeléctricas en la coordinación de redes de satélites;</w:t>
      </w:r>
    </w:p>
    <w:p w14:paraId="39A90D1D" w14:textId="19412585" w:rsidR="00207EF4" w:rsidRDefault="00207EF4" w:rsidP="00E1010D">
      <w:r w:rsidRPr="001572E4">
        <w:rPr>
          <w:i/>
          <w:iCs/>
        </w:rPr>
        <w:t>c)</w:t>
      </w:r>
      <w:r w:rsidRPr="001572E4">
        <w:rPr>
          <w:i/>
          <w:iCs/>
        </w:rPr>
        <w:tab/>
      </w:r>
      <w:r>
        <w:t>la necesidad de aclarar aún más la utilización planificada y real de los recursos orbitales de las constelaciones en</w:t>
      </w:r>
      <w:r w:rsidR="001143E9">
        <w:t> </w:t>
      </w:r>
      <w:r>
        <w:t>OTB, a fin de evitar la interferencia causada por los sistemas de satélites de esta órbita a otros sistemas/redes de satélites,</w:t>
      </w:r>
    </w:p>
    <w:p w14:paraId="2568DCC4" w14:textId="1E80109F" w:rsidR="00207EF4" w:rsidRPr="00207EF4" w:rsidRDefault="00207EF4" w:rsidP="00E1010D">
      <w:pPr>
        <w:pStyle w:val="Call"/>
        <w:rPr>
          <w:i w:val="0"/>
        </w:rPr>
      </w:pPr>
      <w:r w:rsidRPr="00207EF4">
        <w:t>observando</w:t>
      </w:r>
    </w:p>
    <w:p w14:paraId="42EA0CC4" w14:textId="54E72CFA" w:rsidR="00207EF4" w:rsidRDefault="00207EF4" w:rsidP="00E1010D">
      <w:r w:rsidRPr="001572E4">
        <w:rPr>
          <w:i/>
          <w:iCs/>
        </w:rPr>
        <w:t>a)</w:t>
      </w:r>
      <w:r w:rsidRPr="001572E4">
        <w:rPr>
          <w:i/>
          <w:iCs/>
        </w:rPr>
        <w:tab/>
      </w:r>
      <w:r>
        <w:t>los recursos orbitales asociados a las frecuencias radioeléctricas para constelaciones en</w:t>
      </w:r>
      <w:r w:rsidR="001143E9">
        <w:t> </w:t>
      </w:r>
      <w:r>
        <w:t>OTB están cada vez más congestionados;</w:t>
      </w:r>
    </w:p>
    <w:p w14:paraId="27F89292" w14:textId="20CB98B8" w:rsidR="00207EF4" w:rsidRDefault="00207EF4" w:rsidP="00E1010D">
      <w:r w:rsidRPr="001572E4">
        <w:rPr>
          <w:i/>
          <w:iCs/>
        </w:rPr>
        <w:t>b)</w:t>
      </w:r>
      <w:r w:rsidRPr="001572E4">
        <w:rPr>
          <w:i/>
          <w:iCs/>
        </w:rPr>
        <w:tab/>
      </w:r>
      <w:r>
        <w:t>la necesidad de evitar que el despliegue a gran escala de megaconstelaciones en</w:t>
      </w:r>
      <w:r w:rsidR="001143E9">
        <w:t> </w:t>
      </w:r>
      <w:r>
        <w:t>OTB dificulte a los países en desarrollo y a las constelaciones pequeñas y medianas el desarrollo y utilización del espacio ultraterrestre debido a la insuficiencia de la selección de ventanas de lanzamiento y de las capacidades operativas en órbita;</w:t>
      </w:r>
    </w:p>
    <w:p w14:paraId="061BBCF1" w14:textId="77777777" w:rsidR="00207EF4" w:rsidRDefault="00207EF4" w:rsidP="00E1010D">
      <w:r w:rsidRPr="001572E4">
        <w:rPr>
          <w:i/>
          <w:iCs/>
        </w:rPr>
        <w:t>c)</w:t>
      </w:r>
      <w:r w:rsidRPr="001572E4">
        <w:rPr>
          <w:i/>
          <w:iCs/>
        </w:rPr>
        <w:tab/>
      </w:r>
      <w:r>
        <w:t>que deberían definirse con más detalle las gamas de ocupación de la capa orbital de los satélites realmente desplegados en las notificaciones de redes de satélites para evitar riesgos de colisión a nivel de sistema que hagan completamente inutilizables los recursos de frecuencias,</w:t>
      </w:r>
    </w:p>
    <w:p w14:paraId="712C0B1E" w14:textId="320A5597" w:rsidR="00207EF4" w:rsidRPr="00207EF4" w:rsidRDefault="00207EF4" w:rsidP="00E1010D">
      <w:pPr>
        <w:pStyle w:val="Call"/>
        <w:rPr>
          <w:i w:val="0"/>
        </w:rPr>
      </w:pPr>
      <w:r w:rsidRPr="00207EF4">
        <w:t>resuelve</w:t>
      </w:r>
    </w:p>
    <w:p w14:paraId="41B36620" w14:textId="546D5456" w:rsidR="00207EF4" w:rsidRPr="00207EF4" w:rsidRDefault="00207EF4" w:rsidP="00207EF4">
      <w:pPr>
        <w:pStyle w:val="Normalaftertitle"/>
        <w:rPr>
          <w:i/>
        </w:rPr>
      </w:pPr>
      <w:r w:rsidRPr="00207EF4">
        <w:rPr>
          <w:i/>
        </w:rPr>
        <w:t xml:space="preserve">[Nota del Editor – Todo el texto del </w:t>
      </w:r>
      <w:r w:rsidRPr="00207EF4">
        <w:t>resuelve</w:t>
      </w:r>
      <w:r w:rsidRPr="00207EF4">
        <w:rPr>
          <w:i/>
        </w:rPr>
        <w:t xml:space="preserve"> ha sido acordado en la reunión APT</w:t>
      </w:r>
      <w:r w:rsidR="001572E4">
        <w:rPr>
          <w:i/>
        </w:rPr>
        <w:t> </w:t>
      </w:r>
      <w:r w:rsidRPr="00207EF4">
        <w:rPr>
          <w:i/>
        </w:rPr>
        <w:t>PP26</w:t>
      </w:r>
      <w:r w:rsidR="001572E4">
        <w:rPr>
          <w:i/>
        </w:rPr>
        <w:noBreakHyphen/>
      </w:r>
      <w:r w:rsidRPr="00207EF4">
        <w:rPr>
          <w:i/>
        </w:rPr>
        <w:t>5.]</w:t>
      </w:r>
    </w:p>
    <w:p w14:paraId="1A61A694" w14:textId="3E86FF40" w:rsidR="00207EF4" w:rsidRDefault="00207EF4" w:rsidP="00E1010D">
      <w:r>
        <w:t>1</w:t>
      </w:r>
      <w:r>
        <w:tab/>
        <w:t>encargar a la Asamblea de Radiocomunicaciones que, con carácter urgente, emprenda los siguientes estudios por parte de las Comisiones de Estudio pertinentes del</w:t>
      </w:r>
      <w:r w:rsidR="001143E9">
        <w:t> </w:t>
      </w:r>
      <w:r>
        <w:t>UIT</w:t>
      </w:r>
      <w:r w:rsidR="00B37888">
        <w:noBreakHyphen/>
      </w:r>
      <w:r>
        <w:t>R, en el marco de las actividades ordinarias:</w:t>
      </w:r>
    </w:p>
    <w:p w14:paraId="2F404426" w14:textId="00F5568B" w:rsidR="00207EF4" w:rsidRDefault="00207EF4" w:rsidP="00E1010D">
      <w:r>
        <w:lastRenderedPageBreak/>
        <w:t>1.1</w:t>
      </w:r>
      <w:r>
        <w:tab/>
        <w:t>mejorar aún más la precisión y puntualidad de los informes de las administraciones y de la</w:t>
      </w:r>
      <w:r w:rsidR="005851F8">
        <w:t> </w:t>
      </w:r>
      <w:r>
        <w:t>Oficina de Radiocomunicaciones sobre la utilización de los recursos espectrales y orbitales;</w:t>
      </w:r>
    </w:p>
    <w:p w14:paraId="4F832B1D" w14:textId="77777777" w:rsidR="00207EF4" w:rsidRDefault="00207EF4" w:rsidP="00E1010D">
      <w:r>
        <w:t>1.2</w:t>
      </w:r>
      <w:r>
        <w:tab/>
        <w:t>iniciar un diálogo con los organismos y entidades pertinentes sobre la cuestión de la coordinación de objetos físicos en el espacio;</w:t>
      </w:r>
    </w:p>
    <w:p w14:paraId="7619D20C" w14:textId="3CE64C22" w:rsidR="00207EF4" w:rsidRDefault="00207EF4" w:rsidP="00E1010D">
      <w:r>
        <w:t>1.3</w:t>
      </w:r>
      <w:r>
        <w:tab/>
        <w:t>realizar estudios sobre la utilización eficiente de los recursos orbitales por [grandes] constelaciones de órbitas de satélites no geoestacionarios (no</w:t>
      </w:r>
      <w:r w:rsidR="005851F8">
        <w:t> </w:t>
      </w:r>
      <w:r>
        <w:t>OSG) de conformidad con el objetivo del Artículo</w:t>
      </w:r>
      <w:r w:rsidR="005851F8">
        <w:t> </w:t>
      </w:r>
      <w:r>
        <w:t>44 de la Constitución;</w:t>
      </w:r>
    </w:p>
    <w:p w14:paraId="579C0062" w14:textId="5EBBFE5A" w:rsidR="00207EF4" w:rsidRDefault="00207EF4" w:rsidP="00E1010D">
      <w:r>
        <w:t>1.4</w:t>
      </w:r>
      <w:r>
        <w:tab/>
        <w:t>realizar estudios técnicos sobre cuestiones de coordinación orbital, con respecto a las constelaciones no</w:t>
      </w:r>
      <w:r w:rsidR="005851F8">
        <w:t> </w:t>
      </w:r>
      <w:r>
        <w:t>OSG, en particular las grandes constelaciones no</w:t>
      </w:r>
      <w:r w:rsidR="005851F8">
        <w:t> </w:t>
      </w:r>
      <w:r>
        <w:t>OSG;</w:t>
      </w:r>
    </w:p>
    <w:p w14:paraId="16C78A58" w14:textId="77777777" w:rsidR="00207EF4" w:rsidRDefault="00207EF4" w:rsidP="00E1010D">
      <w:r>
        <w:t>2</w:t>
      </w:r>
      <w:r>
        <w:tab/>
        <w:t>que el Director de la Oficina de Radiocomunicaciones remita los resultados de dichos estudios a la siguiente Asamblea de Radiocomunicaciones y el posible informe a la Conferencia Mundial de Radiocomunicaciones con miras a su examen y a la adopción de las medidas necesarias, según convenga,</w:t>
      </w:r>
    </w:p>
    <w:p w14:paraId="0013042D" w14:textId="518253AD" w:rsidR="00207EF4" w:rsidRPr="00207EF4" w:rsidRDefault="00207EF4" w:rsidP="00E1010D">
      <w:pPr>
        <w:pStyle w:val="Call"/>
        <w:rPr>
          <w:i w:val="0"/>
        </w:rPr>
      </w:pPr>
      <w:r w:rsidRPr="00207EF4">
        <w:t>alienta a los Estados Miembros</w:t>
      </w:r>
    </w:p>
    <w:p w14:paraId="7493DA48" w14:textId="0E4B9AC4" w:rsidR="00207EF4" w:rsidRDefault="00207EF4" w:rsidP="00E1010D">
      <w:r>
        <w:t xml:space="preserve">1 </w:t>
      </w:r>
      <w:r>
        <w:tab/>
        <w:t>a abordar adecuadamente los conflictos de recursos orbitales asociados con las frecuencias radioeléctricas con otros Estados Miembros dentro del marco reglamentario de la</w:t>
      </w:r>
      <w:r w:rsidR="005851F8">
        <w:t> </w:t>
      </w:r>
      <w:r>
        <w:t>UIT;</w:t>
      </w:r>
    </w:p>
    <w:p w14:paraId="6729F53D" w14:textId="75773610" w:rsidR="00207EF4" w:rsidRDefault="00207EF4" w:rsidP="00E1010D">
      <w:r>
        <w:t>2</w:t>
      </w:r>
      <w:r>
        <w:tab/>
        <w:t>a promover que sus operadores nacionales de constelaciones en</w:t>
      </w:r>
      <w:r w:rsidR="005851F8">
        <w:t> </w:t>
      </w:r>
      <w:r>
        <w:t>OTB asuman mayores responsabilidades en la reducción de la interferencia en caso de conflicto de recursos orbitales a corto plazo, y a considerar la posibilidad de reservar recursos orbitales para el desarrollo de las constelaciones pequeñas y medianas y los proyectos espaciales de los países en desarrollo;</w:t>
      </w:r>
    </w:p>
    <w:p w14:paraId="4FB2212A" w14:textId="3E74F3E4" w:rsidR="00207EF4" w:rsidRDefault="00207EF4" w:rsidP="00E1010D">
      <w:r>
        <w:t>3</w:t>
      </w:r>
      <w:r>
        <w:tab/>
        <w:t>a fortalecer la cooperación internacional y los intercambios técnicos con otros Estados Miembros en la reglamentación de los recursos orbitales asociados a las frecuencias radioeléctricas para las constelaciones en</w:t>
      </w:r>
      <w:r w:rsidR="005851F8">
        <w:t> </w:t>
      </w:r>
      <w:r>
        <w:t>OTB, a fin de realizar estudios sobre la utilización eficiente de los recursos orbitales;</w:t>
      </w:r>
    </w:p>
    <w:p w14:paraId="7FAF39B2" w14:textId="261D9900" w:rsidR="00207EF4" w:rsidRDefault="00207EF4" w:rsidP="00E1010D">
      <w:r>
        <w:t>4</w:t>
      </w:r>
      <w:r>
        <w:tab/>
        <w:t>a participar activamente en las actividades de capacitación en materia de gestión de recursos orbitales organizadas por la</w:t>
      </w:r>
      <w:r w:rsidR="005851F8">
        <w:t> </w:t>
      </w:r>
      <w:r>
        <w:t>UIT y las organizaciones internacionales pertinentes, a mejorar sus sistemas nacionales de reglamentación y la capacidad de recursos orbitales asociados a las frecuencias radioeléctricas, y a contribuir a la mejora del sistema de gobernanza mundial,</w:t>
      </w:r>
    </w:p>
    <w:p w14:paraId="00456205" w14:textId="0FD0FB2D" w:rsidR="00207EF4" w:rsidRPr="00207EF4" w:rsidRDefault="00207EF4" w:rsidP="00E1010D">
      <w:pPr>
        <w:pStyle w:val="Call"/>
        <w:rPr>
          <w:i w:val="0"/>
        </w:rPr>
      </w:pPr>
      <w:r w:rsidRPr="00207EF4">
        <w:t>encarga al Director de la Oficina de Radiocomunicaciones</w:t>
      </w:r>
    </w:p>
    <w:p w14:paraId="00CE1324" w14:textId="40C7F340" w:rsidR="00207EF4" w:rsidRDefault="00207EF4" w:rsidP="00E1010D">
      <w:r>
        <w:t>que presente a la Asamblea de Radiocomunicaciones de</w:t>
      </w:r>
      <w:r w:rsidR="005851F8">
        <w:t> </w:t>
      </w:r>
      <w:r>
        <w:t>2031 un informe especial sobre los avances en la implementación, los resultados de la investigación y la eficacia sobre el terreno de la presente Resolución,</w:t>
      </w:r>
    </w:p>
    <w:p w14:paraId="7CC0FDD4" w14:textId="5F40B354" w:rsidR="00207EF4" w:rsidRPr="00207EF4" w:rsidRDefault="00207EF4" w:rsidP="00E1010D">
      <w:pPr>
        <w:pStyle w:val="Call"/>
        <w:rPr>
          <w:i w:val="0"/>
        </w:rPr>
      </w:pPr>
      <w:r w:rsidRPr="00207EF4">
        <w:t>encarga al Secretario General y a los Directores de las Oficinas</w:t>
      </w:r>
    </w:p>
    <w:p w14:paraId="01493BB1" w14:textId="77777777" w:rsidR="001572E4" w:rsidRDefault="00207EF4" w:rsidP="00411C49">
      <w:pPr>
        <w:pStyle w:val="Reasons"/>
      </w:pPr>
      <w:r>
        <w:t>que fortalezcan la coordinación interinstitucional, coopere periódicamente con la</w:t>
      </w:r>
      <w:r w:rsidR="005851F8">
        <w:t> </w:t>
      </w:r>
      <w:r>
        <w:t>Oficina de Asuntos del Espacio Ultraterrestre de las Naciones Unidas para crear sinergias para la gestión mundial y la prevención de riesgos y el control de los recursos orbitales, que aprovechen los marcos de coordinación y los sistemas de gestión de recursos existentes de la</w:t>
      </w:r>
      <w:r w:rsidR="005851F8">
        <w:t> </w:t>
      </w:r>
      <w:r>
        <w:t>UIT, y se basen en los conocimientos técnicos especializados en materia orbital de la Comisión sobre la Utilización del Espacio Ultraterrestre con Fines Pacíficos para salvaguardar conjuntamente la utilización racional y eficiente de los recursos orbitales.</w:t>
      </w:r>
    </w:p>
    <w:p w14:paraId="71839D9C" w14:textId="77777777" w:rsidR="001572E4" w:rsidRDefault="001572E4">
      <w:pPr>
        <w:jc w:val="center"/>
      </w:pPr>
      <w:r>
        <w:t>______________</w:t>
      </w:r>
    </w:p>
    <w:sectPr w:rsidR="001572E4" w:rsidSect="00A70E95">
      <w:headerReference w:type="default" r:id="rId12"/>
      <w:footerReference w:type="first" r:id="rId13"/>
      <w:type w:val="continuous"/>
      <w:pgSz w:w="11913" w:h="16834"/>
      <w:pgMar w:top="1418" w:right="1134" w:bottom="1418" w:left="1134" w:header="720" w:footer="720" w:gutter="0"/>
      <w:paperSrc w:first="15" w:other="15"/>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A50468" w14:textId="77777777" w:rsidR="00B36B9E" w:rsidRDefault="00B36B9E">
      <w:r>
        <w:separator/>
      </w:r>
    </w:p>
  </w:endnote>
  <w:endnote w:type="continuationSeparator" w:id="0">
    <w:p w14:paraId="4B84F955" w14:textId="77777777" w:rsidR="00B36B9E" w:rsidRDefault="00B36B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DC484" w14:textId="77777777" w:rsidR="00F23399" w:rsidRPr="003F2E54" w:rsidRDefault="00F23399" w:rsidP="00F23399">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77829D" w14:textId="77777777" w:rsidR="00B36B9E" w:rsidRDefault="00B36B9E">
      <w:r>
        <w:t>____________________</w:t>
      </w:r>
    </w:p>
  </w:footnote>
  <w:footnote w:type="continuationSeparator" w:id="0">
    <w:p w14:paraId="1E96D37F" w14:textId="77777777" w:rsidR="00B36B9E" w:rsidRDefault="00B36B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1F4E2" w14:textId="77777777" w:rsidR="00255FA1" w:rsidRDefault="00255FA1" w:rsidP="00255FA1">
    <w:pPr>
      <w:pStyle w:val="Header"/>
    </w:pPr>
    <w:r>
      <w:fldChar w:fldCharType="begin"/>
    </w:r>
    <w:r>
      <w:instrText xml:space="preserve"> PAGE </w:instrText>
    </w:r>
    <w:r>
      <w:fldChar w:fldCharType="separate"/>
    </w:r>
    <w:r w:rsidR="00FC45A8">
      <w:rPr>
        <w:noProof/>
      </w:rPr>
      <w:t>2</w:t>
    </w:r>
    <w:r>
      <w:fldChar w:fldCharType="end"/>
    </w:r>
  </w:p>
  <w:p w14:paraId="5EEC57AB" w14:textId="77777777" w:rsidR="00255FA1" w:rsidRDefault="00255FA1" w:rsidP="00C43474">
    <w:pPr>
      <w:pStyle w:val="Header"/>
    </w:pPr>
    <w:r>
      <w:rPr>
        <w:lang w:val="en-US"/>
      </w:rPr>
      <w:t>PP</w:t>
    </w:r>
    <w:r w:rsidR="009D1BE0">
      <w:rPr>
        <w:lang w:val="en-US"/>
      </w:rPr>
      <w:t>2</w:t>
    </w:r>
    <w:r w:rsidR="009415B6">
      <w:rPr>
        <w:lang w:val="en-US"/>
      </w:rPr>
      <w:t>6</w:t>
    </w:r>
    <w:r>
      <w:t>/86(Add.1)-</w:t>
    </w:r>
    <w:r w:rsidRPr="00010B43">
      <w:t>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E0"/>
    <w:rsid w:val="0000188C"/>
    <w:rsid w:val="000507CA"/>
    <w:rsid w:val="00057402"/>
    <w:rsid w:val="000863AB"/>
    <w:rsid w:val="000A1523"/>
    <w:rsid w:val="000B1752"/>
    <w:rsid w:val="0010546D"/>
    <w:rsid w:val="001143E9"/>
    <w:rsid w:val="00135F93"/>
    <w:rsid w:val="001572E4"/>
    <w:rsid w:val="001632E3"/>
    <w:rsid w:val="001D4983"/>
    <w:rsid w:val="001D6EC3"/>
    <w:rsid w:val="001D787B"/>
    <w:rsid w:val="001E3D06"/>
    <w:rsid w:val="001F0B24"/>
    <w:rsid w:val="00207EF4"/>
    <w:rsid w:val="00225F6B"/>
    <w:rsid w:val="00237C17"/>
    <w:rsid w:val="00242376"/>
    <w:rsid w:val="00255FA1"/>
    <w:rsid w:val="00262FF4"/>
    <w:rsid w:val="00277985"/>
    <w:rsid w:val="002B7F51"/>
    <w:rsid w:val="002C6527"/>
    <w:rsid w:val="002E44FC"/>
    <w:rsid w:val="0033151D"/>
    <w:rsid w:val="00351381"/>
    <w:rsid w:val="003537B5"/>
    <w:rsid w:val="003707E5"/>
    <w:rsid w:val="00375610"/>
    <w:rsid w:val="00390CB1"/>
    <w:rsid w:val="00391611"/>
    <w:rsid w:val="003B5DC9"/>
    <w:rsid w:val="003D0027"/>
    <w:rsid w:val="003E6E73"/>
    <w:rsid w:val="00484B72"/>
    <w:rsid w:val="00491A25"/>
    <w:rsid w:val="004A346E"/>
    <w:rsid w:val="004A63A9"/>
    <w:rsid w:val="004B07DB"/>
    <w:rsid w:val="004B09D4"/>
    <w:rsid w:val="004B0BCB"/>
    <w:rsid w:val="004B5693"/>
    <w:rsid w:val="004C27F5"/>
    <w:rsid w:val="004C39C6"/>
    <w:rsid w:val="004D23BA"/>
    <w:rsid w:val="004E069C"/>
    <w:rsid w:val="004E08E0"/>
    <w:rsid w:val="004E28FB"/>
    <w:rsid w:val="004F4BB1"/>
    <w:rsid w:val="00504FD4"/>
    <w:rsid w:val="00507662"/>
    <w:rsid w:val="00523448"/>
    <w:rsid w:val="005359B6"/>
    <w:rsid w:val="005470E8"/>
    <w:rsid w:val="00550FCF"/>
    <w:rsid w:val="00556958"/>
    <w:rsid w:val="00567ED5"/>
    <w:rsid w:val="005851F8"/>
    <w:rsid w:val="005A329F"/>
    <w:rsid w:val="005D1164"/>
    <w:rsid w:val="005D6488"/>
    <w:rsid w:val="005F6278"/>
    <w:rsid w:val="00601280"/>
    <w:rsid w:val="00641DBD"/>
    <w:rsid w:val="006426C0"/>
    <w:rsid w:val="006455D2"/>
    <w:rsid w:val="006537F3"/>
    <w:rsid w:val="006B5512"/>
    <w:rsid w:val="006C190D"/>
    <w:rsid w:val="00720686"/>
    <w:rsid w:val="00737EFF"/>
    <w:rsid w:val="00750806"/>
    <w:rsid w:val="00780430"/>
    <w:rsid w:val="007875D2"/>
    <w:rsid w:val="00787FE5"/>
    <w:rsid w:val="007D61E2"/>
    <w:rsid w:val="007F4E7B"/>
    <w:rsid w:val="007F6EBC"/>
    <w:rsid w:val="008044D2"/>
    <w:rsid w:val="00810D8B"/>
    <w:rsid w:val="00882773"/>
    <w:rsid w:val="008A7E17"/>
    <w:rsid w:val="008B4706"/>
    <w:rsid w:val="008B6676"/>
    <w:rsid w:val="008C3FA8"/>
    <w:rsid w:val="008E51C5"/>
    <w:rsid w:val="008F7109"/>
    <w:rsid w:val="009107B0"/>
    <w:rsid w:val="009220DE"/>
    <w:rsid w:val="00930E84"/>
    <w:rsid w:val="009415B6"/>
    <w:rsid w:val="00956FE6"/>
    <w:rsid w:val="0099270D"/>
    <w:rsid w:val="0099551E"/>
    <w:rsid w:val="009A1A86"/>
    <w:rsid w:val="009D1BE0"/>
    <w:rsid w:val="009E0C42"/>
    <w:rsid w:val="00A22375"/>
    <w:rsid w:val="00A42FB8"/>
    <w:rsid w:val="00A50BE3"/>
    <w:rsid w:val="00A70E95"/>
    <w:rsid w:val="00AA1F73"/>
    <w:rsid w:val="00AB190D"/>
    <w:rsid w:val="00AB34CA"/>
    <w:rsid w:val="00AD400E"/>
    <w:rsid w:val="00AF0DC5"/>
    <w:rsid w:val="00B012B7"/>
    <w:rsid w:val="00B30C52"/>
    <w:rsid w:val="00B36B9E"/>
    <w:rsid w:val="00B37888"/>
    <w:rsid w:val="00B501AB"/>
    <w:rsid w:val="00B73978"/>
    <w:rsid w:val="00B77C4D"/>
    <w:rsid w:val="00BB13FE"/>
    <w:rsid w:val="00BC7EE2"/>
    <w:rsid w:val="00BF32F2"/>
    <w:rsid w:val="00BF5475"/>
    <w:rsid w:val="00C20ED7"/>
    <w:rsid w:val="00C42D2D"/>
    <w:rsid w:val="00C43474"/>
    <w:rsid w:val="00C61A48"/>
    <w:rsid w:val="00C80F8F"/>
    <w:rsid w:val="00C84355"/>
    <w:rsid w:val="00C84A65"/>
    <w:rsid w:val="00CA3051"/>
    <w:rsid w:val="00CD20D9"/>
    <w:rsid w:val="00CD701A"/>
    <w:rsid w:val="00D05AAE"/>
    <w:rsid w:val="00D05E6B"/>
    <w:rsid w:val="00D066F8"/>
    <w:rsid w:val="00D254A6"/>
    <w:rsid w:val="00D42B55"/>
    <w:rsid w:val="00D57D70"/>
    <w:rsid w:val="00DE3E41"/>
    <w:rsid w:val="00E05D81"/>
    <w:rsid w:val="00E1010D"/>
    <w:rsid w:val="00E53DFC"/>
    <w:rsid w:val="00E66FC3"/>
    <w:rsid w:val="00E677DD"/>
    <w:rsid w:val="00E77F17"/>
    <w:rsid w:val="00E809D8"/>
    <w:rsid w:val="00E921EC"/>
    <w:rsid w:val="00EB23D0"/>
    <w:rsid w:val="00EC395A"/>
    <w:rsid w:val="00F01632"/>
    <w:rsid w:val="00F04858"/>
    <w:rsid w:val="00F13AA4"/>
    <w:rsid w:val="00F23399"/>
    <w:rsid w:val="00F3510D"/>
    <w:rsid w:val="00F43C07"/>
    <w:rsid w:val="00F43D44"/>
    <w:rsid w:val="00F57125"/>
    <w:rsid w:val="00F80E6E"/>
    <w:rsid w:val="00FC45A8"/>
    <w:rsid w:val="00FD19EF"/>
    <w:rsid w:val="00FD7A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A7217C"/>
  <w15:docId w15:val="{DA5BDCCB-471A-4152-B5D1-EC2E7BE3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4A63A9"/>
    <w:pPr>
      <w:keepNext/>
      <w:keepLines/>
      <w:spacing w:before="480"/>
      <w:ind w:left="567" w:hanging="567"/>
      <w:outlineLvl w:val="0"/>
    </w:pPr>
    <w:rPr>
      <w:b/>
      <w:sz w:val="28"/>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basedOn w:val="Normal"/>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qFormat/>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customStyle="1" w:styleId="UnresolvedMention1">
    <w:name w:val="Unresolved Mention1"/>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 w:type="character" w:styleId="CommentReference">
    <w:name w:val="annotation reference"/>
    <w:basedOn w:val="DefaultParagraphFont"/>
    <w:semiHidden/>
    <w:unhideWhenUsed/>
    <w:rsid w:val="00E1010D"/>
    <w:rPr>
      <w:sz w:val="16"/>
      <w:szCs w:val="16"/>
    </w:rPr>
  </w:style>
  <w:style w:type="paragraph" w:styleId="CommentText">
    <w:name w:val="annotation text"/>
    <w:basedOn w:val="Normal"/>
    <w:link w:val="CommentTextChar"/>
    <w:unhideWhenUsed/>
    <w:rsid w:val="00E1010D"/>
    <w:rPr>
      <w:sz w:val="20"/>
    </w:rPr>
  </w:style>
  <w:style w:type="character" w:customStyle="1" w:styleId="CommentTextChar">
    <w:name w:val="Comment Text Char"/>
    <w:basedOn w:val="DefaultParagraphFont"/>
    <w:link w:val="CommentText"/>
    <w:rsid w:val="00E1010D"/>
    <w:rPr>
      <w:rFonts w:ascii="Calibri" w:hAnsi="Calibri"/>
      <w:lang w:val="es-ES_tradnl" w:eastAsia="en-US"/>
    </w:rPr>
  </w:style>
  <w:style w:type="paragraph" w:styleId="CommentSubject">
    <w:name w:val="annotation subject"/>
    <w:basedOn w:val="CommentText"/>
    <w:next w:val="CommentText"/>
    <w:link w:val="CommentSubjectChar"/>
    <w:semiHidden/>
    <w:unhideWhenUsed/>
    <w:rsid w:val="00E1010D"/>
    <w:rPr>
      <w:b/>
      <w:bCs/>
    </w:rPr>
  </w:style>
  <w:style w:type="character" w:customStyle="1" w:styleId="CommentSubjectChar">
    <w:name w:val="Comment Subject Char"/>
    <w:basedOn w:val="CommentTextChar"/>
    <w:link w:val="CommentSubject"/>
    <w:semiHidden/>
    <w:rsid w:val="00E1010D"/>
    <w:rPr>
      <w:rFonts w:ascii="Calibri" w:hAnsi="Calibri"/>
      <w:b/>
      <w:bCs/>
      <w:lang w:val="es-ES_trad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284ef9df-6bfb-40f8-839a-b73cc6dae5c5" targetNamespace="http://schemas.microsoft.com/office/2006/metadata/properties" ma:root="true" ma:fieldsID="d41af5c836d734370eb92e7ee5f83852" ns2:_="" ns3:_="">
    <xsd:import namespace="996b2e75-67fd-4955-a3b0-5ab9934cb50b"/>
    <xsd:import namespace="284ef9df-6bfb-40f8-839a-b73cc6dae5c5"/>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284ef9df-6bfb-40f8-839a-b73cc6dae5c5"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PM_x0020_Author xmlns="284ef9df-6bfb-40f8-839a-b73cc6dae5c5">DPM</DPM_x0020_Author>
    <DPM_x0020_File_x0020_name xmlns="284ef9df-6bfb-40f8-839a-b73cc6dae5c5">S26-PP-C-0086!A1!MSW-S</DPM_x0020_File_x0020_name>
    <DPM_x0020_Version xmlns="284ef9df-6bfb-40f8-839a-b73cc6dae5c5">DPM_2025.10.23.1</DPM_x0020_Version>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27E8234-F786-4EB6-AA53-8BC09038B5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284ef9df-6bfb-40f8-839a-b73cc6dae5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284ef9df-6bfb-40f8-839a-b73cc6dae5c5"/>
  </ds:schemaRefs>
</ds:datastoreItem>
</file>

<file path=customXml/itemProps4.xml><?xml version="1.0" encoding="utf-8"?>
<ds:datastoreItem xmlns:ds="http://schemas.openxmlformats.org/officeDocument/2006/customXml" ds:itemID="{A16DEBCB-5B8D-4EB0-B7EC-26C5436CA41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866</Words>
  <Characters>4940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S26-PP-C-0086!A1!MSW-S</vt:lpstr>
    </vt:vector>
  </TitlesOfParts>
  <Manager/>
  <Company/>
  <LinksUpToDate>false</LinksUpToDate>
  <CharactersWithSpaces>5795</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S26-PP-C-0086!A1!MSW-S</dc:title>
  <dc:subject>ITU Plenipotentiary Conference (PP-26)</dc:subject>
  <dc:creator>Documents Proposals Manager (DPM)</dc:creator>
  <cp:keywords>DPM_v2026.8.25.1_prod</cp:keywords>
  <dc:description/>
  <cp:lastModifiedBy>Spanish</cp:lastModifiedBy>
  <cp:revision>2</cp:revision>
  <dcterms:created xsi:type="dcterms:W3CDTF">2026-10-22T09:16:00Z</dcterms:created>
  <dcterms:modified xsi:type="dcterms:W3CDTF">2026-10-22T09:16:00Z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