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BF32F2" w:rsidRPr="00BB385B" w14:paraId="5AB3FB61" w14:textId="77777777" w:rsidTr="005A329F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3708766D" w14:textId="77777777" w:rsidR="00BF32F2" w:rsidRPr="00BB385B" w:rsidRDefault="00BF32F2" w:rsidP="00BF32F2">
            <w:pPr>
              <w:spacing w:before="0" w:line="240" w:lineRule="atLeast"/>
              <w:rPr>
                <w:rFonts w:cstheme="minorHAnsi"/>
              </w:rPr>
            </w:pPr>
            <w:bookmarkStart w:id="0" w:name="ditulogo"/>
            <w:bookmarkEnd w:id="0"/>
            <w:r w:rsidRPr="00BB385B">
              <w:rPr>
                <w:rFonts w:cstheme="minorHAnsi"/>
                <w:noProof/>
              </w:rPr>
              <w:drawing>
                <wp:anchor distT="0" distB="0" distL="0" distR="0" simplePos="0" relativeHeight="251658240" behindDoc="1" locked="0" layoutInCell="1" allowOverlap="1" wp14:anchorId="7DDBB787" wp14:editId="711CB3EB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9318"/>
                      <wp:lineTo x="0" y="12282"/>
                      <wp:lineTo x="247" y="17365"/>
                      <wp:lineTo x="1050" y="18212"/>
                      <wp:lineTo x="2223" y="19059"/>
                      <wp:lineTo x="2532" y="19059"/>
                      <wp:lineTo x="3644" y="18212"/>
                      <wp:lineTo x="17045" y="16094"/>
                      <wp:lineTo x="19206" y="15247"/>
                      <wp:lineTo x="19144" y="7200"/>
                      <wp:lineTo x="16921" y="6353"/>
                      <wp:lineTo x="432" y="1694"/>
                      <wp:lineTo x="124" y="1694"/>
                    </wp:wrapPolygon>
                  </wp:wrapTight>
                  <wp:docPr id="1330211939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0211939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77985" w:rsidRPr="00BB385B" w14:paraId="61651A29" w14:textId="77777777" w:rsidTr="005A329F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45BF9287" w14:textId="77777777" w:rsidR="00277985" w:rsidRPr="00BB385B" w:rsidRDefault="00277985" w:rsidP="00BF32F2">
            <w:pPr>
              <w:spacing w:before="0" w:line="240" w:lineRule="atLeast"/>
              <w:rPr>
                <w:rFonts w:cstheme="minorHAnsi"/>
                <w:b/>
                <w:smallCaps/>
                <w:szCs w:val="24"/>
              </w:rPr>
            </w:pPr>
            <w:bookmarkStart w:id="1" w:name="dhead"/>
          </w:p>
        </w:tc>
      </w:tr>
      <w:tr w:rsidR="00255FA1" w:rsidRPr="00BB385B" w14:paraId="79C5A963" w14:textId="77777777" w:rsidTr="005A329F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7EA97DEB" w14:textId="77777777" w:rsidR="00255FA1" w:rsidRPr="00BB385B" w:rsidRDefault="00255FA1" w:rsidP="00BF32F2">
            <w:pPr>
              <w:spacing w:before="0"/>
              <w:ind w:firstLine="720"/>
              <w:rPr>
                <w:rFonts w:cstheme="minorHAnsi"/>
                <w:b/>
                <w:smallCaps/>
                <w:szCs w:val="24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</w:tcPr>
          <w:p w14:paraId="47509735" w14:textId="77777777" w:rsidR="00255FA1" w:rsidRPr="00BB385B" w:rsidRDefault="00255FA1" w:rsidP="00BF32F2">
            <w:pPr>
              <w:spacing w:before="0"/>
              <w:rPr>
                <w:rFonts w:cstheme="minorHAnsi"/>
                <w:szCs w:val="24"/>
              </w:rPr>
            </w:pPr>
          </w:p>
        </w:tc>
      </w:tr>
      <w:tr w:rsidR="00255FA1" w:rsidRPr="00BB385B" w14:paraId="37B7C2BC" w14:textId="77777777" w:rsidTr="005A329F">
        <w:trPr>
          <w:cantSplit/>
          <w:jc w:val="center"/>
        </w:trPr>
        <w:tc>
          <w:tcPr>
            <w:tcW w:w="7229" w:type="dxa"/>
          </w:tcPr>
          <w:p w14:paraId="2F0032B4" w14:textId="77777777" w:rsidR="00255FA1" w:rsidRPr="00BB385B" w:rsidRDefault="00255FA1" w:rsidP="003B5DC9">
            <w:pPr>
              <w:pStyle w:val="Committee"/>
              <w:framePr w:hSpace="0" w:wrap="auto" w:hAnchor="text" w:yAlign="inline"/>
              <w:spacing w:after="0" w:line="240" w:lineRule="auto"/>
              <w:rPr>
                <w:lang w:val="es-ES_tradnl"/>
              </w:rPr>
            </w:pPr>
            <w:r w:rsidRPr="00BB385B">
              <w:rPr>
                <w:lang w:val="es-ES_tradnl"/>
              </w:rPr>
              <w:t>SESIÓN PLENARIA</w:t>
            </w:r>
          </w:p>
        </w:tc>
        <w:tc>
          <w:tcPr>
            <w:tcW w:w="2802" w:type="dxa"/>
          </w:tcPr>
          <w:p w14:paraId="35A5E10F" w14:textId="77777777" w:rsidR="00255FA1" w:rsidRPr="00BB385B" w:rsidRDefault="00255FA1" w:rsidP="003B5DC9">
            <w:pPr>
              <w:spacing w:before="0"/>
              <w:rPr>
                <w:rFonts w:cstheme="minorHAnsi"/>
                <w:szCs w:val="24"/>
              </w:rPr>
            </w:pPr>
            <w:r w:rsidRPr="00BB385B">
              <w:rPr>
                <w:rFonts w:cstheme="minorHAnsi"/>
                <w:b/>
                <w:szCs w:val="24"/>
              </w:rPr>
              <w:t>Documento 86</w:t>
            </w:r>
            <w:r w:rsidR="00262FF4" w:rsidRPr="00BB385B">
              <w:rPr>
                <w:rFonts w:cstheme="minorHAnsi"/>
                <w:b/>
                <w:szCs w:val="24"/>
              </w:rPr>
              <w:t>-S</w:t>
            </w:r>
          </w:p>
        </w:tc>
      </w:tr>
      <w:tr w:rsidR="00255FA1" w:rsidRPr="00BB385B" w14:paraId="465E7620" w14:textId="77777777" w:rsidTr="005A329F">
        <w:trPr>
          <w:cantSplit/>
          <w:jc w:val="center"/>
        </w:trPr>
        <w:tc>
          <w:tcPr>
            <w:tcW w:w="7229" w:type="dxa"/>
          </w:tcPr>
          <w:p w14:paraId="1FB66850" w14:textId="77777777" w:rsidR="00255FA1" w:rsidRPr="00BB385B" w:rsidRDefault="00255FA1" w:rsidP="003B5DC9">
            <w:pPr>
              <w:spacing w:before="0"/>
              <w:rPr>
                <w:rFonts w:cstheme="minorHAnsi"/>
                <w:b/>
                <w:szCs w:val="24"/>
              </w:rPr>
            </w:pPr>
          </w:p>
        </w:tc>
        <w:tc>
          <w:tcPr>
            <w:tcW w:w="2802" w:type="dxa"/>
          </w:tcPr>
          <w:p w14:paraId="33CC7983" w14:textId="77777777" w:rsidR="00255FA1" w:rsidRPr="00BB385B" w:rsidRDefault="00255FA1" w:rsidP="003B5DC9">
            <w:pPr>
              <w:spacing w:before="0"/>
              <w:rPr>
                <w:rFonts w:cstheme="minorHAnsi"/>
                <w:b/>
                <w:szCs w:val="24"/>
              </w:rPr>
            </w:pPr>
            <w:r w:rsidRPr="00BB385B">
              <w:rPr>
                <w:rFonts w:cstheme="minorHAnsi"/>
                <w:b/>
                <w:szCs w:val="24"/>
              </w:rPr>
              <w:t>19 de octubre de 2026</w:t>
            </w:r>
          </w:p>
        </w:tc>
      </w:tr>
      <w:tr w:rsidR="00255FA1" w:rsidRPr="00BB385B" w14:paraId="4B2D2D29" w14:textId="77777777" w:rsidTr="005A329F">
        <w:trPr>
          <w:cantSplit/>
          <w:jc w:val="center"/>
        </w:trPr>
        <w:tc>
          <w:tcPr>
            <w:tcW w:w="7229" w:type="dxa"/>
          </w:tcPr>
          <w:p w14:paraId="30E673CE" w14:textId="77777777" w:rsidR="00255FA1" w:rsidRPr="00BB385B" w:rsidRDefault="00255FA1" w:rsidP="003B5DC9">
            <w:pPr>
              <w:spacing w:before="0"/>
              <w:rPr>
                <w:rFonts w:cstheme="minorHAnsi"/>
                <w:b/>
                <w:smallCaps/>
                <w:szCs w:val="24"/>
              </w:rPr>
            </w:pPr>
          </w:p>
        </w:tc>
        <w:tc>
          <w:tcPr>
            <w:tcW w:w="2802" w:type="dxa"/>
          </w:tcPr>
          <w:p w14:paraId="13F578EF" w14:textId="77777777" w:rsidR="00255FA1" w:rsidRPr="00BB385B" w:rsidRDefault="00255FA1" w:rsidP="003B5DC9">
            <w:pPr>
              <w:spacing w:before="0"/>
              <w:rPr>
                <w:rFonts w:cstheme="minorHAnsi"/>
                <w:b/>
                <w:szCs w:val="24"/>
              </w:rPr>
            </w:pPr>
            <w:r w:rsidRPr="00BB385B">
              <w:rPr>
                <w:rFonts w:cstheme="minorHAnsi"/>
                <w:b/>
                <w:szCs w:val="24"/>
              </w:rPr>
              <w:t>Original: inglés</w:t>
            </w:r>
          </w:p>
        </w:tc>
      </w:tr>
      <w:tr w:rsidR="00255FA1" w:rsidRPr="00BB385B" w14:paraId="347AAFBB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1F2A4A8C" w14:textId="77777777" w:rsidR="00255FA1" w:rsidRPr="00BB385B" w:rsidRDefault="00255FA1" w:rsidP="003B5DC9">
            <w:pPr>
              <w:spacing w:before="0" w:line="240" w:lineRule="atLeast"/>
              <w:rPr>
                <w:rFonts w:cstheme="minorHAnsi"/>
                <w:b/>
                <w:szCs w:val="24"/>
              </w:rPr>
            </w:pPr>
          </w:p>
        </w:tc>
      </w:tr>
      <w:tr w:rsidR="00255FA1" w:rsidRPr="00BB385B" w14:paraId="6208AE95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61B46EBA" w14:textId="77777777" w:rsidR="00255FA1" w:rsidRPr="00BB385B" w:rsidRDefault="00255FA1" w:rsidP="003B5DC9">
            <w:pPr>
              <w:pStyle w:val="Source"/>
            </w:pPr>
            <w:bookmarkStart w:id="2" w:name="dsource" w:colFirst="0" w:colLast="0"/>
            <w:bookmarkEnd w:id="1"/>
            <w:r w:rsidRPr="00BB385B">
              <w:t>China (República Popular de)/Federación de Rusia</w:t>
            </w:r>
          </w:p>
        </w:tc>
      </w:tr>
      <w:tr w:rsidR="00255FA1" w:rsidRPr="00BB385B" w14:paraId="67773E84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021E823E" w14:textId="165C863B" w:rsidR="00255FA1" w:rsidRPr="00BB385B" w:rsidRDefault="002070C7" w:rsidP="003B5DC9">
            <w:pPr>
              <w:pStyle w:val="Title1"/>
            </w:pPr>
            <w:bookmarkStart w:id="3" w:name="dtitle1" w:colFirst="0" w:colLast="0"/>
            <w:bookmarkEnd w:id="2"/>
            <w:r w:rsidRPr="00BB385B">
              <w:t>propuestas para los trabajos de la conferencia</w:t>
            </w:r>
          </w:p>
        </w:tc>
      </w:tr>
      <w:tr w:rsidR="00255FA1" w:rsidRPr="00BB385B" w14:paraId="58B5985D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64A63E6C" w14:textId="77777777" w:rsidR="00255FA1" w:rsidRPr="00BB385B" w:rsidRDefault="00255FA1" w:rsidP="003B5DC9">
            <w:pPr>
              <w:pStyle w:val="Title2"/>
            </w:pPr>
            <w:bookmarkStart w:id="4" w:name="dtitle2" w:colFirst="0" w:colLast="0"/>
            <w:bookmarkEnd w:id="3"/>
          </w:p>
        </w:tc>
      </w:tr>
      <w:tr w:rsidR="00255FA1" w:rsidRPr="00BB385B" w14:paraId="0F4B343D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49A30D8A" w14:textId="77777777" w:rsidR="00255FA1" w:rsidRPr="00BB385B" w:rsidRDefault="00255FA1" w:rsidP="003B5DC9">
            <w:pPr>
              <w:pStyle w:val="Agendaitem"/>
            </w:pPr>
            <w:bookmarkStart w:id="5" w:name="dtitle3" w:colFirst="0" w:colLast="0"/>
            <w:bookmarkEnd w:id="4"/>
          </w:p>
        </w:tc>
      </w:tr>
      <w:bookmarkEnd w:id="5"/>
    </w:tbl>
    <w:p w14:paraId="531FB81D" w14:textId="77777777" w:rsidR="00504FD4" w:rsidRPr="00BB385B" w:rsidRDefault="00504FD4" w:rsidP="00930E84"/>
    <w:p w14:paraId="02E713F8" w14:textId="77777777" w:rsidR="00255FA1" w:rsidRPr="00BB385B" w:rsidRDefault="00255FA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rStyle w:val="PageNumber"/>
        </w:rPr>
      </w:pPr>
      <w:r w:rsidRPr="00BB385B">
        <w:rPr>
          <w:rStyle w:val="PageNumber"/>
        </w:rPr>
        <w:br w:type="page"/>
      </w:r>
    </w:p>
    <w:p w14:paraId="75F5C5FD" w14:textId="77777777" w:rsidR="001E19DD" w:rsidRPr="00BB385B" w:rsidRDefault="00B61E2F">
      <w:pPr>
        <w:pStyle w:val="Proposal"/>
        <w:rPr>
          <w:lang w:val="es-ES_tradnl"/>
        </w:rPr>
      </w:pPr>
      <w:r w:rsidRPr="00BB385B">
        <w:rPr>
          <w:lang w:val="es-ES_tradnl"/>
        </w:rPr>
        <w:lastRenderedPageBreak/>
        <w:t>ADD</w:t>
      </w:r>
      <w:r w:rsidRPr="00BB385B">
        <w:rPr>
          <w:lang w:val="es-ES_tradnl"/>
        </w:rPr>
        <w:tab/>
        <w:t>CHN/RUS/86/1</w:t>
      </w:r>
    </w:p>
    <w:p w14:paraId="70B98441" w14:textId="77777777" w:rsidR="001E19DD" w:rsidRPr="00BB385B" w:rsidRDefault="00B61E2F">
      <w:pPr>
        <w:pStyle w:val="ResNo"/>
      </w:pPr>
      <w:r w:rsidRPr="00BB385B">
        <w:t>Proyecto de nueva Resolución [CHN/RUS-1]</w:t>
      </w:r>
    </w:p>
    <w:p w14:paraId="5805A3A0" w14:textId="7793D82B" w:rsidR="00C71C90" w:rsidRPr="00BB385B" w:rsidRDefault="00C71C90" w:rsidP="008E0C1A">
      <w:pPr>
        <w:pStyle w:val="Restitle"/>
      </w:pPr>
      <w:r w:rsidRPr="00BB385B">
        <w:t>Promoción de la utilización racional, eficiente, equitativa y sostenible de las frecuencias radioeléctricas en la exploración, el desarrollo y la utilización de la</w:t>
      </w:r>
      <w:r w:rsidR="008E0C1A" w:rsidRPr="00BB385B">
        <w:t> </w:t>
      </w:r>
      <w:r w:rsidRPr="00BB385B">
        <w:t>Luna</w:t>
      </w:r>
    </w:p>
    <w:p w14:paraId="6B63154D" w14:textId="77777777" w:rsidR="00C71C90" w:rsidRPr="00BB385B" w:rsidRDefault="00C71C90" w:rsidP="008E0C1A">
      <w:pPr>
        <w:pStyle w:val="Normalaftertitle"/>
        <w:rPr>
          <w:rFonts w:eastAsia="SimSun"/>
          <w:iCs/>
        </w:rPr>
      </w:pPr>
      <w:r w:rsidRPr="00BB385B">
        <w:rPr>
          <w:rFonts w:eastAsia="SimSun"/>
        </w:rPr>
        <w:t>La Conferencia de Plenipotenciarios de la Unión Internacional de Telecomunicaciones (Doha, 2026)</w:t>
      </w:r>
    </w:p>
    <w:p w14:paraId="5335258E" w14:textId="77777777" w:rsidR="00C71C90" w:rsidRPr="00BB385B" w:rsidRDefault="00C71C90" w:rsidP="008E0C1A">
      <w:pPr>
        <w:pStyle w:val="Call"/>
        <w:rPr>
          <w:rFonts w:eastAsia="KaiTi"/>
        </w:rPr>
      </w:pPr>
      <w:r w:rsidRPr="00BB385B">
        <w:t>recordando</w:t>
      </w:r>
    </w:p>
    <w:p w14:paraId="38EE98B8" w14:textId="5E2A25DC" w:rsidR="00C71C90" w:rsidRPr="00BB385B" w:rsidRDefault="00C71C90" w:rsidP="00C71C90">
      <w:bookmarkStart w:id="6" w:name="OLE_LINK7"/>
      <w:bookmarkStart w:id="7" w:name="OLE_LINK9"/>
      <w:r w:rsidRPr="00BB385B">
        <w:rPr>
          <w:i/>
          <w:iCs/>
        </w:rPr>
        <w:t>a)</w:t>
      </w:r>
      <w:r w:rsidRPr="00BB385B">
        <w:tab/>
        <w:t xml:space="preserve">las normas básicas del derecho internacional establecidas en el </w:t>
      </w:r>
      <w:r w:rsidRPr="00BB385B">
        <w:rPr>
          <w:i/>
          <w:iCs/>
        </w:rPr>
        <w:t xml:space="preserve">Tratado sobre los principios </w:t>
      </w:r>
      <w:r w:rsidR="00FF7790" w:rsidRPr="00BB385B">
        <w:rPr>
          <w:i/>
          <w:iCs/>
        </w:rPr>
        <w:t xml:space="preserve">que deben regir las actividades de los Estados en la explotación y utilización del </w:t>
      </w:r>
      <w:r w:rsidR="00250AFF" w:rsidRPr="00BB385B">
        <w:rPr>
          <w:i/>
          <w:iCs/>
        </w:rPr>
        <w:t>e</w:t>
      </w:r>
      <w:r w:rsidR="00FF7790" w:rsidRPr="00BB385B">
        <w:rPr>
          <w:i/>
          <w:iCs/>
        </w:rPr>
        <w:t>spacio ultraterrestre, incluso la Luna</w:t>
      </w:r>
      <w:r w:rsidR="00250AFF" w:rsidRPr="00BB385B">
        <w:rPr>
          <w:i/>
          <w:iCs/>
        </w:rPr>
        <w:t xml:space="preserve"> y otros cuerpos celestes</w:t>
      </w:r>
      <w:r w:rsidRPr="00BB385B">
        <w:t>, a saber, la utilización pacífica del espacio ultraterrestre, la no apropiación de cuerpos celestes y la igualdad de acceso de todos los Estados a las actividades espaciales;</w:t>
      </w:r>
      <w:bookmarkEnd w:id="6"/>
      <w:bookmarkEnd w:id="7"/>
    </w:p>
    <w:p w14:paraId="3465A668" w14:textId="1CDE1BDE" w:rsidR="00C71C90" w:rsidRPr="00BB385B" w:rsidRDefault="00C71C90" w:rsidP="005C4594">
      <w:bookmarkStart w:id="8" w:name="OLE_LINK8"/>
      <w:r w:rsidRPr="00BB385B">
        <w:rPr>
          <w:i/>
          <w:iCs/>
        </w:rPr>
        <w:t>b)</w:t>
      </w:r>
      <w:r w:rsidRPr="00BB385B">
        <w:tab/>
        <w:t xml:space="preserve">los mandatos estatutarios conferidos a la Unión Internacional de Telecomunicaciones (UIT) en virtud de su </w:t>
      </w:r>
      <w:r w:rsidRPr="00BB385B">
        <w:rPr>
          <w:i/>
          <w:iCs/>
        </w:rPr>
        <w:t>Constitución (CS), Convenio (CV) y Reglamento de Radiocomunicaciones</w:t>
      </w:r>
      <w:r w:rsidRPr="00BB385B">
        <w:t>, de gestionar los recursos mundiales del espectro de radiofrecuencias y las órbitas de satélites, y de elaborar normas de radiocomunicaciones;</w:t>
      </w:r>
      <w:bookmarkStart w:id="9" w:name="OLE_LINK28"/>
      <w:bookmarkEnd w:id="8"/>
      <w:bookmarkEnd w:id="9"/>
    </w:p>
    <w:p w14:paraId="3AADBC46" w14:textId="77777777" w:rsidR="00C71C90" w:rsidRPr="00BB385B" w:rsidRDefault="00C71C90" w:rsidP="00C71C90">
      <w:r w:rsidRPr="00BB385B">
        <w:rPr>
          <w:i/>
          <w:iCs/>
        </w:rPr>
        <w:t>c)</w:t>
      </w:r>
      <w:r w:rsidRPr="00BB385B">
        <w:tab/>
        <w:t>una sucesión de Resoluciones adoptadas recurrentemente por las Conferencias de Plenipotenciarios de la UIT y las Conferencias Mundiales de Radiocomunicaciones, que abordan la atribución equitativa de espectro para los servicios espaciales y el apoyo a la creación de capacidades para las comunicaciones espaciales en los países en desarrollo,</w:t>
      </w:r>
    </w:p>
    <w:p w14:paraId="361C90C3" w14:textId="77777777" w:rsidR="00C71C90" w:rsidRPr="00BB385B" w:rsidRDefault="00C71C90" w:rsidP="00C71C90">
      <w:pPr>
        <w:pStyle w:val="Call"/>
      </w:pPr>
      <w:bookmarkStart w:id="10" w:name="OLE_LINK1"/>
      <w:r w:rsidRPr="00BB385B">
        <w:t>reconociendo</w:t>
      </w:r>
    </w:p>
    <w:p w14:paraId="00EA5FB0" w14:textId="77777777" w:rsidR="00C71C90" w:rsidRPr="00BB385B" w:rsidRDefault="00C71C90" w:rsidP="00C71C90">
      <w:r w:rsidRPr="00BB385B">
        <w:rPr>
          <w:i/>
          <w:iCs/>
        </w:rPr>
        <w:t>a)</w:t>
      </w:r>
      <w:r w:rsidRPr="00BB385B">
        <w:tab/>
        <w:t>que todos los países tengan los mismos derechos para explorar y utilizar pacíficamente la Luna y que se desplieguen los esfuerzos pertinentes para garantizar una participación equitativa, fortalecer la cooperación internacional, defender el principio de consultas amplias, contribución conjunta y beneficios compartidos, y tener en cuenta las demandas legítimas de las potencias espaciales tradicionales, las naciones espaciales emergentes y los países en desarrollo;</w:t>
      </w:r>
    </w:p>
    <w:p w14:paraId="3A65840E" w14:textId="0FDFCB53" w:rsidR="00C71C90" w:rsidRPr="00BB385B" w:rsidRDefault="00C71C90" w:rsidP="00C71C90">
      <w:bookmarkStart w:id="11" w:name="OLE_LINK5"/>
      <w:bookmarkStart w:id="12" w:name="OLE_LINK6"/>
      <w:bookmarkEnd w:id="10"/>
      <w:r w:rsidRPr="00BB385B">
        <w:rPr>
          <w:i/>
          <w:iCs/>
        </w:rPr>
        <w:t>b)</w:t>
      </w:r>
      <w:r w:rsidRPr="00BB385B">
        <w:tab/>
        <w:t>que las frecuencias radioeléctricas atribuidas a la exploración lunar sirven como recursos estratégicos fundamentales para las comunicaciones lunares, la navegación, la teledetección, la telemedida, el seguimiento y el mando, la exploración científica, así como la futura explotación de los recursos y la explotación de infraestructuras;</w:t>
      </w:r>
      <w:bookmarkEnd w:id="11"/>
    </w:p>
    <w:p w14:paraId="6387F1DD" w14:textId="77777777" w:rsidR="00C71C90" w:rsidRPr="00BB385B" w:rsidRDefault="00C71C90" w:rsidP="00C71C90">
      <w:r w:rsidRPr="00BB385B">
        <w:rPr>
          <w:i/>
          <w:iCs/>
        </w:rPr>
        <w:t>c)</w:t>
      </w:r>
      <w:r w:rsidRPr="00BB385B">
        <w:tab/>
        <w:t>que la gestión del espectro para las actividades lunares debe respetar el principio de precaución, la equidad intergeneracional y la sostenibilidad a largo plazo, a fin de fomentar el desarrollo seguro, ordenado y sostenible de las actividades lunares;</w:t>
      </w:r>
    </w:p>
    <w:bookmarkEnd w:id="12"/>
    <w:p w14:paraId="71569C59" w14:textId="5E7B5300" w:rsidR="00C71C90" w:rsidRPr="00BB385B" w:rsidRDefault="00C71C90" w:rsidP="00C71C90">
      <w:r w:rsidRPr="00BB385B">
        <w:rPr>
          <w:i/>
          <w:iCs/>
        </w:rPr>
        <w:t>d)</w:t>
      </w:r>
      <w:r w:rsidRPr="00BB385B">
        <w:tab/>
      </w:r>
      <w:r w:rsidR="00150691" w:rsidRPr="00BB385B">
        <w:t>que la Unión Internacional de Telecomunicaciones</w:t>
      </w:r>
      <w:r w:rsidR="00784A3E" w:rsidRPr="00BB385B">
        <w:t xml:space="preserve">, </w:t>
      </w:r>
      <w:r w:rsidRPr="00BB385B">
        <w:t>en su calidad de organismo especializado de las Naciones Unidas, tiene por ley el mandato de garantizar la utilización racional, eficiente, equitativa, no discriminatoria y sostenible de las frecuencias radioeléctricas,</w:t>
      </w:r>
      <w:bookmarkStart w:id="13" w:name="OLE_LINK27"/>
      <w:bookmarkEnd w:id="13"/>
    </w:p>
    <w:p w14:paraId="22B90635" w14:textId="77777777" w:rsidR="00C71C90" w:rsidRPr="00BB385B" w:rsidRDefault="00C71C90" w:rsidP="00C71C90">
      <w:pPr>
        <w:pStyle w:val="Call"/>
      </w:pPr>
      <w:r w:rsidRPr="00BB385B">
        <w:lastRenderedPageBreak/>
        <w:t>observando</w:t>
      </w:r>
    </w:p>
    <w:p w14:paraId="2F2FED1B" w14:textId="77777777" w:rsidR="00C71C90" w:rsidRPr="00BB385B" w:rsidRDefault="00C71C90" w:rsidP="00C71C90">
      <w:r w:rsidRPr="00BB385B">
        <w:rPr>
          <w:i/>
          <w:iCs/>
        </w:rPr>
        <w:t>a)</w:t>
      </w:r>
      <w:r w:rsidRPr="00BB385B">
        <w:tab/>
        <w:t>que la Comisión de las Naciones Unidas sobre la Utilización del Espacio Ultraterrestre con Fines Pacíficos (COPUOS) y otros foros internacionales pertinentes prestan cada vez más atención a la reglamentación, el funcionamiento seguro, la transparencia y la sostenibilidad a largo plazo de las actividades lunares;</w:t>
      </w:r>
    </w:p>
    <w:p w14:paraId="5CA7F415" w14:textId="7DF91BFE" w:rsidR="00C71C90" w:rsidRPr="00BB385B" w:rsidRDefault="00C71C90" w:rsidP="00C71C90">
      <w:r w:rsidRPr="00BB385B">
        <w:rPr>
          <w:i/>
          <w:iCs/>
        </w:rPr>
        <w:t>b)</w:t>
      </w:r>
      <w:r w:rsidRPr="00BB385B">
        <w:tab/>
        <w:t>que la Conferencia Mundial de Radiocomunicaciones de 2023 (CMR-23) ha iniciado estudios sobre cuestiones relacionadas con el espectro lunar y ha incluido puntos pertinentes en órdenes del día de conferencias posteriores, sentando las bases para el establecimiento del sistema de reglamentación del espectro lunar;</w:t>
      </w:r>
    </w:p>
    <w:p w14:paraId="324BAA36" w14:textId="77777777" w:rsidR="00C71C90" w:rsidRPr="00BB385B" w:rsidRDefault="00C71C90" w:rsidP="00C71C90">
      <w:r w:rsidRPr="00BB385B">
        <w:rPr>
          <w:i/>
          <w:iCs/>
        </w:rPr>
        <w:t>c)</w:t>
      </w:r>
      <w:r w:rsidRPr="00BB385B">
        <w:tab/>
        <w:t>que el UIT-R ha llevado a cabo investigaciones técnicas sobre la propagación radioeléctrica lunar, los servicios de investigación espacial, la compatibilidad y compartición de frecuencias, y ha compilado los informes y recomendaciones pertinentes;</w:t>
      </w:r>
    </w:p>
    <w:p w14:paraId="1BCDB8A1" w14:textId="77777777" w:rsidR="00C71C90" w:rsidRPr="00BB385B" w:rsidRDefault="00C71C90" w:rsidP="00C71C90">
      <w:bookmarkStart w:id="14" w:name="OLE_LINK4"/>
      <w:r w:rsidRPr="00BB385B">
        <w:rPr>
          <w:i/>
          <w:iCs/>
        </w:rPr>
        <w:t>d)</w:t>
      </w:r>
      <w:r w:rsidRPr="00BB385B">
        <w:tab/>
        <w:t xml:space="preserve">que múltiples administraciones nacionales de telecomunicaciones de todo el mundo ya han presentado notificaciones de frecuencias para estaciones espaciales lunares y constelaciones de satélites lunares, que es necesario seguir mejorando el </w:t>
      </w:r>
      <w:r w:rsidRPr="00BB385B">
        <w:rPr>
          <w:i/>
          <w:iCs/>
        </w:rPr>
        <w:t>Reglamento de Radiocomunicaciones</w:t>
      </w:r>
      <w:r w:rsidRPr="00BB385B">
        <w:t xml:space="preserve"> vigente en lo que respecta a la atribución de frecuencias lunares especializadas, los procedimientos de coordinación, los criterios de protección y los mecanismos de registro y notificación para satisfacer la demanda de las futuras misiones lunares a gran escala,</w:t>
      </w:r>
      <w:bookmarkEnd w:id="14"/>
    </w:p>
    <w:p w14:paraId="3E30B841" w14:textId="77777777" w:rsidR="00C71C90" w:rsidRPr="00BB385B" w:rsidRDefault="00C71C90" w:rsidP="00C71C90">
      <w:pPr>
        <w:pStyle w:val="Call"/>
      </w:pPr>
      <w:r w:rsidRPr="00BB385B">
        <w:t>considerando</w:t>
      </w:r>
    </w:p>
    <w:p w14:paraId="6E195F31" w14:textId="77777777" w:rsidR="00C71C90" w:rsidRPr="00BB385B" w:rsidRDefault="00C71C90" w:rsidP="00C71C90">
      <w:r w:rsidRPr="00BB385B">
        <w:rPr>
          <w:i/>
          <w:iCs/>
        </w:rPr>
        <w:t>a)</w:t>
      </w:r>
      <w:r w:rsidRPr="00BB385B">
        <w:tab/>
        <w:t>que todo el proceso de gestión del espectro, que abarca la atribución, la coordinación, el registro, la notificación y la comprobación técnica, sea abierto y transparente, y que los procedimientos de cumplimiento se racionalicen para mejorar la eficiencia de la gestión;</w:t>
      </w:r>
    </w:p>
    <w:p w14:paraId="5E65C2E0" w14:textId="77777777" w:rsidR="00C71C90" w:rsidRPr="00BB385B" w:rsidRDefault="00C71C90" w:rsidP="00C71C90">
      <w:r w:rsidRPr="00BB385B">
        <w:rPr>
          <w:i/>
          <w:iCs/>
        </w:rPr>
        <w:t>b)</w:t>
      </w:r>
      <w:r w:rsidRPr="00BB385B">
        <w:tab/>
        <w:t>que se refuerce la asistencia técnica y la creación de capacidades para los países en desarrollo a fin de garantizar su participación equitativa en la exploración lunar;</w:t>
      </w:r>
    </w:p>
    <w:p w14:paraId="00F1F0C2" w14:textId="77777777" w:rsidR="00C71C90" w:rsidRPr="00BB385B" w:rsidRDefault="00C71C90" w:rsidP="00C71C90">
      <w:r w:rsidRPr="00BB385B">
        <w:rPr>
          <w:i/>
          <w:iCs/>
        </w:rPr>
        <w:t>c)</w:t>
      </w:r>
      <w:r w:rsidRPr="00BB385B">
        <w:tab/>
        <w:t>que la mejora de la coordinación intersectorial e internacional facilite la formulación de un marco unificado, compatible e interoperable para la gobernanza del espectro lunar,</w:t>
      </w:r>
    </w:p>
    <w:p w14:paraId="5CADECBC" w14:textId="77777777" w:rsidR="00C71C90" w:rsidRPr="00BB385B" w:rsidRDefault="00C71C90" w:rsidP="00C71C90">
      <w:pPr>
        <w:pStyle w:val="Call"/>
      </w:pPr>
      <w:r w:rsidRPr="00BB385B">
        <w:t>resuelve</w:t>
      </w:r>
    </w:p>
    <w:p w14:paraId="175FD339" w14:textId="77777777" w:rsidR="00C71C90" w:rsidRPr="00BB385B" w:rsidRDefault="00C71C90" w:rsidP="00C71C90">
      <w:r w:rsidRPr="00BB385B">
        <w:t>1</w:t>
      </w:r>
      <w:r w:rsidRPr="00BB385B">
        <w:tab/>
        <w:t>hacer hincapié en que la utilización de frecuencias radioeléctricas en la Luna y sus alrededores se ajustará a los principios generales de racionalidad, eficiencia, equidad, no discriminación, sostenibilidad y cooperación internacional;</w:t>
      </w:r>
    </w:p>
    <w:p w14:paraId="5236F85D" w14:textId="77777777" w:rsidR="00C71C90" w:rsidRPr="00BB385B" w:rsidRDefault="00C71C90" w:rsidP="00C71C90">
      <w:r w:rsidRPr="00BB385B">
        <w:t>2</w:t>
      </w:r>
      <w:r w:rsidRPr="00BB385B">
        <w:tab/>
        <w:t>incorporar las demandas de espectro generadas por la exploración, el desarrollo y la utilización lunar en el sistema reglamentario a largo plazo de la UIT y avanzar en el establecimiento de un régimen transparente, estable y unificado de gestión del espectro;</w:t>
      </w:r>
    </w:p>
    <w:p w14:paraId="21E2ECA4" w14:textId="77777777" w:rsidR="00C71C90" w:rsidRPr="00BB385B" w:rsidRDefault="00C71C90" w:rsidP="00C71C90">
      <w:r w:rsidRPr="00BB385B">
        <w:t>3</w:t>
      </w:r>
      <w:r w:rsidRPr="00BB385B">
        <w:tab/>
        <w:t>adoptar un enfoque equitativo e inclusivo en la gestión del espectro y a garantizar el acceso no discriminatorio a los recursos de frecuencias para todos los países y operadores de misión,</w:t>
      </w:r>
    </w:p>
    <w:p w14:paraId="199D15CA" w14:textId="77777777" w:rsidR="00C71C90" w:rsidRPr="00BB385B" w:rsidRDefault="00C71C90" w:rsidP="00C71C90">
      <w:pPr>
        <w:pStyle w:val="Call"/>
      </w:pPr>
      <w:r w:rsidRPr="00BB385B">
        <w:t>alienta a los Estados Miembros y Miembros de Sector</w:t>
      </w:r>
    </w:p>
    <w:p w14:paraId="3A59A16D" w14:textId="77777777" w:rsidR="00C71C90" w:rsidRPr="00BB385B" w:rsidRDefault="00C71C90" w:rsidP="00C71C90">
      <w:r w:rsidRPr="00BB385B">
        <w:t>1</w:t>
      </w:r>
      <w:r w:rsidRPr="00BB385B">
        <w:tab/>
        <w:t>a participar activamente en los estudios del UIT-R sobre atribución de frecuencias lunares, normas técnicas, mecanismos de coordinación, protección contra interferencias y condiciones de compartición de frecuencias, y a compartir oportunamente datos pertinentes y experiencias prácticas;</w:t>
      </w:r>
    </w:p>
    <w:p w14:paraId="1B92B189" w14:textId="56054610" w:rsidR="00C71C90" w:rsidRPr="00BB385B" w:rsidRDefault="00C71C90" w:rsidP="00C71C90">
      <w:r w:rsidRPr="00BB385B">
        <w:lastRenderedPageBreak/>
        <w:t>2</w:t>
      </w:r>
      <w:r w:rsidRPr="00BB385B">
        <w:tab/>
        <w:t xml:space="preserve">a impulsar la </w:t>
      </w:r>
      <w:r w:rsidR="00784A3E" w:rsidRPr="00BB385B">
        <w:t>capacitación</w:t>
      </w:r>
      <w:r w:rsidRPr="00BB385B">
        <w:t xml:space="preserve"> en materia de espectro para los países en desarrollo dedicados a la exploración lunar y a profundizar la cooperación en materia de intercambio técnico, intercambio de información y formación del personal;</w:t>
      </w:r>
    </w:p>
    <w:p w14:paraId="65B18D90" w14:textId="77777777" w:rsidR="00C71C90" w:rsidRPr="00BB385B" w:rsidRDefault="00C71C90" w:rsidP="00C71C90">
      <w:r w:rsidRPr="00BB385B">
        <w:t>3</w:t>
      </w:r>
      <w:r w:rsidRPr="00BB385B">
        <w:tab/>
        <w:t>a estimular la investigación sobre la previsión de la demanda de espectro lunar, los modelos de compartición y las tecnologías innovadoras del espectro para consolidar las bases de una gestión sostenible del espectro.</w:t>
      </w:r>
    </w:p>
    <w:p w14:paraId="6790C160" w14:textId="77777777" w:rsidR="00C71C90" w:rsidRPr="00BB385B" w:rsidRDefault="00C71C90" w:rsidP="00C71C90">
      <w:pPr>
        <w:pStyle w:val="Reasons"/>
      </w:pPr>
    </w:p>
    <w:p w14:paraId="37576794" w14:textId="77777777" w:rsidR="00C71C90" w:rsidRPr="00BB385B" w:rsidRDefault="00C71C90" w:rsidP="00C71C90">
      <w:pPr>
        <w:jc w:val="center"/>
      </w:pPr>
      <w:r w:rsidRPr="00BB385B">
        <w:t>______________</w:t>
      </w:r>
    </w:p>
    <w:sectPr w:rsidR="00C71C90" w:rsidRPr="00BB385B" w:rsidSect="00A70E95">
      <w:headerReference w:type="default" r:id="rId12"/>
      <w:footerReference w:type="first" r:id="rId13"/>
      <w:type w:val="continuous"/>
      <w:pgSz w:w="11913" w:h="16834"/>
      <w:pgMar w:top="1418" w:right="1134" w:bottom="1418" w:left="1134" w:header="720" w:footer="720" w:gutter="0"/>
      <w:paperSrc w:first="15" w:other="15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D">
      <wne:macro wne:macroName="TEMPLATEPROJECT.MACROS.POOLSETREASONS"/>
    </wne:keymap>
    <wne:keymap wne:kcmPrimary="0350">
      <wne:macro wne:macroName="TEMPLATEPROJECT.MACROS.POOLPVSTYLES"/>
    </wne:keymap>
    <wne:keymap wne:kcmPrimary="0353">
      <wne:acd wne:acdName="acd1"/>
    </wne:keymap>
  </wne:keymaps>
  <wne:toolbars>
    <wne:acdManifest>
      <wne:acdEntry wne:acdName="acd0"/>
      <wne:acdEntry wne:acdName="acd1"/>
    </wne:acdManifest>
    <wne:toolbarData r:id="rId1"/>
  </wne:toolbars>
  <wne:acds>
    <wne:acd wne:acdName="acd0" wne:fciIndexBasedOn="0065"/>
    <wne:acd wne:argValue="AgBOAG8AcgBtAGEAbAAgAHAAdgA=" wne:acdName="acd1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566FA5" w14:textId="77777777" w:rsidR="000A42A8" w:rsidRDefault="000A42A8">
      <w:r>
        <w:separator/>
      </w:r>
    </w:p>
  </w:endnote>
  <w:endnote w:type="continuationSeparator" w:id="0">
    <w:p w14:paraId="645594A2" w14:textId="77777777" w:rsidR="000A42A8" w:rsidRDefault="000A4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aiTi">
    <w:altName w:val="KaiTi"/>
    <w:charset w:val="86"/>
    <w:family w:val="modern"/>
    <w:pitch w:val="fixed"/>
    <w:sig w:usb0="800002BF" w:usb1="38CF7CFA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BBF14" w14:textId="77777777" w:rsidR="00F23399" w:rsidRPr="003F2E54" w:rsidRDefault="00F23399" w:rsidP="00F23399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2E6AC9" w14:textId="77777777" w:rsidR="000A42A8" w:rsidRDefault="000A42A8">
      <w:r>
        <w:t>____________________</w:t>
      </w:r>
    </w:p>
  </w:footnote>
  <w:footnote w:type="continuationSeparator" w:id="0">
    <w:p w14:paraId="3D7FFFB7" w14:textId="77777777" w:rsidR="000A42A8" w:rsidRDefault="000A42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2ADD8" w14:textId="77777777" w:rsidR="00255FA1" w:rsidRDefault="00255FA1" w:rsidP="00255FA1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30C52">
      <w:rPr>
        <w:noProof/>
      </w:rPr>
      <w:t>2</w:t>
    </w:r>
    <w:r>
      <w:fldChar w:fldCharType="end"/>
    </w:r>
  </w:p>
  <w:p w14:paraId="5FF3F6A2" w14:textId="77777777" w:rsidR="00255FA1" w:rsidRDefault="00255FA1" w:rsidP="00C43474">
    <w:pPr>
      <w:pStyle w:val="Header"/>
    </w:pPr>
    <w:r>
      <w:rPr>
        <w:lang w:val="en-US"/>
      </w:rPr>
      <w:t>PP</w:t>
    </w:r>
    <w:r w:rsidR="009D1BE0">
      <w:rPr>
        <w:lang w:val="en-US"/>
      </w:rPr>
      <w:t>2</w:t>
    </w:r>
    <w:r w:rsidR="009415B6">
      <w:rPr>
        <w:lang w:val="en-US"/>
      </w:rPr>
      <w:t>6</w:t>
    </w:r>
    <w:r>
      <w:t>/86-</w:t>
    </w:r>
    <w:r w:rsidRPr="00010B43">
      <w:t>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removeDateAndTime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8E0"/>
    <w:rsid w:val="0000188C"/>
    <w:rsid w:val="00043BBF"/>
    <w:rsid w:val="000507CA"/>
    <w:rsid w:val="00057402"/>
    <w:rsid w:val="000863AB"/>
    <w:rsid w:val="000A1523"/>
    <w:rsid w:val="000A42A8"/>
    <w:rsid w:val="000B1752"/>
    <w:rsid w:val="0010546D"/>
    <w:rsid w:val="00135F93"/>
    <w:rsid w:val="001375AE"/>
    <w:rsid w:val="00150691"/>
    <w:rsid w:val="001632E3"/>
    <w:rsid w:val="001D4983"/>
    <w:rsid w:val="001D6EC3"/>
    <w:rsid w:val="001D787B"/>
    <w:rsid w:val="001E19DD"/>
    <w:rsid w:val="001E3D06"/>
    <w:rsid w:val="001F0B24"/>
    <w:rsid w:val="002070C7"/>
    <w:rsid w:val="00225F6B"/>
    <w:rsid w:val="00237C17"/>
    <w:rsid w:val="00242376"/>
    <w:rsid w:val="00250AFF"/>
    <w:rsid w:val="00255FA1"/>
    <w:rsid w:val="00262FF4"/>
    <w:rsid w:val="00277985"/>
    <w:rsid w:val="002C6527"/>
    <w:rsid w:val="002E44FC"/>
    <w:rsid w:val="00351381"/>
    <w:rsid w:val="003537B5"/>
    <w:rsid w:val="003707E5"/>
    <w:rsid w:val="00375610"/>
    <w:rsid w:val="00391611"/>
    <w:rsid w:val="003B5DC9"/>
    <w:rsid w:val="003D0027"/>
    <w:rsid w:val="003D3033"/>
    <w:rsid w:val="003E6E73"/>
    <w:rsid w:val="00484B72"/>
    <w:rsid w:val="00485886"/>
    <w:rsid w:val="00491A25"/>
    <w:rsid w:val="004A346E"/>
    <w:rsid w:val="004A63A9"/>
    <w:rsid w:val="004B07DB"/>
    <w:rsid w:val="004B09D4"/>
    <w:rsid w:val="004B0BCB"/>
    <w:rsid w:val="004C27F5"/>
    <w:rsid w:val="004C39C6"/>
    <w:rsid w:val="004D23BA"/>
    <w:rsid w:val="004E069C"/>
    <w:rsid w:val="004E08E0"/>
    <w:rsid w:val="004E28FB"/>
    <w:rsid w:val="004F4BB1"/>
    <w:rsid w:val="00504FD4"/>
    <w:rsid w:val="00507662"/>
    <w:rsid w:val="00523448"/>
    <w:rsid w:val="005359B6"/>
    <w:rsid w:val="005470E8"/>
    <w:rsid w:val="00550FCF"/>
    <w:rsid w:val="00556958"/>
    <w:rsid w:val="00567ED5"/>
    <w:rsid w:val="005A329F"/>
    <w:rsid w:val="005B54E2"/>
    <w:rsid w:val="005C4594"/>
    <w:rsid w:val="005D1164"/>
    <w:rsid w:val="005D6488"/>
    <w:rsid w:val="005F6278"/>
    <w:rsid w:val="00601280"/>
    <w:rsid w:val="00641DBD"/>
    <w:rsid w:val="006426C0"/>
    <w:rsid w:val="006455D2"/>
    <w:rsid w:val="006537F3"/>
    <w:rsid w:val="006B5512"/>
    <w:rsid w:val="006C190D"/>
    <w:rsid w:val="00720686"/>
    <w:rsid w:val="00737EFF"/>
    <w:rsid w:val="00750806"/>
    <w:rsid w:val="00780430"/>
    <w:rsid w:val="00784A3E"/>
    <w:rsid w:val="007875D2"/>
    <w:rsid w:val="007D61E2"/>
    <w:rsid w:val="007F6EBC"/>
    <w:rsid w:val="00810D8B"/>
    <w:rsid w:val="008310AD"/>
    <w:rsid w:val="00882773"/>
    <w:rsid w:val="008B4706"/>
    <w:rsid w:val="008B6676"/>
    <w:rsid w:val="008C3FA8"/>
    <w:rsid w:val="008E0C1A"/>
    <w:rsid w:val="008E51C5"/>
    <w:rsid w:val="008F7109"/>
    <w:rsid w:val="009107B0"/>
    <w:rsid w:val="009220DE"/>
    <w:rsid w:val="00930E84"/>
    <w:rsid w:val="009333C2"/>
    <w:rsid w:val="009415B6"/>
    <w:rsid w:val="00956FE6"/>
    <w:rsid w:val="0099270D"/>
    <w:rsid w:val="0099551E"/>
    <w:rsid w:val="009A1A86"/>
    <w:rsid w:val="009D1BE0"/>
    <w:rsid w:val="009E0C42"/>
    <w:rsid w:val="00A50BE3"/>
    <w:rsid w:val="00A70E95"/>
    <w:rsid w:val="00AA1F73"/>
    <w:rsid w:val="00AB190D"/>
    <w:rsid w:val="00AB34CA"/>
    <w:rsid w:val="00AD400E"/>
    <w:rsid w:val="00AF0DC5"/>
    <w:rsid w:val="00B012B7"/>
    <w:rsid w:val="00B30C52"/>
    <w:rsid w:val="00B501AB"/>
    <w:rsid w:val="00B61E2F"/>
    <w:rsid w:val="00B73978"/>
    <w:rsid w:val="00B77C4D"/>
    <w:rsid w:val="00BB13FE"/>
    <w:rsid w:val="00BB385B"/>
    <w:rsid w:val="00BC7EE2"/>
    <w:rsid w:val="00BF32F2"/>
    <w:rsid w:val="00BF5475"/>
    <w:rsid w:val="00C20ED7"/>
    <w:rsid w:val="00C42D2D"/>
    <w:rsid w:val="00C43474"/>
    <w:rsid w:val="00C61A48"/>
    <w:rsid w:val="00C71C90"/>
    <w:rsid w:val="00C80F8F"/>
    <w:rsid w:val="00C84355"/>
    <w:rsid w:val="00C84A65"/>
    <w:rsid w:val="00CA3051"/>
    <w:rsid w:val="00CD20D9"/>
    <w:rsid w:val="00CD701A"/>
    <w:rsid w:val="00D05AAE"/>
    <w:rsid w:val="00D05E6B"/>
    <w:rsid w:val="00D066F8"/>
    <w:rsid w:val="00D254A6"/>
    <w:rsid w:val="00D42B55"/>
    <w:rsid w:val="00D57D70"/>
    <w:rsid w:val="00DE3E41"/>
    <w:rsid w:val="00E05D81"/>
    <w:rsid w:val="00E53DFC"/>
    <w:rsid w:val="00E66FC3"/>
    <w:rsid w:val="00E677DD"/>
    <w:rsid w:val="00E77F17"/>
    <w:rsid w:val="00E809D8"/>
    <w:rsid w:val="00E921EC"/>
    <w:rsid w:val="00EB23D0"/>
    <w:rsid w:val="00EC395A"/>
    <w:rsid w:val="00F01632"/>
    <w:rsid w:val="00F04858"/>
    <w:rsid w:val="00F13AA4"/>
    <w:rsid w:val="00F23399"/>
    <w:rsid w:val="00F3510D"/>
    <w:rsid w:val="00F43C07"/>
    <w:rsid w:val="00F43D44"/>
    <w:rsid w:val="00F80E6E"/>
    <w:rsid w:val="00FD19EF"/>
    <w:rsid w:val="00FD7A16"/>
    <w:rsid w:val="00FF7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7B491F"/>
  <w15:docId w15:val="{DA5BDCCB-471A-4152-B5D1-EC2E7BE35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63A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s-ES_tradnl" w:eastAsia="en-US"/>
    </w:rPr>
  </w:style>
  <w:style w:type="paragraph" w:styleId="Heading1">
    <w:name w:val="heading 1"/>
    <w:basedOn w:val="Normal"/>
    <w:next w:val="Normal"/>
    <w:qFormat/>
    <w:rsid w:val="004A63A9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B13FE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B13FE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70E95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70E95"/>
    <w:pPr>
      <w:outlineLvl w:val="4"/>
    </w:pPr>
  </w:style>
  <w:style w:type="paragraph" w:styleId="Heading6">
    <w:name w:val="heading 6"/>
    <w:basedOn w:val="Heading4"/>
    <w:next w:val="Normal"/>
    <w:qFormat/>
    <w:rsid w:val="00A70E95"/>
    <w:pPr>
      <w:outlineLvl w:val="5"/>
    </w:pPr>
  </w:style>
  <w:style w:type="paragraph" w:styleId="Heading7">
    <w:name w:val="heading 7"/>
    <w:basedOn w:val="Heading4"/>
    <w:next w:val="Normal"/>
    <w:qFormat/>
    <w:rsid w:val="00A70E95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70E95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70E95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A70E95"/>
    <w:rPr>
      <w:position w:val="6"/>
      <w:sz w:val="16"/>
    </w:rPr>
  </w:style>
  <w:style w:type="paragraph" w:styleId="FootnoteText">
    <w:name w:val="footnote text"/>
    <w:basedOn w:val="Normal"/>
    <w:rsid w:val="00A70E95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70E95"/>
    <w:pPr>
      <w:ind w:left="567"/>
    </w:pPr>
  </w:style>
  <w:style w:type="paragraph" w:customStyle="1" w:styleId="Tablelegend">
    <w:name w:val="Table_legend"/>
    <w:basedOn w:val="Tabletext"/>
    <w:rsid w:val="00A70E95"/>
    <w:pPr>
      <w:spacing w:before="120"/>
    </w:pPr>
  </w:style>
  <w:style w:type="paragraph" w:customStyle="1" w:styleId="Tabletext">
    <w:name w:val="Table_text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70E95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70E95"/>
    <w:pPr>
      <w:spacing w:before="86"/>
      <w:ind w:left="567" w:hanging="567"/>
    </w:pPr>
  </w:style>
  <w:style w:type="paragraph" w:customStyle="1" w:styleId="enumlev2">
    <w:name w:val="enumlev2"/>
    <w:basedOn w:val="enumlev1"/>
    <w:rsid w:val="00A70E95"/>
    <w:pPr>
      <w:ind w:left="1134"/>
    </w:pPr>
  </w:style>
  <w:style w:type="paragraph" w:customStyle="1" w:styleId="enumlev3">
    <w:name w:val="enumlev3"/>
    <w:basedOn w:val="enumlev2"/>
    <w:rsid w:val="00A70E95"/>
    <w:pPr>
      <w:ind w:left="1701"/>
    </w:pPr>
  </w:style>
  <w:style w:type="paragraph" w:customStyle="1" w:styleId="Tablehead">
    <w:name w:val="Table_head"/>
    <w:basedOn w:val="Tabletext"/>
    <w:rsid w:val="00A70E95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70E95"/>
    <w:pPr>
      <w:spacing w:before="240"/>
    </w:pPr>
  </w:style>
  <w:style w:type="paragraph" w:customStyle="1" w:styleId="AnnexNo">
    <w:name w:val="Annex_No"/>
    <w:basedOn w:val="Normal"/>
    <w:next w:val="Annexref"/>
    <w:rsid w:val="00BB13FE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B13FE"/>
    <w:pPr>
      <w:jc w:val="center"/>
    </w:pPr>
    <w:rPr>
      <w:sz w:val="28"/>
    </w:rPr>
  </w:style>
  <w:style w:type="paragraph" w:customStyle="1" w:styleId="Annextitle">
    <w:name w:val="Annex_title"/>
    <w:basedOn w:val="Normal"/>
    <w:next w:val="Normal"/>
    <w:rsid w:val="00BB13FE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70E95"/>
  </w:style>
  <w:style w:type="paragraph" w:customStyle="1" w:styleId="Appendixref">
    <w:name w:val="Appendix_ref"/>
    <w:basedOn w:val="Annexref"/>
    <w:next w:val="Appendixtitle"/>
    <w:rsid w:val="00A70E95"/>
  </w:style>
  <w:style w:type="paragraph" w:customStyle="1" w:styleId="Appendixtitle">
    <w:name w:val="Appendix_title"/>
    <w:basedOn w:val="Annextitle"/>
    <w:next w:val="Normal"/>
    <w:rsid w:val="00A70E95"/>
  </w:style>
  <w:style w:type="paragraph" w:customStyle="1" w:styleId="Reftitle">
    <w:name w:val="Ref_title"/>
    <w:basedOn w:val="Normal"/>
    <w:next w:val="Reftext"/>
    <w:rsid w:val="00BB13FE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70E95"/>
    <w:pPr>
      <w:ind w:left="567" w:hanging="567"/>
    </w:pPr>
  </w:style>
  <w:style w:type="paragraph" w:customStyle="1" w:styleId="Rectitle">
    <w:name w:val="Rec_title"/>
    <w:basedOn w:val="Normal"/>
    <w:next w:val="Heading1"/>
    <w:rsid w:val="004A63A9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link w:val="Call0"/>
    <w:qFormat/>
    <w:rsid w:val="00A70E95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BB13FE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70E95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70E95"/>
    <w:pPr>
      <w:ind w:left="-1701" w:hanging="284"/>
    </w:pPr>
  </w:style>
  <w:style w:type="paragraph" w:customStyle="1" w:styleId="Title3">
    <w:name w:val="Title 3"/>
    <w:basedOn w:val="Title2"/>
    <w:next w:val="Normalaftertitle"/>
    <w:rsid w:val="00A70E95"/>
    <w:rPr>
      <w:caps w:val="0"/>
    </w:rPr>
  </w:style>
  <w:style w:type="paragraph" w:customStyle="1" w:styleId="Title2">
    <w:name w:val="Title 2"/>
    <w:basedOn w:val="Source"/>
    <w:next w:val="Title3"/>
    <w:rsid w:val="00A70E95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A1523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70E95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A70E95"/>
  </w:style>
  <w:style w:type="paragraph" w:customStyle="1" w:styleId="Chaptitle">
    <w:name w:val="Chap_title"/>
    <w:basedOn w:val="Arttitle"/>
    <w:next w:val="Normal"/>
    <w:rsid w:val="00A70E95"/>
  </w:style>
  <w:style w:type="paragraph" w:customStyle="1" w:styleId="Reasons">
    <w:name w:val="Reasons"/>
    <w:basedOn w:val="Normal"/>
    <w:rsid w:val="00A70E95"/>
  </w:style>
  <w:style w:type="paragraph" w:customStyle="1" w:styleId="ResNo">
    <w:name w:val="Res_No"/>
    <w:basedOn w:val="AnnexNo"/>
    <w:next w:val="Restitle"/>
    <w:rsid w:val="00A70E95"/>
  </w:style>
  <w:style w:type="paragraph" w:customStyle="1" w:styleId="Restitle">
    <w:name w:val="Res_title"/>
    <w:basedOn w:val="Annextitle"/>
    <w:next w:val="Normal"/>
    <w:rsid w:val="004A63A9"/>
  </w:style>
  <w:style w:type="paragraph" w:customStyle="1" w:styleId="AnnexNoS2">
    <w:name w:val="Annex_No_S2"/>
    <w:basedOn w:val="AnnexNo"/>
    <w:next w:val="Anne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refS2">
    <w:name w:val="Annex_ref_S2"/>
    <w:basedOn w:val="Anne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titleS2">
    <w:name w:val="Annex_title_S2"/>
    <w:basedOn w:val="Anne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NormalS2">
    <w:name w:val="Normal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Section1">
    <w:name w:val="Section 1"/>
    <w:basedOn w:val="ChapNo"/>
    <w:next w:val="Normal"/>
    <w:rsid w:val="00A70E95"/>
    <w:rPr>
      <w:caps w:val="0"/>
    </w:rPr>
  </w:style>
  <w:style w:type="paragraph" w:customStyle="1" w:styleId="Section2">
    <w:name w:val="Section 2"/>
    <w:basedOn w:val="Section1"/>
    <w:next w:val="Normal"/>
    <w:rsid w:val="00A70E95"/>
    <w:pPr>
      <w:spacing w:before="240"/>
    </w:pPr>
    <w:rPr>
      <w:b/>
      <w:i/>
    </w:rPr>
  </w:style>
  <w:style w:type="paragraph" w:customStyle="1" w:styleId="AppendixNoS2">
    <w:name w:val="Appendix_No_S2"/>
    <w:basedOn w:val="AppendixNo"/>
    <w:next w:val="Appendi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titleS2">
    <w:name w:val="Appendix_title_S2"/>
    <w:basedOn w:val="Appendi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B13FE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4A63A9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70E95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70E95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ReasonsS2">
    <w:name w:val="Reasons_S2"/>
    <w:basedOn w:val="Reasons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4"/>
    </w:rPr>
  </w:style>
  <w:style w:type="paragraph" w:customStyle="1" w:styleId="ReftextS2">
    <w:name w:val="Ref_text_S2"/>
    <w:basedOn w:val="Ref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B13FE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4A63A9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70E95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itleS2">
    <w:name w:val="Table_title_S2"/>
    <w:basedOn w:val="Tabletitle"/>
    <w:next w:val="TabletextS2"/>
    <w:rsid w:val="00A70E95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abletextS2">
    <w:name w:val="Table_text_S2"/>
    <w:basedOn w:val="Tabletext"/>
    <w:rsid w:val="00A70E95"/>
    <w:pPr>
      <w:tabs>
        <w:tab w:val="left" w:pos="851"/>
      </w:tabs>
    </w:pPr>
    <w:rPr>
      <w:b/>
    </w:rPr>
  </w:style>
  <w:style w:type="paragraph" w:customStyle="1" w:styleId="TablelegendS2">
    <w:name w:val="Table_legend_S2"/>
    <w:basedOn w:val="Tablelegend"/>
    <w:rsid w:val="00A70E95"/>
    <w:pPr>
      <w:tabs>
        <w:tab w:val="left" w:pos="851"/>
      </w:tabs>
      <w:spacing w:after="0"/>
    </w:pPr>
    <w:rPr>
      <w:b/>
    </w:rPr>
  </w:style>
  <w:style w:type="paragraph" w:customStyle="1" w:styleId="FooterS2">
    <w:name w:val="Footer_S2"/>
    <w:basedOn w:val="Footer"/>
    <w:rsid w:val="00A70E95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70E95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70E95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styleId="Date">
    <w:name w:val="Date"/>
    <w:basedOn w:val="Normal"/>
    <w:rsid w:val="00A70E95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HeadingbS2">
    <w:name w:val="Headingb_S2"/>
    <w:basedOn w:val="Headingb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70E95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4A63A9"/>
    <w:pPr>
      <w:spacing w:before="160"/>
      <w:outlineLvl w:val="0"/>
    </w:pPr>
    <w:rPr>
      <w:b w:val="0"/>
      <w:i/>
    </w:rPr>
  </w:style>
  <w:style w:type="paragraph" w:customStyle="1" w:styleId="FirstFooter">
    <w:name w:val="FirstFooter"/>
    <w:basedOn w:val="Footer"/>
    <w:rsid w:val="00A70E95"/>
    <w:rPr>
      <w:caps w:val="0"/>
    </w:rPr>
  </w:style>
  <w:style w:type="paragraph" w:styleId="TOC9">
    <w:name w:val="toc 9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leader="dot" w:pos="9645"/>
      </w:tabs>
      <w:ind w:left="1920"/>
    </w:pPr>
  </w:style>
  <w:style w:type="paragraph" w:customStyle="1" w:styleId="Heading1c">
    <w:name w:val="Heading 1c"/>
    <w:basedOn w:val="Heading1"/>
    <w:next w:val="Normal"/>
    <w:rsid w:val="000863AB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4A63A9"/>
    <w:rPr>
      <w:b w:val="0"/>
      <w:i/>
    </w:rPr>
  </w:style>
  <w:style w:type="paragraph" w:customStyle="1" w:styleId="Heading2iS2">
    <w:name w:val="Heading 2i_S2"/>
    <w:basedOn w:val="Heading2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PageNumber">
    <w:name w:val="page number"/>
    <w:basedOn w:val="DefaultParagraphFont"/>
    <w:rsid w:val="004A63A9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863AB"/>
    <w:rPr>
      <w:rFonts w:ascii="Calibri" w:hAnsi="Calibri"/>
      <w:color w:val="0000FF"/>
      <w:u w:val="single"/>
    </w:rPr>
  </w:style>
  <w:style w:type="paragraph" w:customStyle="1" w:styleId="Head">
    <w:name w:val="Head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</w:pPr>
  </w:style>
  <w:style w:type="paragraph" w:customStyle="1" w:styleId="Heading1pv">
    <w:name w:val="Heading 1pv"/>
    <w:basedOn w:val="Heading1"/>
    <w:next w:val="Normalpv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Normalpv">
    <w:name w:val="Normal pv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2pv">
    <w:name w:val="Heading 2pv"/>
    <w:basedOn w:val="Heading1pv"/>
    <w:next w:val="Normalpv"/>
    <w:rsid w:val="00A70E95"/>
    <w:pPr>
      <w:spacing w:before="320"/>
      <w:outlineLvl w:val="1"/>
    </w:pPr>
  </w:style>
  <w:style w:type="paragraph" w:customStyle="1" w:styleId="Heading3pv">
    <w:name w:val="Heading 3pv"/>
    <w:basedOn w:val="Heading1pv"/>
    <w:next w:val="Normalpv"/>
    <w:rsid w:val="00A70E95"/>
    <w:pPr>
      <w:spacing w:before="200"/>
      <w:outlineLvl w:val="2"/>
    </w:pPr>
  </w:style>
  <w:style w:type="paragraph" w:customStyle="1" w:styleId="NormalendS2">
    <w:name w:val="Normal_end_S2"/>
    <w:basedOn w:val="Normal"/>
    <w:qFormat/>
    <w:rsid w:val="00F80E6E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/>
      <w:textAlignment w:val="auto"/>
    </w:pPr>
  </w:style>
  <w:style w:type="paragraph" w:customStyle="1" w:styleId="Dectitle">
    <w:name w:val="Dec_title"/>
    <w:basedOn w:val="Rectitle"/>
    <w:next w:val="Normalaftertitle"/>
    <w:qFormat/>
    <w:rsid w:val="009A1A86"/>
  </w:style>
  <w:style w:type="paragraph" w:customStyle="1" w:styleId="DecNo">
    <w:name w:val="Dec_No"/>
    <w:basedOn w:val="RecNo"/>
    <w:next w:val="Dectitle"/>
    <w:qFormat/>
    <w:rsid w:val="009A1A86"/>
  </w:style>
  <w:style w:type="paragraph" w:customStyle="1" w:styleId="DectitleS2">
    <w:name w:val="Dec_title_S2"/>
    <w:basedOn w:val="RestitleS2"/>
    <w:next w:val="Normal"/>
    <w:qFormat/>
    <w:rsid w:val="009A1A86"/>
  </w:style>
  <w:style w:type="paragraph" w:customStyle="1" w:styleId="DecNoS2">
    <w:name w:val="Dec_No_S2"/>
    <w:basedOn w:val="ResNoS2"/>
    <w:next w:val="DectitleS2"/>
    <w:qFormat/>
    <w:rsid w:val="009A1A86"/>
  </w:style>
  <w:style w:type="paragraph" w:customStyle="1" w:styleId="SectionNo">
    <w:name w:val="Section_No"/>
    <w:basedOn w:val="ArtNo"/>
    <w:next w:val="Normal"/>
    <w:qFormat/>
    <w:rsid w:val="00CD20D9"/>
    <w:rPr>
      <w:lang w:val="en-GB"/>
    </w:rPr>
  </w:style>
  <w:style w:type="paragraph" w:customStyle="1" w:styleId="SectionNoS2">
    <w:name w:val="Section_No_S2"/>
    <w:basedOn w:val="ArtNoS2"/>
    <w:next w:val="Normal"/>
    <w:qFormat/>
    <w:rsid w:val="00CD20D9"/>
    <w:rPr>
      <w:lang w:val="en-GB"/>
    </w:rPr>
  </w:style>
  <w:style w:type="paragraph" w:customStyle="1" w:styleId="Sectiontitle">
    <w:name w:val="Section_title"/>
    <w:basedOn w:val="Arttitle"/>
    <w:next w:val="Normalaftertitle"/>
    <w:qFormat/>
    <w:rsid w:val="00CD20D9"/>
    <w:rPr>
      <w:lang w:val="en-GB"/>
    </w:rPr>
  </w:style>
  <w:style w:type="paragraph" w:customStyle="1" w:styleId="SectiontitleS2">
    <w:name w:val="Section_title_S2"/>
    <w:basedOn w:val="ArttitleS2"/>
    <w:next w:val="Normal"/>
    <w:qFormat/>
    <w:rsid w:val="00CD20D9"/>
    <w:rPr>
      <w:lang w:val="en-GB"/>
    </w:rPr>
  </w:style>
  <w:style w:type="paragraph" w:customStyle="1" w:styleId="firstfooter0">
    <w:name w:val="firstfooter"/>
    <w:basedOn w:val="Normal"/>
    <w:rsid w:val="004B07DB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Agendaitem">
    <w:name w:val="Agenda_item"/>
    <w:basedOn w:val="Normal"/>
    <w:next w:val="Normal"/>
    <w:qFormat/>
    <w:rsid w:val="00255FA1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</w:rPr>
  </w:style>
  <w:style w:type="paragraph" w:customStyle="1" w:styleId="Committee">
    <w:name w:val="Committee"/>
    <w:basedOn w:val="Normal"/>
    <w:qFormat/>
    <w:rsid w:val="00255FA1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255FA1"/>
    <w:rPr>
      <w:rFonts w:ascii="Calibri" w:hAnsi="Calibri"/>
      <w:sz w:val="18"/>
      <w:lang w:val="es-ES_tradnl" w:eastAsia="en-US"/>
    </w:rPr>
  </w:style>
  <w:style w:type="paragraph" w:customStyle="1" w:styleId="Proposal">
    <w:name w:val="Proposal"/>
    <w:basedOn w:val="Normal"/>
    <w:next w:val="Normal"/>
    <w:rsid w:val="003D0027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  <w:lang w:val="en-GB"/>
    </w:rPr>
  </w:style>
  <w:style w:type="paragraph" w:styleId="BalloonText">
    <w:name w:val="Balloon Text"/>
    <w:basedOn w:val="Normal"/>
    <w:link w:val="BalloonTextChar"/>
    <w:semiHidden/>
    <w:unhideWhenUsed/>
    <w:rsid w:val="00AD400E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D400E"/>
    <w:rPr>
      <w:rFonts w:ascii="Tahoma" w:hAnsi="Tahoma" w:cs="Tahoma"/>
      <w:sz w:val="16"/>
      <w:szCs w:val="16"/>
      <w:lang w:val="es-ES_tradnl" w:eastAsia="en-US"/>
    </w:rPr>
  </w:style>
  <w:style w:type="paragraph" w:customStyle="1" w:styleId="OP">
    <w:name w:val="OP"/>
    <w:basedOn w:val="Normal"/>
    <w:next w:val="Normal"/>
    <w:qFormat/>
    <w:rsid w:val="00504FD4"/>
    <w:pPr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1200" w:after="240" w:line="480" w:lineRule="atLeast"/>
      <w:jc w:val="center"/>
    </w:pPr>
    <w:rPr>
      <w:b/>
      <w:sz w:val="32"/>
      <w:lang w:val="en-GB"/>
    </w:rPr>
  </w:style>
  <w:style w:type="paragraph" w:customStyle="1" w:styleId="OPtitle">
    <w:name w:val="OP_title"/>
    <w:basedOn w:val="Normal"/>
    <w:next w:val="Normalaftertitle"/>
    <w:qFormat/>
    <w:rsid w:val="00504FD4"/>
    <w:pPr>
      <w:jc w:val="center"/>
    </w:pPr>
    <w:rPr>
      <w:b/>
      <w:bCs/>
      <w:lang w:val="en-GB"/>
    </w:rPr>
  </w:style>
  <w:style w:type="paragraph" w:customStyle="1" w:styleId="VolumeTitle">
    <w:name w:val="VolumeTitle"/>
    <w:basedOn w:val="Normal"/>
    <w:next w:val="Normal"/>
    <w:rsid w:val="004B09D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504FD4"/>
  </w:style>
  <w:style w:type="character" w:styleId="UnresolvedMention">
    <w:name w:val="Unresolved Mention"/>
    <w:basedOn w:val="DefaultParagraphFont"/>
    <w:uiPriority w:val="99"/>
    <w:semiHidden/>
    <w:unhideWhenUsed/>
    <w:rsid w:val="003B5DC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057402"/>
    <w:rPr>
      <w:color w:val="800080" w:themeColor="followedHyperlink"/>
      <w:u w:val="single"/>
    </w:rPr>
  </w:style>
  <w:style w:type="character" w:customStyle="1" w:styleId="Call0">
    <w:name w:val="Call 字符"/>
    <w:basedOn w:val="DefaultParagraphFont"/>
    <w:link w:val="Call"/>
    <w:qFormat/>
    <w:rsid w:val="00C71C90"/>
    <w:rPr>
      <w:rFonts w:ascii="Calibri" w:hAnsi="Calibri"/>
      <w:i/>
      <w:sz w:val="24"/>
      <w:lang w:val="es-ES_tradn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68cce1df-93ab-47ec-8807-ea0da72058aa" targetNamespace="http://schemas.microsoft.com/office/2006/metadata/properties" ma:root="true" ma:fieldsID="d41af5c836d734370eb92e7ee5f83852" ns2:_="" ns3:_="">
    <xsd:import namespace="996b2e75-67fd-4955-a3b0-5ab9934cb50b"/>
    <xsd:import namespace="68cce1df-93ab-47ec-8807-ea0da72058aa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cce1df-93ab-47ec-8807-ea0da72058aa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68cce1df-93ab-47ec-8807-ea0da72058aa">DPM</DPM_x0020_Author>
    <DPM_x0020_File_x0020_name xmlns="68cce1df-93ab-47ec-8807-ea0da72058aa">S26-PP-C-0086!!MSW-S</DPM_x0020_File_x0020_name>
    <DPM_x0020_Version xmlns="68cce1df-93ab-47ec-8807-ea0da72058aa">DPM_2025.10.23.1</DPM_x0020_Version>
  </documentManagement>
</p:properties>
</file>

<file path=customXml/itemProps1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68cce1df-93ab-47ec-8807-ea0da72058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6DEBCB-5B8D-4EB0-B7EC-26C5436CA4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7E8234-F786-4EB6-AA53-8BC09038B5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68cce1df-93ab-47ec-8807-ea0da72058a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933</Words>
  <Characters>5622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S26-PP-C-0086!!MSW-S</vt:lpstr>
    </vt:vector>
  </TitlesOfParts>
  <Manager/>
  <Company/>
  <LinksUpToDate>false</LinksUpToDate>
  <CharactersWithSpaces>6542</CharactersWithSpaces>
  <SharedDoc>false</SharedDoc>
  <HyperlinkBase/>
  <HLinks>
    <vt:vector size="6" baseType="variant">
      <vt:variant>
        <vt:i4>4194374</vt:i4>
      </vt:variant>
      <vt:variant>
        <vt:i4>12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S26-PP-C-0086!!MSW-S</dc:title>
  <dc:subject>ITU Plenipotentiary Conference (PP-26)</dc:subject>
  <dc:creator>Documents Proposals Manager (DPM)</dc:creator>
  <cp:keywords>DPM_v2026.8.25.1_prod</cp:keywords>
  <dc:description/>
  <cp:lastModifiedBy>Spanish</cp:lastModifiedBy>
  <cp:revision>9</cp:revision>
  <dcterms:created xsi:type="dcterms:W3CDTF">2026-10-22T08:56:00Z</dcterms:created>
  <dcterms:modified xsi:type="dcterms:W3CDTF">2026-10-22T09:18:00Z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