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E4868" w14:paraId="0E972AF3" w14:textId="77777777" w:rsidTr="00EC1877">
        <w:trPr>
          <w:cantSplit/>
          <w:jc w:val="center"/>
        </w:trPr>
        <w:tc>
          <w:tcPr>
            <w:tcW w:w="10031" w:type="dxa"/>
            <w:gridSpan w:val="2"/>
            <w:tcMar>
              <w:left w:w="0" w:type="dxa"/>
              <w:right w:w="0" w:type="dxa"/>
            </w:tcMar>
            <w:vAlign w:val="center"/>
          </w:tcPr>
          <w:p w14:paraId="4E28CEED" w14:textId="77777777" w:rsidR="00CE496F" w:rsidRPr="001E4868" w:rsidRDefault="00CE496F" w:rsidP="007A5568">
            <w:pPr>
              <w:spacing w:before="0"/>
              <w:rPr>
                <w:rFonts w:cstheme="minorHAnsi"/>
              </w:rPr>
            </w:pPr>
            <w:bookmarkStart w:id="0" w:name="ditulogo"/>
            <w:bookmarkEnd w:id="0"/>
            <w:r w:rsidRPr="001E4868">
              <w:rPr>
                <w:rFonts w:cstheme="minorHAnsi"/>
              </w:rPr>
              <w:drawing>
                <wp:anchor distT="0" distB="0" distL="0" distR="0" simplePos="0" relativeHeight="251658240" behindDoc="1" locked="0" layoutInCell="1" allowOverlap="1" wp14:anchorId="734A63E8" wp14:editId="07E7B87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E4868" w14:paraId="2AF2E16F" w14:textId="77777777" w:rsidTr="00BD5C12">
        <w:trPr>
          <w:cantSplit/>
          <w:jc w:val="center"/>
        </w:trPr>
        <w:tc>
          <w:tcPr>
            <w:tcW w:w="10031" w:type="dxa"/>
            <w:gridSpan w:val="2"/>
            <w:tcBorders>
              <w:bottom w:val="single" w:sz="12" w:space="0" w:color="71716F"/>
            </w:tcBorders>
          </w:tcPr>
          <w:p w14:paraId="58575F61" w14:textId="77777777" w:rsidR="002E1AF7" w:rsidRPr="001E4868" w:rsidRDefault="002E1AF7" w:rsidP="007A5568">
            <w:pPr>
              <w:spacing w:before="0"/>
              <w:rPr>
                <w:rFonts w:cstheme="minorHAnsi"/>
                <w:b/>
                <w:smallCaps/>
                <w:szCs w:val="24"/>
              </w:rPr>
            </w:pPr>
            <w:bookmarkStart w:id="1" w:name="dhead"/>
          </w:p>
        </w:tc>
      </w:tr>
      <w:tr w:rsidR="00BD1614" w:rsidRPr="001E4868" w14:paraId="36ABED6C" w14:textId="77777777" w:rsidTr="00EC1877">
        <w:trPr>
          <w:cantSplit/>
          <w:jc w:val="center"/>
        </w:trPr>
        <w:tc>
          <w:tcPr>
            <w:tcW w:w="7229" w:type="dxa"/>
            <w:tcBorders>
              <w:top w:val="single" w:sz="12" w:space="0" w:color="71716F"/>
            </w:tcBorders>
          </w:tcPr>
          <w:p w14:paraId="42BF26F5" w14:textId="77777777" w:rsidR="00BD1614" w:rsidRPr="001E4868" w:rsidRDefault="00BD1614" w:rsidP="007A5568">
            <w:pPr>
              <w:spacing w:before="0"/>
              <w:rPr>
                <w:rFonts w:cstheme="minorHAnsi"/>
                <w:b/>
                <w:smallCaps/>
                <w:szCs w:val="24"/>
              </w:rPr>
            </w:pPr>
          </w:p>
        </w:tc>
        <w:tc>
          <w:tcPr>
            <w:tcW w:w="2802" w:type="dxa"/>
            <w:tcBorders>
              <w:top w:val="single" w:sz="12" w:space="0" w:color="71716F"/>
            </w:tcBorders>
            <w:tcMar>
              <w:left w:w="142" w:type="dxa"/>
              <w:right w:w="0" w:type="dxa"/>
            </w:tcMar>
          </w:tcPr>
          <w:p w14:paraId="3A46515B" w14:textId="77777777" w:rsidR="00BD1614" w:rsidRPr="001E4868" w:rsidRDefault="00BD1614" w:rsidP="007A5568">
            <w:pPr>
              <w:spacing w:before="0"/>
              <w:rPr>
                <w:rFonts w:cstheme="minorHAnsi"/>
                <w:szCs w:val="24"/>
              </w:rPr>
            </w:pPr>
          </w:p>
        </w:tc>
      </w:tr>
      <w:tr w:rsidR="00BD1614" w:rsidRPr="001E4868" w14:paraId="61D9369F" w14:textId="77777777" w:rsidTr="00CE496F">
        <w:trPr>
          <w:cantSplit/>
          <w:jc w:val="center"/>
        </w:trPr>
        <w:tc>
          <w:tcPr>
            <w:tcW w:w="7229" w:type="dxa"/>
          </w:tcPr>
          <w:p w14:paraId="7CC00825" w14:textId="77777777" w:rsidR="00BD1614" w:rsidRPr="001E4868" w:rsidRDefault="00BD1614" w:rsidP="007A5568">
            <w:pPr>
              <w:pStyle w:val="Committee"/>
              <w:framePr w:hSpace="0" w:wrap="auto" w:hAnchor="text" w:yAlign="inline"/>
              <w:spacing w:after="0" w:line="240" w:lineRule="auto"/>
              <w:rPr>
                <w:lang w:val="fr-FR"/>
              </w:rPr>
            </w:pPr>
            <w:r w:rsidRPr="001E4868">
              <w:rPr>
                <w:lang w:val="fr-FR"/>
              </w:rPr>
              <w:t>SÉANCE PLÉNIÈRE</w:t>
            </w:r>
          </w:p>
        </w:tc>
        <w:tc>
          <w:tcPr>
            <w:tcW w:w="2802" w:type="dxa"/>
            <w:tcMar>
              <w:left w:w="142" w:type="dxa"/>
              <w:right w:w="0" w:type="dxa"/>
            </w:tcMar>
          </w:tcPr>
          <w:p w14:paraId="6E057152" w14:textId="77777777" w:rsidR="00BD1614" w:rsidRPr="001E4868" w:rsidRDefault="00BD1614" w:rsidP="007A5568">
            <w:pPr>
              <w:spacing w:before="0"/>
              <w:rPr>
                <w:rFonts w:cstheme="minorHAnsi"/>
                <w:szCs w:val="24"/>
              </w:rPr>
            </w:pPr>
            <w:r w:rsidRPr="001E4868">
              <w:rPr>
                <w:rFonts w:cstheme="minorHAnsi"/>
                <w:b/>
                <w:szCs w:val="24"/>
              </w:rPr>
              <w:t>Document 86</w:t>
            </w:r>
            <w:r w:rsidR="005F63BD" w:rsidRPr="001E4868">
              <w:rPr>
                <w:rFonts w:cstheme="minorHAnsi"/>
                <w:b/>
                <w:szCs w:val="24"/>
              </w:rPr>
              <w:t>-F</w:t>
            </w:r>
          </w:p>
        </w:tc>
      </w:tr>
      <w:tr w:rsidR="00BD1614" w:rsidRPr="001E4868" w14:paraId="043B70DC" w14:textId="77777777" w:rsidTr="00CE496F">
        <w:trPr>
          <w:cantSplit/>
          <w:jc w:val="center"/>
        </w:trPr>
        <w:tc>
          <w:tcPr>
            <w:tcW w:w="7229" w:type="dxa"/>
          </w:tcPr>
          <w:p w14:paraId="651157E3" w14:textId="77777777" w:rsidR="00BD1614" w:rsidRPr="001E4868" w:rsidRDefault="00BD1614" w:rsidP="007A5568">
            <w:pPr>
              <w:spacing w:before="0"/>
              <w:rPr>
                <w:rFonts w:cstheme="minorHAnsi"/>
                <w:b/>
                <w:szCs w:val="24"/>
              </w:rPr>
            </w:pPr>
          </w:p>
        </w:tc>
        <w:tc>
          <w:tcPr>
            <w:tcW w:w="2802" w:type="dxa"/>
            <w:tcMar>
              <w:left w:w="142" w:type="dxa"/>
              <w:right w:w="0" w:type="dxa"/>
            </w:tcMar>
          </w:tcPr>
          <w:p w14:paraId="65658F68" w14:textId="77777777" w:rsidR="00BD1614" w:rsidRPr="001E4868" w:rsidRDefault="00BD1614" w:rsidP="007A5568">
            <w:pPr>
              <w:spacing w:before="0"/>
              <w:rPr>
                <w:rFonts w:cstheme="minorHAnsi"/>
                <w:b/>
                <w:szCs w:val="24"/>
              </w:rPr>
            </w:pPr>
            <w:r w:rsidRPr="001E4868">
              <w:rPr>
                <w:rFonts w:cstheme="minorHAnsi"/>
                <w:b/>
                <w:szCs w:val="24"/>
              </w:rPr>
              <w:t>19 octobre 2026</w:t>
            </w:r>
          </w:p>
        </w:tc>
      </w:tr>
      <w:tr w:rsidR="00BD1614" w:rsidRPr="001E4868" w14:paraId="0012E74F" w14:textId="77777777" w:rsidTr="00CE496F">
        <w:trPr>
          <w:cantSplit/>
          <w:jc w:val="center"/>
        </w:trPr>
        <w:tc>
          <w:tcPr>
            <w:tcW w:w="7229" w:type="dxa"/>
          </w:tcPr>
          <w:p w14:paraId="776566DC" w14:textId="77777777" w:rsidR="00BD1614" w:rsidRPr="001E4868" w:rsidRDefault="00BD1614" w:rsidP="007A5568">
            <w:pPr>
              <w:spacing w:before="0"/>
              <w:rPr>
                <w:rFonts w:cstheme="minorHAnsi"/>
                <w:b/>
                <w:smallCaps/>
                <w:szCs w:val="24"/>
              </w:rPr>
            </w:pPr>
          </w:p>
        </w:tc>
        <w:tc>
          <w:tcPr>
            <w:tcW w:w="2802" w:type="dxa"/>
            <w:tcMar>
              <w:left w:w="142" w:type="dxa"/>
              <w:right w:w="0" w:type="dxa"/>
            </w:tcMar>
          </w:tcPr>
          <w:p w14:paraId="0827F5F2" w14:textId="77777777" w:rsidR="00BD1614" w:rsidRPr="001E4868" w:rsidRDefault="00BD1614" w:rsidP="007A5568">
            <w:pPr>
              <w:spacing w:before="0"/>
              <w:rPr>
                <w:rFonts w:cstheme="minorHAnsi"/>
                <w:b/>
                <w:szCs w:val="24"/>
              </w:rPr>
            </w:pPr>
            <w:r w:rsidRPr="001E4868">
              <w:rPr>
                <w:rFonts w:cstheme="minorHAnsi"/>
                <w:b/>
                <w:szCs w:val="24"/>
              </w:rPr>
              <w:t>Original: anglais</w:t>
            </w:r>
          </w:p>
        </w:tc>
      </w:tr>
      <w:tr w:rsidR="00BD1614" w:rsidRPr="001E4868" w14:paraId="76011851" w14:textId="77777777" w:rsidTr="002E1AF7">
        <w:trPr>
          <w:cantSplit/>
          <w:jc w:val="center"/>
        </w:trPr>
        <w:tc>
          <w:tcPr>
            <w:tcW w:w="10031" w:type="dxa"/>
            <w:gridSpan w:val="2"/>
          </w:tcPr>
          <w:p w14:paraId="7040837C" w14:textId="77777777" w:rsidR="00BD1614" w:rsidRPr="001E4868" w:rsidRDefault="00BD1614" w:rsidP="007A5568">
            <w:pPr>
              <w:spacing w:before="0"/>
              <w:rPr>
                <w:rFonts w:cstheme="minorHAnsi"/>
                <w:b/>
                <w:szCs w:val="24"/>
              </w:rPr>
            </w:pPr>
          </w:p>
        </w:tc>
      </w:tr>
      <w:tr w:rsidR="00BD1614" w:rsidRPr="001E4868" w14:paraId="0B0F8C9F" w14:textId="77777777" w:rsidTr="002E1AF7">
        <w:trPr>
          <w:cantSplit/>
          <w:jc w:val="center"/>
        </w:trPr>
        <w:tc>
          <w:tcPr>
            <w:tcW w:w="10031" w:type="dxa"/>
            <w:gridSpan w:val="2"/>
          </w:tcPr>
          <w:p w14:paraId="230ED509" w14:textId="77777777" w:rsidR="00BD1614" w:rsidRPr="001E4868" w:rsidRDefault="00BD1614" w:rsidP="007A5568">
            <w:pPr>
              <w:pStyle w:val="Source"/>
            </w:pPr>
            <w:bookmarkStart w:id="2" w:name="dsource" w:colFirst="0" w:colLast="0"/>
            <w:bookmarkEnd w:id="1"/>
            <w:r w:rsidRPr="001E4868">
              <w:t>Chine (République populaire de)/Fédération de Russie</w:t>
            </w:r>
          </w:p>
        </w:tc>
      </w:tr>
      <w:tr w:rsidR="00BD1614" w:rsidRPr="001E4868" w14:paraId="7ECB25CA" w14:textId="77777777" w:rsidTr="002E1AF7">
        <w:trPr>
          <w:cantSplit/>
          <w:jc w:val="center"/>
        </w:trPr>
        <w:tc>
          <w:tcPr>
            <w:tcW w:w="10031" w:type="dxa"/>
            <w:gridSpan w:val="2"/>
          </w:tcPr>
          <w:p w14:paraId="6E9254C6" w14:textId="1728F8DB" w:rsidR="00BD1614" w:rsidRPr="001E4868" w:rsidRDefault="009A192F" w:rsidP="007A5568">
            <w:pPr>
              <w:pStyle w:val="Title1"/>
            </w:pPr>
            <w:bookmarkStart w:id="3" w:name="dtitle1" w:colFirst="0" w:colLast="0"/>
            <w:bookmarkEnd w:id="2"/>
            <w:r w:rsidRPr="001E4868">
              <w:t>PROPOSITIONS POUR LES TRAVAUX DE LA CONFÉRENCE</w:t>
            </w:r>
          </w:p>
        </w:tc>
      </w:tr>
      <w:tr w:rsidR="00BD1614" w:rsidRPr="001E4868" w14:paraId="07523C9B" w14:textId="77777777" w:rsidTr="002E1AF7">
        <w:trPr>
          <w:cantSplit/>
          <w:jc w:val="center"/>
        </w:trPr>
        <w:tc>
          <w:tcPr>
            <w:tcW w:w="10031" w:type="dxa"/>
            <w:gridSpan w:val="2"/>
          </w:tcPr>
          <w:p w14:paraId="5275ABF2" w14:textId="77777777" w:rsidR="00BD1614" w:rsidRPr="001E4868" w:rsidRDefault="00BD1614" w:rsidP="007A5568">
            <w:pPr>
              <w:pStyle w:val="Title2"/>
            </w:pPr>
            <w:bookmarkStart w:id="4" w:name="dtitle2" w:colFirst="0" w:colLast="0"/>
            <w:bookmarkEnd w:id="3"/>
          </w:p>
        </w:tc>
      </w:tr>
      <w:tr w:rsidR="00BD1614" w:rsidRPr="001E4868" w14:paraId="08B2E9A2" w14:textId="77777777" w:rsidTr="002E1AF7">
        <w:trPr>
          <w:cantSplit/>
          <w:jc w:val="center"/>
        </w:trPr>
        <w:tc>
          <w:tcPr>
            <w:tcW w:w="10031" w:type="dxa"/>
            <w:gridSpan w:val="2"/>
          </w:tcPr>
          <w:p w14:paraId="78EBCA0A" w14:textId="77777777" w:rsidR="00BD1614" w:rsidRPr="001E4868" w:rsidRDefault="00BD1614" w:rsidP="007A5568">
            <w:pPr>
              <w:pStyle w:val="Agendaitem"/>
              <w:rPr>
                <w:lang w:val="fr-FR"/>
              </w:rPr>
            </w:pPr>
            <w:bookmarkStart w:id="5" w:name="dtitle3" w:colFirst="0" w:colLast="0"/>
            <w:bookmarkEnd w:id="4"/>
          </w:p>
        </w:tc>
      </w:tr>
      <w:bookmarkEnd w:id="5"/>
    </w:tbl>
    <w:p w14:paraId="52B9930A" w14:textId="77777777" w:rsidR="000D15FB" w:rsidRPr="001E4868" w:rsidRDefault="000D15FB" w:rsidP="007A5568"/>
    <w:p w14:paraId="344AC066" w14:textId="77777777" w:rsidR="00BD1614" w:rsidRPr="001E4868" w:rsidRDefault="00BD1614" w:rsidP="007A5568">
      <w:pPr>
        <w:tabs>
          <w:tab w:val="clear" w:pos="567"/>
          <w:tab w:val="clear" w:pos="1134"/>
          <w:tab w:val="clear" w:pos="1701"/>
          <w:tab w:val="clear" w:pos="2268"/>
          <w:tab w:val="clear" w:pos="2835"/>
        </w:tabs>
        <w:overflowPunct/>
        <w:autoSpaceDE/>
        <w:autoSpaceDN/>
        <w:adjustRightInd/>
        <w:spacing w:before="0"/>
        <w:textAlignment w:val="auto"/>
      </w:pPr>
      <w:r w:rsidRPr="001E4868">
        <w:br w:type="page"/>
      </w:r>
    </w:p>
    <w:p w14:paraId="32C3D3C2" w14:textId="77777777" w:rsidR="000C62A5" w:rsidRPr="001E4868" w:rsidRDefault="002B6A1B" w:rsidP="007A5568">
      <w:pPr>
        <w:pStyle w:val="Proposal"/>
      </w:pPr>
      <w:r w:rsidRPr="001E4868">
        <w:lastRenderedPageBreak/>
        <w:t>ADD</w:t>
      </w:r>
      <w:r w:rsidRPr="001E4868">
        <w:tab/>
        <w:t>CHN/RUS/86/1</w:t>
      </w:r>
    </w:p>
    <w:p w14:paraId="1D9F96FD" w14:textId="77777777" w:rsidR="000C62A5" w:rsidRPr="001E4868" w:rsidRDefault="002B6A1B" w:rsidP="007A5568">
      <w:pPr>
        <w:pStyle w:val="ResNo"/>
      </w:pPr>
      <w:r w:rsidRPr="001E4868">
        <w:t>Projet de nouvelle Résolution [CHN/RUS-1]</w:t>
      </w:r>
    </w:p>
    <w:p w14:paraId="0E7035C4" w14:textId="6379A16D" w:rsidR="000C62A5" w:rsidRPr="001E4868" w:rsidRDefault="007C19F9" w:rsidP="007A5568">
      <w:pPr>
        <w:pStyle w:val="Restitle"/>
      </w:pPr>
      <w:r w:rsidRPr="001E4868">
        <w:t>Promouvoir l</w:t>
      </w:r>
      <w:r w:rsidR="007A5568" w:rsidRPr="001E4868">
        <w:t>'</w:t>
      </w:r>
      <w:r w:rsidRPr="001E4868">
        <w:t xml:space="preserve">utilisation rationnelle, efficace, équitable et durable </w:t>
      </w:r>
      <w:r w:rsidR="000C6756" w:rsidRPr="001E4868">
        <w:br/>
      </w:r>
      <w:r w:rsidRPr="001E4868">
        <w:t xml:space="preserve">des fréquences radioélectriques pour </w:t>
      </w:r>
      <w:r w:rsidR="00B05108" w:rsidRPr="001E4868">
        <w:t>l</w:t>
      </w:r>
      <w:r w:rsidR="007A5568" w:rsidRPr="001E4868">
        <w:t>'</w:t>
      </w:r>
      <w:r w:rsidRPr="001E4868">
        <w:t>exploration</w:t>
      </w:r>
      <w:r w:rsidR="00B05108" w:rsidRPr="001E4868">
        <w:t xml:space="preserve"> </w:t>
      </w:r>
      <w:r w:rsidR="000C6756" w:rsidRPr="001E4868">
        <w:br/>
      </w:r>
      <w:r w:rsidR="00B05108" w:rsidRPr="001E4868">
        <w:t>et l</w:t>
      </w:r>
      <w:r w:rsidR="007A5568" w:rsidRPr="001E4868">
        <w:t>'</w:t>
      </w:r>
      <w:r w:rsidRPr="001E4868">
        <w:t>utilisation de la Lune</w:t>
      </w:r>
      <w:r w:rsidR="00B05108" w:rsidRPr="001E4868">
        <w:t xml:space="preserve"> et les activités </w:t>
      </w:r>
      <w:r w:rsidR="000C6756" w:rsidRPr="001E4868">
        <w:br/>
      </w:r>
      <w:r w:rsidR="00B05108" w:rsidRPr="001E4868">
        <w:t>de développement connexes</w:t>
      </w:r>
    </w:p>
    <w:p w14:paraId="01CB491E" w14:textId="54271BA5" w:rsidR="000C62A5" w:rsidRPr="001E4868" w:rsidRDefault="009A192F" w:rsidP="007A5568">
      <w:pPr>
        <w:pStyle w:val="Normalaftertitle"/>
      </w:pPr>
      <w:r w:rsidRPr="001E4868">
        <w:t>La Conférence de plénipotentiaires de l</w:t>
      </w:r>
      <w:r w:rsidR="007A5568" w:rsidRPr="001E4868">
        <w:t>'</w:t>
      </w:r>
      <w:r w:rsidRPr="001E4868">
        <w:t>Union internationale des télécommunications (Doha, 2026),</w:t>
      </w:r>
    </w:p>
    <w:p w14:paraId="02484551" w14:textId="7D24C6CD" w:rsidR="009A192F" w:rsidRPr="001E4868" w:rsidRDefault="009A192F" w:rsidP="007A5568">
      <w:pPr>
        <w:pStyle w:val="Call"/>
      </w:pPr>
      <w:r w:rsidRPr="001E4868">
        <w:t>rappelant</w:t>
      </w:r>
    </w:p>
    <w:p w14:paraId="182F9A90" w14:textId="13430E6D" w:rsidR="009A192F" w:rsidRPr="001E4868" w:rsidRDefault="009A192F" w:rsidP="007A5568">
      <w:r w:rsidRPr="001E4868">
        <w:rPr>
          <w:i/>
          <w:iCs/>
        </w:rPr>
        <w:t>a)</w:t>
      </w:r>
      <w:r w:rsidRPr="001E4868">
        <w:tab/>
      </w:r>
      <w:r w:rsidR="007C19F9" w:rsidRPr="001E4868">
        <w:t xml:space="preserve">les normes fondamentales du droit international établies dans le </w:t>
      </w:r>
      <w:r w:rsidR="007C19F9" w:rsidRPr="001E4868">
        <w:rPr>
          <w:i/>
          <w:iCs/>
        </w:rPr>
        <w:t>Traité sur les principes régissant les activités des États en matière d</w:t>
      </w:r>
      <w:r w:rsidR="007A5568" w:rsidRPr="001E4868">
        <w:rPr>
          <w:i/>
          <w:iCs/>
        </w:rPr>
        <w:t>'</w:t>
      </w:r>
      <w:r w:rsidR="007C19F9" w:rsidRPr="001E4868">
        <w:rPr>
          <w:i/>
          <w:iCs/>
        </w:rPr>
        <w:t>exploration et d</w:t>
      </w:r>
      <w:r w:rsidR="007A5568" w:rsidRPr="001E4868">
        <w:rPr>
          <w:i/>
          <w:iCs/>
        </w:rPr>
        <w:t>'</w:t>
      </w:r>
      <w:r w:rsidR="007C19F9" w:rsidRPr="001E4868">
        <w:rPr>
          <w:i/>
          <w:iCs/>
        </w:rPr>
        <w:t>utilisation de l</w:t>
      </w:r>
      <w:r w:rsidR="007A5568" w:rsidRPr="001E4868">
        <w:rPr>
          <w:i/>
          <w:iCs/>
        </w:rPr>
        <w:t>'</w:t>
      </w:r>
      <w:r w:rsidR="007C19F9" w:rsidRPr="001E4868">
        <w:rPr>
          <w:i/>
          <w:iCs/>
        </w:rPr>
        <w:t>espace extra</w:t>
      </w:r>
      <w:r w:rsidR="000C6756" w:rsidRPr="001E4868">
        <w:rPr>
          <w:i/>
          <w:iCs/>
        </w:rPr>
        <w:noBreakHyphen/>
      </w:r>
      <w:r w:rsidR="007C19F9" w:rsidRPr="001E4868">
        <w:rPr>
          <w:i/>
          <w:iCs/>
        </w:rPr>
        <w:t>atmosphérique, y compris la Lune et les autres corps célestes</w:t>
      </w:r>
      <w:r w:rsidR="007C19F9" w:rsidRPr="001E4868">
        <w:t>, à savoir l</w:t>
      </w:r>
      <w:r w:rsidR="007A5568" w:rsidRPr="001E4868">
        <w:t>'</w:t>
      </w:r>
      <w:r w:rsidR="007C19F9" w:rsidRPr="001E4868">
        <w:t>utilisation pacifique de l</w:t>
      </w:r>
      <w:r w:rsidR="007A5568" w:rsidRPr="001E4868">
        <w:t>'</w:t>
      </w:r>
      <w:r w:rsidR="007C19F9" w:rsidRPr="001E4868">
        <w:t>espace extra-atmosphérique, la non-appropriation des corps célestes et l</w:t>
      </w:r>
      <w:r w:rsidR="007A5568" w:rsidRPr="001E4868">
        <w:t>'</w:t>
      </w:r>
      <w:r w:rsidR="007C19F9" w:rsidRPr="001E4868">
        <w:t>égalité d</w:t>
      </w:r>
      <w:r w:rsidR="007A5568" w:rsidRPr="001E4868">
        <w:t>'</w:t>
      </w:r>
      <w:r w:rsidR="007C19F9" w:rsidRPr="001E4868">
        <w:t>accès pour tous les États aux activités spatiales</w:t>
      </w:r>
      <w:r w:rsidRPr="001E4868">
        <w:t>;</w:t>
      </w:r>
    </w:p>
    <w:p w14:paraId="02F85943" w14:textId="3EB85448" w:rsidR="009A192F" w:rsidRPr="001E4868" w:rsidRDefault="009A192F" w:rsidP="007A5568">
      <w:r w:rsidRPr="001E4868">
        <w:rPr>
          <w:i/>
          <w:iCs/>
        </w:rPr>
        <w:t>b)</w:t>
      </w:r>
      <w:r w:rsidRPr="001E4868">
        <w:tab/>
      </w:r>
      <w:r w:rsidR="007C19F9" w:rsidRPr="001E4868">
        <w:t>les mandats statutaires conférés à l</w:t>
      </w:r>
      <w:r w:rsidR="007A5568" w:rsidRPr="001E4868">
        <w:t>'</w:t>
      </w:r>
      <w:r w:rsidR="007C19F9" w:rsidRPr="001E4868">
        <w:t xml:space="preserve">Union internationale des télécommunications (UIT), au titre de sa </w:t>
      </w:r>
      <w:r w:rsidR="007C19F9" w:rsidRPr="001E4868">
        <w:rPr>
          <w:i/>
          <w:iCs/>
        </w:rPr>
        <w:t>Constitution</w:t>
      </w:r>
      <w:r w:rsidR="007C19F9" w:rsidRPr="001E4868">
        <w:t xml:space="preserve">, de sa </w:t>
      </w:r>
      <w:r w:rsidR="007C19F9" w:rsidRPr="001E4868">
        <w:rPr>
          <w:i/>
          <w:iCs/>
        </w:rPr>
        <w:t xml:space="preserve">Convention </w:t>
      </w:r>
      <w:r w:rsidR="007C19F9" w:rsidRPr="001E4868">
        <w:t xml:space="preserve">et du </w:t>
      </w:r>
      <w:r w:rsidR="007C19F9" w:rsidRPr="001E4868">
        <w:rPr>
          <w:i/>
          <w:iCs/>
        </w:rPr>
        <w:t>Règlement des radiocommunications</w:t>
      </w:r>
      <w:r w:rsidR="007C19F9" w:rsidRPr="001E4868">
        <w:t>,</w:t>
      </w:r>
      <w:r w:rsidR="007C19F9" w:rsidRPr="001E4868">
        <w:rPr>
          <w:i/>
          <w:iCs/>
        </w:rPr>
        <w:t xml:space="preserve"> </w:t>
      </w:r>
      <w:r w:rsidR="007C19F9" w:rsidRPr="001E4868">
        <w:t>en matière de gestion des ressources mondiales que constituent le spectre des fréquences radioélectriques et les orbites de satellites et d</w:t>
      </w:r>
      <w:r w:rsidR="007A5568" w:rsidRPr="001E4868">
        <w:t>'</w:t>
      </w:r>
      <w:r w:rsidR="007C19F9" w:rsidRPr="001E4868">
        <w:t>établissement de normes de radiocommunication</w:t>
      </w:r>
      <w:r w:rsidRPr="001E4868">
        <w:t>;</w:t>
      </w:r>
    </w:p>
    <w:p w14:paraId="61ACCCDB" w14:textId="1FDEE0E5" w:rsidR="009A192F" w:rsidRPr="001E4868" w:rsidRDefault="009A192F" w:rsidP="007A5568">
      <w:r w:rsidRPr="001E4868">
        <w:rPr>
          <w:i/>
          <w:iCs/>
        </w:rPr>
        <w:t>c)</w:t>
      </w:r>
      <w:r w:rsidRPr="001E4868">
        <w:tab/>
      </w:r>
      <w:r w:rsidR="007C19F9" w:rsidRPr="001E4868">
        <w:t xml:space="preserve">une série de </w:t>
      </w:r>
      <w:r w:rsidR="00CD7D2C" w:rsidRPr="001E4868">
        <w:t>R</w:t>
      </w:r>
      <w:r w:rsidR="007C19F9" w:rsidRPr="001E4868">
        <w:t xml:space="preserve">ésolutions adoptées à intervalles réguliers par les </w:t>
      </w:r>
      <w:r w:rsidR="00CD7D2C" w:rsidRPr="001E4868">
        <w:t>C</w:t>
      </w:r>
      <w:r w:rsidR="007C19F9" w:rsidRPr="001E4868">
        <w:t>onférences de plénipotentiaires et les conférences mondiales des radiocommunications de l</w:t>
      </w:r>
      <w:r w:rsidR="007A5568" w:rsidRPr="001E4868">
        <w:t>'</w:t>
      </w:r>
      <w:r w:rsidR="007C19F9" w:rsidRPr="001E4868">
        <w:t>UIT concernant l</w:t>
      </w:r>
      <w:r w:rsidR="007A5568" w:rsidRPr="001E4868">
        <w:t>'</w:t>
      </w:r>
      <w:r w:rsidR="007C19F9" w:rsidRPr="001E4868">
        <w:t>attribution équitable de spectre pour les services spatiaux et le soutien au renforcement des capacités pour les communications spatiales dans les pays en développement</w:t>
      </w:r>
      <w:r w:rsidRPr="001E4868">
        <w:t>,</w:t>
      </w:r>
    </w:p>
    <w:p w14:paraId="0487473C" w14:textId="07639839" w:rsidR="009A192F" w:rsidRPr="001E4868" w:rsidRDefault="009A192F" w:rsidP="007A5568">
      <w:pPr>
        <w:pStyle w:val="Call"/>
      </w:pPr>
      <w:r w:rsidRPr="001E4868">
        <w:t>reconnaissant</w:t>
      </w:r>
    </w:p>
    <w:p w14:paraId="55725A5B" w14:textId="0124EFB2" w:rsidR="009A192F" w:rsidRPr="001E4868" w:rsidRDefault="009A192F" w:rsidP="007A5568">
      <w:r w:rsidRPr="001E4868">
        <w:rPr>
          <w:i/>
          <w:iCs/>
        </w:rPr>
        <w:t>a)</w:t>
      </w:r>
      <w:r w:rsidRPr="001E4868">
        <w:tab/>
      </w:r>
      <w:r w:rsidR="007C19F9" w:rsidRPr="001E4868">
        <w:t xml:space="preserve">que tous les pays doivent avoir les mêmes droits à explorer et utiliser pacifiquement la Lune, et que des efforts </w:t>
      </w:r>
      <w:r w:rsidR="00CD7D2C" w:rsidRPr="001E4868">
        <w:t xml:space="preserve">correspondants </w:t>
      </w:r>
      <w:r w:rsidR="007C19F9" w:rsidRPr="001E4868">
        <w:t>doivent être déployés pour garantir une participation équitable, renforcer la coopération internationale, faire respecter les principes de concertation approfondie, de contribution commune et de partage des bénéfices, et tenir compte des demandes légitimes des puissances spatiales traditionnelles, des nations spatiales émergentes et des pays en développement</w:t>
      </w:r>
      <w:r w:rsidRPr="001E4868">
        <w:t>;</w:t>
      </w:r>
    </w:p>
    <w:p w14:paraId="0AAFA742" w14:textId="3457E5B9" w:rsidR="009A192F" w:rsidRPr="001E4868" w:rsidRDefault="009A192F" w:rsidP="007A5568">
      <w:r w:rsidRPr="001E4868">
        <w:rPr>
          <w:i/>
          <w:iCs/>
        </w:rPr>
        <w:t>b)</w:t>
      </w:r>
      <w:r w:rsidRPr="001E4868">
        <w:tab/>
      </w:r>
      <w:r w:rsidR="007C19F9" w:rsidRPr="001E4868">
        <w:t>que les fréquences radioélectriques attribuées pour l</w:t>
      </w:r>
      <w:r w:rsidR="007A5568" w:rsidRPr="001E4868">
        <w:t>'</w:t>
      </w:r>
      <w:r w:rsidR="007C19F9" w:rsidRPr="001E4868">
        <w:t>exploration de la Lune constituent des ressources stratégiques essentielles à l</w:t>
      </w:r>
      <w:r w:rsidR="007A5568" w:rsidRPr="001E4868">
        <w:t>'</w:t>
      </w:r>
      <w:r w:rsidR="007C19F9" w:rsidRPr="001E4868">
        <w:t>appui des activités de communication, de navigation, de télédétection, de télémesure, de poursuite et de télécommande, et d</w:t>
      </w:r>
      <w:r w:rsidR="007A5568" w:rsidRPr="001E4868">
        <w:t>'</w:t>
      </w:r>
      <w:r w:rsidR="007C19F9" w:rsidRPr="001E4868">
        <w:t>exploration scientifique sur la Lune, et aussi de l</w:t>
      </w:r>
      <w:r w:rsidR="007A5568" w:rsidRPr="001E4868">
        <w:t>'</w:t>
      </w:r>
      <w:r w:rsidR="007C19F9" w:rsidRPr="001E4868">
        <w:t>exploitation des ressources et de la gestion des infrastructures</w:t>
      </w:r>
      <w:r w:rsidR="00CD7D2C" w:rsidRPr="001E4868">
        <w:t xml:space="preserve"> dans le futur</w:t>
      </w:r>
      <w:r w:rsidRPr="001E4868">
        <w:t>;</w:t>
      </w:r>
    </w:p>
    <w:p w14:paraId="570CBCFA" w14:textId="538CF63E" w:rsidR="009A192F" w:rsidRPr="001E4868" w:rsidRDefault="009A192F" w:rsidP="007A5568">
      <w:r w:rsidRPr="001E4868">
        <w:rPr>
          <w:i/>
          <w:iCs/>
        </w:rPr>
        <w:t>c)</w:t>
      </w:r>
      <w:r w:rsidRPr="001E4868">
        <w:tab/>
      </w:r>
      <w:r w:rsidR="007C19F9" w:rsidRPr="001E4868">
        <w:t>que la gestion du spectre pour les activités lunaires doit être conforme aux principes de précaution, d</w:t>
      </w:r>
      <w:r w:rsidR="007A5568" w:rsidRPr="001E4868">
        <w:t>'</w:t>
      </w:r>
      <w:r w:rsidR="007C19F9" w:rsidRPr="001E4868">
        <w:t>équité intergénérationnelle et de viabilité à long terme, afin de favoriser le développement sûr, ordonné et durable des activités lunaires</w:t>
      </w:r>
      <w:r w:rsidRPr="001E4868">
        <w:t>;</w:t>
      </w:r>
    </w:p>
    <w:p w14:paraId="4A6B7649" w14:textId="7B6660C9" w:rsidR="009A192F" w:rsidRPr="001E4868" w:rsidRDefault="009A192F" w:rsidP="007A5568">
      <w:r w:rsidRPr="001E4868">
        <w:rPr>
          <w:i/>
          <w:iCs/>
        </w:rPr>
        <w:lastRenderedPageBreak/>
        <w:t>d)</w:t>
      </w:r>
      <w:r w:rsidRPr="001E4868">
        <w:tab/>
      </w:r>
      <w:r w:rsidR="007C19F9" w:rsidRPr="001E4868">
        <w:t>qu</w:t>
      </w:r>
      <w:r w:rsidR="007A5568" w:rsidRPr="001E4868">
        <w:t>'</w:t>
      </w:r>
      <w:r w:rsidR="007C19F9" w:rsidRPr="001E4868">
        <w:t>en tant qu</w:t>
      </w:r>
      <w:r w:rsidR="007A5568" w:rsidRPr="001E4868">
        <w:t>'</w:t>
      </w:r>
      <w:r w:rsidR="007C19F9" w:rsidRPr="001E4868">
        <w:t>institution spécialisée des Nations Unies, l</w:t>
      </w:r>
      <w:r w:rsidR="007A5568" w:rsidRPr="001E4868">
        <w:t>'</w:t>
      </w:r>
      <w:r w:rsidR="007C19F9" w:rsidRPr="001E4868">
        <w:t>UIT a pour mandat statutaire de garantir l</w:t>
      </w:r>
      <w:r w:rsidR="007A5568" w:rsidRPr="001E4868">
        <w:t>'</w:t>
      </w:r>
      <w:r w:rsidR="007C19F9" w:rsidRPr="001E4868">
        <w:t>utilisation rationnelle, efficace, équitable, non discriminatoire et durable des fréquences radioélectriques</w:t>
      </w:r>
      <w:r w:rsidRPr="001E4868">
        <w:t>,</w:t>
      </w:r>
    </w:p>
    <w:p w14:paraId="788E3E99" w14:textId="14E5A5C9" w:rsidR="009A192F" w:rsidRPr="001E4868" w:rsidRDefault="009A192F" w:rsidP="007A5568">
      <w:pPr>
        <w:pStyle w:val="Call"/>
      </w:pPr>
      <w:r w:rsidRPr="001E4868">
        <w:t>notant</w:t>
      </w:r>
    </w:p>
    <w:p w14:paraId="62B1D40A" w14:textId="0E00C850" w:rsidR="009A192F" w:rsidRPr="001E4868" w:rsidRDefault="009A192F" w:rsidP="007A5568">
      <w:r w:rsidRPr="001E4868">
        <w:rPr>
          <w:i/>
          <w:iCs/>
        </w:rPr>
        <w:t>a)</w:t>
      </w:r>
      <w:r w:rsidRPr="001E4868">
        <w:tab/>
      </w:r>
      <w:r w:rsidR="007C19F9" w:rsidRPr="001E4868">
        <w:t>que le Comité des utilisations pacifiques de l</w:t>
      </w:r>
      <w:r w:rsidR="007A5568" w:rsidRPr="001E4868">
        <w:t>'</w:t>
      </w:r>
      <w:r w:rsidR="007C19F9" w:rsidRPr="001E4868">
        <w:t xml:space="preserve">espace extra-atmosphérique des Nations Unies (COPUOS) et les autres instances internationales compétentes accordent une attention </w:t>
      </w:r>
      <w:r w:rsidR="00CD7D2C" w:rsidRPr="001E4868">
        <w:t xml:space="preserve">grandissante </w:t>
      </w:r>
      <w:r w:rsidR="007C19F9" w:rsidRPr="001E4868">
        <w:t>à la réglementation, à la sécurité de l</w:t>
      </w:r>
      <w:r w:rsidR="007A5568" w:rsidRPr="001E4868">
        <w:t>'</w:t>
      </w:r>
      <w:r w:rsidR="007C19F9" w:rsidRPr="001E4868">
        <w:t>exploitation, à la transparence et à la viabilité à long terme des activités lunaires</w:t>
      </w:r>
      <w:r w:rsidRPr="001E4868">
        <w:t>;</w:t>
      </w:r>
    </w:p>
    <w:p w14:paraId="5208649E" w14:textId="3ED26C5C" w:rsidR="009A192F" w:rsidRPr="001E4868" w:rsidRDefault="009A192F" w:rsidP="007A5568">
      <w:r w:rsidRPr="001E4868">
        <w:rPr>
          <w:i/>
          <w:iCs/>
        </w:rPr>
        <w:t>b)</w:t>
      </w:r>
      <w:r w:rsidRPr="001E4868">
        <w:tab/>
      </w:r>
      <w:r w:rsidR="007C19F9" w:rsidRPr="001E4868">
        <w:t xml:space="preserve">que la Conférence mondiale des radiocommunications de 2023 (CMR-23) a </w:t>
      </w:r>
      <w:r w:rsidR="00CD7D2C" w:rsidRPr="001E4868">
        <w:t xml:space="preserve">lancé </w:t>
      </w:r>
      <w:r w:rsidR="007C19F9" w:rsidRPr="001E4868">
        <w:t>des études sur les questions relatives au spectre pour les activités lunaires et a inscrit des points pertinents à l</w:t>
      </w:r>
      <w:r w:rsidR="007A5568" w:rsidRPr="001E4868">
        <w:t>'</w:t>
      </w:r>
      <w:r w:rsidR="007C19F9" w:rsidRPr="001E4868">
        <w:t>ordre du jour des conférences ultérieures, jetant ainsi les bases de l</w:t>
      </w:r>
      <w:r w:rsidR="007A5568" w:rsidRPr="001E4868">
        <w:t>'</w:t>
      </w:r>
      <w:r w:rsidR="007C19F9" w:rsidRPr="001E4868">
        <w:t xml:space="preserve">établissement du système de réglementation du spectre pour </w:t>
      </w:r>
      <w:r w:rsidR="00BD0761" w:rsidRPr="001E4868">
        <w:t>ces</w:t>
      </w:r>
      <w:r w:rsidR="007C19F9" w:rsidRPr="001E4868">
        <w:t xml:space="preserve"> activités</w:t>
      </w:r>
      <w:r w:rsidRPr="001E4868">
        <w:t>;</w:t>
      </w:r>
    </w:p>
    <w:p w14:paraId="320B4439" w14:textId="29A97659" w:rsidR="009A192F" w:rsidRPr="001E4868" w:rsidRDefault="009A192F" w:rsidP="007A5568">
      <w:r w:rsidRPr="001E4868">
        <w:rPr>
          <w:i/>
          <w:iCs/>
        </w:rPr>
        <w:t>c)</w:t>
      </w:r>
      <w:r w:rsidRPr="001E4868">
        <w:tab/>
      </w:r>
      <w:r w:rsidR="007C19F9" w:rsidRPr="001E4868">
        <w:t>que le Secteur des radiocommunications de l</w:t>
      </w:r>
      <w:r w:rsidR="007A5568" w:rsidRPr="001E4868">
        <w:t>'</w:t>
      </w:r>
      <w:r w:rsidR="007C19F9" w:rsidRPr="001E4868">
        <w:t>UIT (UIT-R) a mené des recherches techniques sur la propagation des ondes radioélectriques, les services de recherche spatiale, la compatibilité et le partage des fréquences</w:t>
      </w:r>
      <w:r w:rsidR="00BC290C" w:rsidRPr="001E4868">
        <w:t xml:space="preserve"> sur la Lune</w:t>
      </w:r>
      <w:r w:rsidR="007C19F9" w:rsidRPr="001E4868">
        <w:t>, et a établi des rapports et des recommandations pertinents</w:t>
      </w:r>
      <w:r w:rsidRPr="001E4868">
        <w:t>;</w:t>
      </w:r>
    </w:p>
    <w:p w14:paraId="6865EF5D" w14:textId="4EE41DAB" w:rsidR="009A192F" w:rsidRPr="001E4868" w:rsidRDefault="009A192F" w:rsidP="007A5568">
      <w:r w:rsidRPr="001E4868">
        <w:rPr>
          <w:i/>
          <w:iCs/>
        </w:rPr>
        <w:t>d)</w:t>
      </w:r>
      <w:r w:rsidRPr="001E4868">
        <w:tab/>
      </w:r>
      <w:r w:rsidR="007C19F9" w:rsidRPr="001E4868">
        <w:t xml:space="preserve">que plusieurs administrations nationales des télécommunications dans le monde ont déjà notifié des assignations de fréquence à des stations spatiales lunaires et à des constellations de satellites lunaires, que le </w:t>
      </w:r>
      <w:r w:rsidR="007C19F9" w:rsidRPr="001E4868">
        <w:rPr>
          <w:i/>
          <w:iCs/>
        </w:rPr>
        <w:t>Règlement des radiocommunications</w:t>
      </w:r>
      <w:r w:rsidR="007C19F9" w:rsidRPr="001E4868">
        <w:t xml:space="preserve"> actuel doit </w:t>
      </w:r>
      <w:r w:rsidR="00BC290C" w:rsidRPr="001E4868">
        <w:t xml:space="preserve">encore </w:t>
      </w:r>
      <w:r w:rsidR="007C19F9" w:rsidRPr="001E4868">
        <w:t>être amélioré en ce qui concerne l</w:t>
      </w:r>
      <w:r w:rsidR="007A5568" w:rsidRPr="001E4868">
        <w:t>'</w:t>
      </w:r>
      <w:r w:rsidR="007C19F9" w:rsidRPr="001E4868">
        <w:t>attribution de bandes de fréquences spéciales, les procédures de coordination, les critères de protection, ainsi que les mécanismes d</w:t>
      </w:r>
      <w:r w:rsidR="007A5568" w:rsidRPr="001E4868">
        <w:t>'</w:t>
      </w:r>
      <w:r w:rsidR="007C19F9" w:rsidRPr="001E4868">
        <w:t xml:space="preserve">inscription et de notification </w:t>
      </w:r>
      <w:r w:rsidR="00BC290C" w:rsidRPr="001E4868">
        <w:t xml:space="preserve">pour les activités lunaires afin de </w:t>
      </w:r>
      <w:r w:rsidR="007C19F9" w:rsidRPr="001E4868">
        <w:t>répondre aux besoins des futures missions lunaires à grande échelle</w:t>
      </w:r>
      <w:r w:rsidRPr="001E4868">
        <w:t>,</w:t>
      </w:r>
    </w:p>
    <w:p w14:paraId="7D20EF2C" w14:textId="125AAFEA" w:rsidR="009A192F" w:rsidRPr="001E4868" w:rsidRDefault="009A192F" w:rsidP="007A5568">
      <w:pPr>
        <w:pStyle w:val="Call"/>
      </w:pPr>
      <w:r w:rsidRPr="001E4868">
        <w:t>considérant</w:t>
      </w:r>
    </w:p>
    <w:p w14:paraId="02762503" w14:textId="7A05F206" w:rsidR="009A192F" w:rsidRPr="001E4868" w:rsidRDefault="009A192F" w:rsidP="007A5568">
      <w:r w:rsidRPr="001E4868">
        <w:rPr>
          <w:i/>
          <w:iCs/>
        </w:rPr>
        <w:t>a)</w:t>
      </w:r>
      <w:r w:rsidRPr="001E4868">
        <w:tab/>
      </w:r>
      <w:r w:rsidR="007C19F9" w:rsidRPr="001E4868">
        <w:t>que l</w:t>
      </w:r>
      <w:r w:rsidR="007A5568" w:rsidRPr="001E4868">
        <w:t>'</w:t>
      </w:r>
      <w:r w:rsidR="007C19F9" w:rsidRPr="001E4868">
        <w:t>ensemble du processus de gestion du spectre, qui englobe l</w:t>
      </w:r>
      <w:r w:rsidR="007A5568" w:rsidRPr="001E4868">
        <w:t>'</w:t>
      </w:r>
      <w:r w:rsidR="007C19F9" w:rsidRPr="001E4868">
        <w:t>attribution, la coordination, l</w:t>
      </w:r>
      <w:r w:rsidR="007A5568" w:rsidRPr="001E4868">
        <w:t>'</w:t>
      </w:r>
      <w:r w:rsidR="007C19F9" w:rsidRPr="001E4868">
        <w:t>inscription, la notification et le contrôle, doit être ouvert et transparent, et que les procédures de conformité doivent être rationalisées pour améliorer l</w:t>
      </w:r>
      <w:r w:rsidR="007A5568" w:rsidRPr="001E4868">
        <w:t>'</w:t>
      </w:r>
      <w:r w:rsidR="007C19F9" w:rsidRPr="001E4868">
        <w:t>efficacité de la gestion</w:t>
      </w:r>
      <w:r w:rsidRPr="001E4868">
        <w:t>;</w:t>
      </w:r>
    </w:p>
    <w:p w14:paraId="1BA79509" w14:textId="6D2F3867" w:rsidR="009A192F" w:rsidRPr="001E4868" w:rsidRDefault="009A192F" w:rsidP="007A5568">
      <w:r w:rsidRPr="001E4868">
        <w:rPr>
          <w:i/>
          <w:iCs/>
        </w:rPr>
        <w:t>b)</w:t>
      </w:r>
      <w:r w:rsidRPr="001E4868">
        <w:tab/>
      </w:r>
      <w:r w:rsidR="00BC290C" w:rsidRPr="001E4868">
        <w:t>qu</w:t>
      </w:r>
      <w:r w:rsidR="007A5568" w:rsidRPr="001E4868">
        <w:t>'</w:t>
      </w:r>
      <w:r w:rsidR="00BC290C" w:rsidRPr="001E4868">
        <w:t xml:space="preserve">il faut intensifier </w:t>
      </w:r>
      <w:r w:rsidR="007C19F9" w:rsidRPr="001E4868">
        <w:t>l</w:t>
      </w:r>
      <w:r w:rsidR="007A5568" w:rsidRPr="001E4868">
        <w:t>'</w:t>
      </w:r>
      <w:r w:rsidR="007C19F9" w:rsidRPr="001E4868">
        <w:t xml:space="preserve">assistance technique et le renforcement des capacités en faveur des pays en développement, afin de garantir </w:t>
      </w:r>
      <w:r w:rsidR="00BC290C" w:rsidRPr="001E4868">
        <w:t xml:space="preserve">la </w:t>
      </w:r>
      <w:r w:rsidR="007C19F9" w:rsidRPr="001E4868">
        <w:t>participation égale</w:t>
      </w:r>
      <w:r w:rsidR="00BC290C" w:rsidRPr="001E4868">
        <w:t xml:space="preserve"> de ces pays</w:t>
      </w:r>
      <w:r w:rsidR="007C19F9" w:rsidRPr="001E4868">
        <w:t xml:space="preserve"> à l</w:t>
      </w:r>
      <w:r w:rsidR="007A5568" w:rsidRPr="001E4868">
        <w:t>'</w:t>
      </w:r>
      <w:r w:rsidR="007C19F9" w:rsidRPr="001E4868">
        <w:t>exploration de la Lune</w:t>
      </w:r>
      <w:r w:rsidRPr="001E4868">
        <w:t>;</w:t>
      </w:r>
    </w:p>
    <w:p w14:paraId="1A8D12CA" w14:textId="3A6D51DB" w:rsidR="009A192F" w:rsidRPr="001E4868" w:rsidRDefault="009A192F" w:rsidP="007A5568">
      <w:r w:rsidRPr="001E4868">
        <w:rPr>
          <w:i/>
          <w:iCs/>
        </w:rPr>
        <w:t>c)</w:t>
      </w:r>
      <w:r w:rsidRPr="001E4868">
        <w:tab/>
      </w:r>
      <w:r w:rsidR="007C19F9" w:rsidRPr="001E4868">
        <w:t>que le renforcement de la coordination intersectorielle et internationale facilite l</w:t>
      </w:r>
      <w:r w:rsidR="007A5568" w:rsidRPr="001E4868">
        <w:t>'</w:t>
      </w:r>
      <w:r w:rsidR="007C19F9" w:rsidRPr="001E4868">
        <w:t>établissement d</w:t>
      </w:r>
      <w:r w:rsidR="007A5568" w:rsidRPr="001E4868">
        <w:t>'</w:t>
      </w:r>
      <w:r w:rsidR="007C19F9" w:rsidRPr="001E4868">
        <w:t xml:space="preserve">un cadre unifié, compatible et interopérable pour la gouvernance du spectre </w:t>
      </w:r>
      <w:r w:rsidR="00BC290C" w:rsidRPr="001E4868">
        <w:t>utilisé sur la Lune</w:t>
      </w:r>
      <w:r w:rsidRPr="001E4868">
        <w:t>,</w:t>
      </w:r>
    </w:p>
    <w:p w14:paraId="05E36739" w14:textId="1B4B691A" w:rsidR="009A192F" w:rsidRPr="001E4868" w:rsidRDefault="009A192F" w:rsidP="007A5568">
      <w:pPr>
        <w:pStyle w:val="Call"/>
      </w:pPr>
      <w:r w:rsidRPr="001E4868">
        <w:t>décide</w:t>
      </w:r>
    </w:p>
    <w:p w14:paraId="5CF70510" w14:textId="797BCB09" w:rsidR="009A192F" w:rsidRPr="001E4868" w:rsidRDefault="009A192F" w:rsidP="007A5568">
      <w:r w:rsidRPr="001E4868">
        <w:t>1</w:t>
      </w:r>
      <w:r w:rsidRPr="001E4868">
        <w:tab/>
      </w:r>
      <w:r w:rsidR="007C19F9" w:rsidRPr="001E4868">
        <w:t>de souligner que l</w:t>
      </w:r>
      <w:r w:rsidR="007A5568" w:rsidRPr="001E4868">
        <w:t>'</w:t>
      </w:r>
      <w:r w:rsidR="007C19F9" w:rsidRPr="001E4868">
        <w:t>utilisation des fréquences radioélectriques sur la Lune et autour de celle-ci doit être conforme aux principes généraux de rationalité, d</w:t>
      </w:r>
      <w:r w:rsidR="007A5568" w:rsidRPr="001E4868">
        <w:t>'</w:t>
      </w:r>
      <w:r w:rsidR="007C19F9" w:rsidRPr="001E4868">
        <w:t>efficacité, d</w:t>
      </w:r>
      <w:r w:rsidR="007A5568" w:rsidRPr="001E4868">
        <w:t>'</w:t>
      </w:r>
      <w:r w:rsidR="007C19F9" w:rsidRPr="001E4868">
        <w:t>équité, de non</w:t>
      </w:r>
      <w:r w:rsidR="00690404" w:rsidRPr="001E4868">
        <w:noBreakHyphen/>
      </w:r>
      <w:r w:rsidR="007C19F9" w:rsidRPr="001E4868">
        <w:t>discrimination, de durabilité et de coopération internationale</w:t>
      </w:r>
      <w:r w:rsidRPr="001E4868">
        <w:t>;</w:t>
      </w:r>
    </w:p>
    <w:p w14:paraId="3112519D" w14:textId="05F61E4C" w:rsidR="009A192F" w:rsidRPr="001E4868" w:rsidRDefault="009A192F" w:rsidP="007A5568">
      <w:r w:rsidRPr="001E4868">
        <w:t>2</w:t>
      </w:r>
      <w:r w:rsidRPr="001E4868">
        <w:tab/>
      </w:r>
      <w:r w:rsidR="007C19F9" w:rsidRPr="001E4868">
        <w:t>d</w:t>
      </w:r>
      <w:r w:rsidR="007A5568" w:rsidRPr="001E4868">
        <w:t>'</w:t>
      </w:r>
      <w:r w:rsidR="007C19F9" w:rsidRPr="001E4868">
        <w:t xml:space="preserve">intégrer les besoins de spectre </w:t>
      </w:r>
      <w:r w:rsidR="00E1514E" w:rsidRPr="001E4868">
        <w:t>générés</w:t>
      </w:r>
      <w:r w:rsidR="007C19F9" w:rsidRPr="001E4868">
        <w:t xml:space="preserve"> par </w:t>
      </w:r>
      <w:r w:rsidR="00E1514E" w:rsidRPr="001E4868">
        <w:t>l</w:t>
      </w:r>
      <w:r w:rsidR="007A5568" w:rsidRPr="001E4868">
        <w:t>'</w:t>
      </w:r>
      <w:r w:rsidR="007C19F9" w:rsidRPr="001E4868">
        <w:t>exploration</w:t>
      </w:r>
      <w:r w:rsidR="00E1514E" w:rsidRPr="001E4868">
        <w:t xml:space="preserve"> </w:t>
      </w:r>
      <w:r w:rsidR="007C19F9" w:rsidRPr="001E4868">
        <w:t xml:space="preserve">et </w:t>
      </w:r>
      <w:r w:rsidR="00E1514E" w:rsidRPr="001E4868">
        <w:t>l</w:t>
      </w:r>
      <w:r w:rsidR="007A5568" w:rsidRPr="001E4868">
        <w:t>'</w:t>
      </w:r>
      <w:r w:rsidR="007C19F9" w:rsidRPr="001E4868">
        <w:t xml:space="preserve">utilisation de la Lune </w:t>
      </w:r>
      <w:r w:rsidR="00E1514E" w:rsidRPr="001E4868">
        <w:t xml:space="preserve">et les activités de développement connexes </w:t>
      </w:r>
      <w:r w:rsidR="007C19F9" w:rsidRPr="001E4868">
        <w:t>dans le système réglementaire à long terme de l</w:t>
      </w:r>
      <w:r w:rsidR="007A5568" w:rsidRPr="001E4868">
        <w:t>'</w:t>
      </w:r>
      <w:r w:rsidR="007C19F9" w:rsidRPr="001E4868">
        <w:t>UIT, et de promouvoir la mise en place d</w:t>
      </w:r>
      <w:r w:rsidR="007A5568" w:rsidRPr="001E4868">
        <w:t>'</w:t>
      </w:r>
      <w:r w:rsidR="007C19F9" w:rsidRPr="001E4868">
        <w:t>un régime de gestion du spectre transparent, stable et unifié</w:t>
      </w:r>
      <w:r w:rsidRPr="001E4868">
        <w:t>;</w:t>
      </w:r>
    </w:p>
    <w:p w14:paraId="3119656B" w14:textId="4A5BE9A3" w:rsidR="009A192F" w:rsidRPr="001E4868" w:rsidRDefault="009A192F" w:rsidP="007A5568">
      <w:r w:rsidRPr="001E4868">
        <w:t>3</w:t>
      </w:r>
      <w:r w:rsidRPr="001E4868">
        <w:tab/>
      </w:r>
      <w:r w:rsidR="007C19F9" w:rsidRPr="001E4868">
        <w:t>d</w:t>
      </w:r>
      <w:r w:rsidR="007A5568" w:rsidRPr="001E4868">
        <w:t>'</w:t>
      </w:r>
      <w:r w:rsidR="007C19F9" w:rsidRPr="001E4868">
        <w:t>adopter une approche équitable et inclusive en matière de gestion du spectre, et de garantir un accès non discriminatoire aux ressources en fréquences à tous les pays et opérateurs de mission</w:t>
      </w:r>
      <w:r w:rsidRPr="001E4868">
        <w:t>,</w:t>
      </w:r>
    </w:p>
    <w:p w14:paraId="57297C86" w14:textId="78992FD3" w:rsidR="009A192F" w:rsidRPr="001E4868" w:rsidRDefault="009A192F" w:rsidP="007A5568">
      <w:pPr>
        <w:pStyle w:val="Call"/>
      </w:pPr>
      <w:r w:rsidRPr="001E4868">
        <w:lastRenderedPageBreak/>
        <w:t>encourage les États Membres et les Membres de Secteur</w:t>
      </w:r>
    </w:p>
    <w:p w14:paraId="4B78AF71" w14:textId="2BBD10DA" w:rsidR="009A192F" w:rsidRPr="001E4868" w:rsidRDefault="009A192F" w:rsidP="007A5568">
      <w:r w:rsidRPr="001E4868">
        <w:t>1</w:t>
      </w:r>
      <w:r w:rsidRPr="001E4868">
        <w:tab/>
      </w:r>
      <w:r w:rsidR="007C19F9" w:rsidRPr="001E4868">
        <w:t>à participer activement aux études de l</w:t>
      </w:r>
      <w:r w:rsidR="007A5568" w:rsidRPr="001E4868">
        <w:t>'</w:t>
      </w:r>
      <w:r w:rsidR="007C19F9" w:rsidRPr="001E4868">
        <w:t>UIT-R sur l</w:t>
      </w:r>
      <w:r w:rsidR="007A5568" w:rsidRPr="001E4868">
        <w:t>'</w:t>
      </w:r>
      <w:r w:rsidR="007C19F9" w:rsidRPr="001E4868">
        <w:t>attribution de bandes de fréquences, les normes techniques, les mécanismes de coordination, la protection contre les brouillages et les conditions de partage des fréquences</w:t>
      </w:r>
      <w:r w:rsidR="00BC290C" w:rsidRPr="001E4868">
        <w:t xml:space="preserve"> pour les activités lunaires</w:t>
      </w:r>
      <w:r w:rsidR="007C19F9" w:rsidRPr="001E4868">
        <w:t>, et à échanger en temps voulu des données pertinentes et des données d</w:t>
      </w:r>
      <w:r w:rsidR="007A5568" w:rsidRPr="001E4868">
        <w:t>'</w:t>
      </w:r>
      <w:r w:rsidR="007C19F9" w:rsidRPr="001E4868">
        <w:t xml:space="preserve">expérience </w:t>
      </w:r>
      <w:r w:rsidR="007329C7" w:rsidRPr="001E4868">
        <w:t>concrètes</w:t>
      </w:r>
      <w:r w:rsidRPr="001E4868">
        <w:t>;</w:t>
      </w:r>
    </w:p>
    <w:p w14:paraId="6B43C3DB" w14:textId="3D8B91D5" w:rsidR="009A192F" w:rsidRPr="001E4868" w:rsidRDefault="009A192F" w:rsidP="007A5568">
      <w:r w:rsidRPr="001E4868">
        <w:t>2</w:t>
      </w:r>
      <w:r w:rsidRPr="001E4868">
        <w:tab/>
      </w:r>
      <w:r w:rsidR="007C19F9" w:rsidRPr="001E4868">
        <w:t xml:space="preserve">à promouvoir le renforcement des capacités </w:t>
      </w:r>
      <w:r w:rsidR="007329C7" w:rsidRPr="001E4868">
        <w:t>dans le domaine du</w:t>
      </w:r>
      <w:r w:rsidR="007C19F9" w:rsidRPr="001E4868">
        <w:t xml:space="preserve"> spectre </w:t>
      </w:r>
      <w:r w:rsidR="00BC290C" w:rsidRPr="001E4868">
        <w:t>pour l</w:t>
      </w:r>
      <w:r w:rsidR="007C19F9" w:rsidRPr="001E4868">
        <w:t>es pays en développement participant à l</w:t>
      </w:r>
      <w:r w:rsidR="007A5568" w:rsidRPr="001E4868">
        <w:t>'</w:t>
      </w:r>
      <w:r w:rsidR="007C19F9" w:rsidRPr="001E4868">
        <w:t>exploration de la Lune, et à approfondir la coopération en ce qui concerne l</w:t>
      </w:r>
      <w:r w:rsidR="007A5568" w:rsidRPr="001E4868">
        <w:t>'</w:t>
      </w:r>
      <w:r w:rsidR="007C19F9" w:rsidRPr="001E4868">
        <w:t>échange de données techniques, l</w:t>
      </w:r>
      <w:r w:rsidR="007A5568" w:rsidRPr="001E4868">
        <w:t>'</w:t>
      </w:r>
      <w:r w:rsidR="007C19F9" w:rsidRPr="001E4868">
        <w:t>échange d</w:t>
      </w:r>
      <w:r w:rsidR="007A5568" w:rsidRPr="001E4868">
        <w:t>'</w:t>
      </w:r>
      <w:r w:rsidR="007C19F9" w:rsidRPr="001E4868">
        <w:t>informations et la formation du personnel</w:t>
      </w:r>
      <w:r w:rsidRPr="001E4868">
        <w:t>;</w:t>
      </w:r>
    </w:p>
    <w:p w14:paraId="5219B6B8" w14:textId="35FC4A16" w:rsidR="009A192F" w:rsidRPr="001E4868" w:rsidRDefault="009A192F" w:rsidP="007A5568">
      <w:r w:rsidRPr="001E4868">
        <w:t>3</w:t>
      </w:r>
      <w:r w:rsidRPr="001E4868">
        <w:tab/>
      </w:r>
      <w:r w:rsidR="007C19F9" w:rsidRPr="001E4868">
        <w:t xml:space="preserve">à encourager les recherches sur les prévisions de la demande de spectre, les modèles de partage et les technologies </w:t>
      </w:r>
      <w:r w:rsidR="00BC290C" w:rsidRPr="001E4868">
        <w:t>d</w:t>
      </w:r>
      <w:r w:rsidR="007A5568" w:rsidRPr="001E4868">
        <w:t>'</w:t>
      </w:r>
      <w:r w:rsidR="00BC290C" w:rsidRPr="001E4868">
        <w:t xml:space="preserve">utilisation du spectre </w:t>
      </w:r>
      <w:r w:rsidR="007C19F9" w:rsidRPr="001E4868">
        <w:t>innovantes</w:t>
      </w:r>
      <w:r w:rsidR="00BC290C" w:rsidRPr="001E4868">
        <w:t xml:space="preserve"> pour les activités lunaires</w:t>
      </w:r>
      <w:r w:rsidR="007C19F9" w:rsidRPr="001E4868">
        <w:t>, afin de consolider les bases d</w:t>
      </w:r>
      <w:r w:rsidR="007A5568" w:rsidRPr="001E4868">
        <w:t>'</w:t>
      </w:r>
      <w:r w:rsidR="007C19F9" w:rsidRPr="001E4868">
        <w:t>une gestion durable du spectre</w:t>
      </w:r>
      <w:r w:rsidRPr="001E4868">
        <w:t>.</w:t>
      </w:r>
    </w:p>
    <w:p w14:paraId="206A21B7" w14:textId="77777777" w:rsidR="00792DE0" w:rsidRPr="001E4868" w:rsidRDefault="00792DE0" w:rsidP="007A5568">
      <w:pPr>
        <w:pStyle w:val="Reasons"/>
      </w:pPr>
    </w:p>
    <w:p w14:paraId="229C1BE9" w14:textId="77777777" w:rsidR="00792DE0" w:rsidRPr="001E4868" w:rsidRDefault="00792DE0" w:rsidP="007A5568">
      <w:pPr>
        <w:jc w:val="center"/>
      </w:pPr>
      <w:r w:rsidRPr="001E4868">
        <w:t>______________</w:t>
      </w:r>
    </w:p>
    <w:sectPr w:rsidR="00792DE0" w:rsidRPr="001E4868"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63AC" w14:textId="77777777" w:rsidR="00FD6224" w:rsidRDefault="00FD6224">
      <w:r>
        <w:separator/>
      </w:r>
    </w:p>
  </w:endnote>
  <w:endnote w:type="continuationSeparator" w:id="0">
    <w:p w14:paraId="2BFF4212" w14:textId="77777777" w:rsidR="00FD6224" w:rsidRDefault="00FD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57B3"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3145D" w14:textId="77777777" w:rsidR="00FD6224" w:rsidRDefault="00FD6224">
      <w:r>
        <w:t>____________________</w:t>
      </w:r>
    </w:p>
  </w:footnote>
  <w:footnote w:type="continuationSeparator" w:id="0">
    <w:p w14:paraId="59A117FE" w14:textId="77777777" w:rsidR="00FD6224" w:rsidRDefault="00FD6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395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B9FB77E" w14:textId="77777777" w:rsidR="00BD1614" w:rsidRDefault="00BD1614" w:rsidP="001E2226">
    <w:pPr>
      <w:pStyle w:val="Header"/>
    </w:pPr>
    <w:r>
      <w:t>PP</w:t>
    </w:r>
    <w:r w:rsidR="002A7A1D">
      <w:t>2</w:t>
    </w:r>
    <w:r w:rsidR="008407A7">
      <w:t>6</w:t>
    </w:r>
    <w:r>
      <w:t>/86-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A0D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468A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70ED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BF490F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9C21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22D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4416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A27F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4E54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387F94"/>
    <w:lvl w:ilvl="0">
      <w:start w:val="1"/>
      <w:numFmt w:val="bullet"/>
      <w:lvlText w:val=""/>
      <w:lvlJc w:val="left"/>
      <w:pPr>
        <w:tabs>
          <w:tab w:val="num" w:pos="360"/>
        </w:tabs>
        <w:ind w:left="360" w:hanging="360"/>
      </w:pPr>
      <w:rPr>
        <w:rFonts w:ascii="Symbol" w:hAnsi="Symbol" w:hint="default"/>
      </w:rPr>
    </w:lvl>
  </w:abstractNum>
  <w:num w:numId="1" w16cid:durableId="1359432308">
    <w:abstractNumId w:val="9"/>
  </w:num>
  <w:num w:numId="2" w16cid:durableId="1828395402">
    <w:abstractNumId w:val="7"/>
  </w:num>
  <w:num w:numId="3" w16cid:durableId="956331061">
    <w:abstractNumId w:val="6"/>
  </w:num>
  <w:num w:numId="4" w16cid:durableId="665785951">
    <w:abstractNumId w:val="5"/>
  </w:num>
  <w:num w:numId="5" w16cid:durableId="990864147">
    <w:abstractNumId w:val="4"/>
  </w:num>
  <w:num w:numId="6" w16cid:durableId="1446149619">
    <w:abstractNumId w:val="8"/>
  </w:num>
  <w:num w:numId="7" w16cid:durableId="93015139">
    <w:abstractNumId w:val="3"/>
  </w:num>
  <w:num w:numId="8" w16cid:durableId="1317419212">
    <w:abstractNumId w:val="2"/>
  </w:num>
  <w:num w:numId="9" w16cid:durableId="931090588">
    <w:abstractNumId w:val="1"/>
  </w:num>
  <w:num w:numId="10" w16cid:durableId="194392003">
    <w:abstractNumId w:val="0"/>
  </w:num>
  <w:num w:numId="11" w16cid:durableId="268516475">
    <w:abstractNumId w:val="8"/>
  </w:num>
  <w:num w:numId="12" w16cid:durableId="1272083527">
    <w:abstractNumId w:val="3"/>
  </w:num>
  <w:num w:numId="13" w16cid:durableId="859709067">
    <w:abstractNumId w:val="2"/>
  </w:num>
  <w:num w:numId="14" w16cid:durableId="1662998376">
    <w:abstractNumId w:val="1"/>
  </w:num>
  <w:num w:numId="15" w16cid:durableId="1100876705">
    <w:abstractNumId w:val="0"/>
  </w:num>
  <w:num w:numId="16" w16cid:durableId="1651135147">
    <w:abstractNumId w:val="8"/>
  </w:num>
  <w:num w:numId="17" w16cid:durableId="1424649797">
    <w:abstractNumId w:val="3"/>
  </w:num>
  <w:num w:numId="18" w16cid:durableId="1878663677">
    <w:abstractNumId w:val="2"/>
  </w:num>
  <w:num w:numId="19" w16cid:durableId="1383166295">
    <w:abstractNumId w:val="1"/>
  </w:num>
  <w:num w:numId="20" w16cid:durableId="1500537180">
    <w:abstractNumId w:val="0"/>
  </w:num>
  <w:num w:numId="21" w16cid:durableId="661928129">
    <w:abstractNumId w:val="8"/>
  </w:num>
  <w:num w:numId="22" w16cid:durableId="1506821311">
    <w:abstractNumId w:val="3"/>
  </w:num>
  <w:num w:numId="23" w16cid:durableId="662469835">
    <w:abstractNumId w:val="2"/>
  </w:num>
  <w:num w:numId="24" w16cid:durableId="1049838016">
    <w:abstractNumId w:val="1"/>
  </w:num>
  <w:num w:numId="25" w16cid:durableId="1280183724">
    <w:abstractNumId w:val="0"/>
  </w:num>
  <w:num w:numId="26" w16cid:durableId="1290864511">
    <w:abstractNumId w:val="8"/>
  </w:num>
  <w:num w:numId="27" w16cid:durableId="1046104280">
    <w:abstractNumId w:val="3"/>
  </w:num>
  <w:num w:numId="28" w16cid:durableId="846142337">
    <w:abstractNumId w:val="2"/>
  </w:num>
  <w:num w:numId="29" w16cid:durableId="488987634">
    <w:abstractNumId w:val="1"/>
  </w:num>
  <w:num w:numId="30" w16cid:durableId="383526140">
    <w:abstractNumId w:val="0"/>
  </w:num>
  <w:num w:numId="31" w16cid:durableId="285625962">
    <w:abstractNumId w:val="8"/>
  </w:num>
  <w:num w:numId="32" w16cid:durableId="1846161922">
    <w:abstractNumId w:val="3"/>
  </w:num>
  <w:num w:numId="33" w16cid:durableId="1272977647">
    <w:abstractNumId w:val="2"/>
  </w:num>
  <w:num w:numId="34" w16cid:durableId="56631770">
    <w:abstractNumId w:val="1"/>
  </w:num>
  <w:num w:numId="35" w16cid:durableId="505091732">
    <w:abstractNumId w:val="0"/>
  </w:num>
  <w:num w:numId="36" w16cid:durableId="793982945">
    <w:abstractNumId w:val="8"/>
  </w:num>
  <w:num w:numId="37" w16cid:durableId="1037315679">
    <w:abstractNumId w:val="3"/>
  </w:num>
  <w:num w:numId="38" w16cid:durableId="1493906792">
    <w:abstractNumId w:val="2"/>
  </w:num>
  <w:num w:numId="39" w16cid:durableId="1423794453">
    <w:abstractNumId w:val="1"/>
  </w:num>
  <w:num w:numId="40" w16cid:durableId="1365789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C62A5"/>
    <w:rsid w:val="000C6756"/>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E4868"/>
    <w:rsid w:val="001F0B24"/>
    <w:rsid w:val="001F6233"/>
    <w:rsid w:val="00214288"/>
    <w:rsid w:val="002355CD"/>
    <w:rsid w:val="00270B2F"/>
    <w:rsid w:val="002712F9"/>
    <w:rsid w:val="002A0E1B"/>
    <w:rsid w:val="002A7A1D"/>
    <w:rsid w:val="002B6A1B"/>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3D6CF8"/>
    <w:rsid w:val="00413CB9"/>
    <w:rsid w:val="004170B3"/>
    <w:rsid w:val="00430015"/>
    <w:rsid w:val="004678D0"/>
    <w:rsid w:val="00482954"/>
    <w:rsid w:val="004951C0"/>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0404"/>
    <w:rsid w:val="00696B2D"/>
    <w:rsid w:val="006A2656"/>
    <w:rsid w:val="006A3475"/>
    <w:rsid w:val="006A6342"/>
    <w:rsid w:val="006B6C9C"/>
    <w:rsid w:val="006C7AE3"/>
    <w:rsid w:val="006D55E8"/>
    <w:rsid w:val="006E1921"/>
    <w:rsid w:val="006F36F9"/>
    <w:rsid w:val="0070576B"/>
    <w:rsid w:val="00711D63"/>
    <w:rsid w:val="00713335"/>
    <w:rsid w:val="00727C2F"/>
    <w:rsid w:val="007329C7"/>
    <w:rsid w:val="00735F13"/>
    <w:rsid w:val="007575CC"/>
    <w:rsid w:val="007717F2"/>
    <w:rsid w:val="00772E3B"/>
    <w:rsid w:val="00780430"/>
    <w:rsid w:val="0078134C"/>
    <w:rsid w:val="00792DE0"/>
    <w:rsid w:val="007A47E9"/>
    <w:rsid w:val="007A5568"/>
    <w:rsid w:val="007A5830"/>
    <w:rsid w:val="007C19F9"/>
    <w:rsid w:val="007D21FB"/>
    <w:rsid w:val="007E64F7"/>
    <w:rsid w:val="007E6621"/>
    <w:rsid w:val="00801256"/>
    <w:rsid w:val="008264FC"/>
    <w:rsid w:val="008407A7"/>
    <w:rsid w:val="008703CB"/>
    <w:rsid w:val="008A7E65"/>
    <w:rsid w:val="008B61AF"/>
    <w:rsid w:val="008C33C2"/>
    <w:rsid w:val="008C6137"/>
    <w:rsid w:val="008E2DB4"/>
    <w:rsid w:val="00901DD5"/>
    <w:rsid w:val="00901E77"/>
    <w:rsid w:val="0090735B"/>
    <w:rsid w:val="00912D5E"/>
    <w:rsid w:val="00934340"/>
    <w:rsid w:val="00956DC7"/>
    <w:rsid w:val="00966CD3"/>
    <w:rsid w:val="00987A20"/>
    <w:rsid w:val="009A0E15"/>
    <w:rsid w:val="009A192F"/>
    <w:rsid w:val="009B65C1"/>
    <w:rsid w:val="009D4037"/>
    <w:rsid w:val="009F0592"/>
    <w:rsid w:val="00A20E72"/>
    <w:rsid w:val="00A246DC"/>
    <w:rsid w:val="00A47BAF"/>
    <w:rsid w:val="00A542D3"/>
    <w:rsid w:val="00A5784F"/>
    <w:rsid w:val="00A8436E"/>
    <w:rsid w:val="00A95B66"/>
    <w:rsid w:val="00AB190D"/>
    <w:rsid w:val="00AE0667"/>
    <w:rsid w:val="00AE55B6"/>
    <w:rsid w:val="00B05108"/>
    <w:rsid w:val="00B41E0A"/>
    <w:rsid w:val="00B56DE0"/>
    <w:rsid w:val="00B71F12"/>
    <w:rsid w:val="00B76FEC"/>
    <w:rsid w:val="00B96B1E"/>
    <w:rsid w:val="00BB2A6F"/>
    <w:rsid w:val="00BC290C"/>
    <w:rsid w:val="00BD0761"/>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D7D2C"/>
    <w:rsid w:val="00CE1A7C"/>
    <w:rsid w:val="00CE496F"/>
    <w:rsid w:val="00D0464B"/>
    <w:rsid w:val="00D12C74"/>
    <w:rsid w:val="00D2263F"/>
    <w:rsid w:val="00D56483"/>
    <w:rsid w:val="00D5658F"/>
    <w:rsid w:val="00D56AD6"/>
    <w:rsid w:val="00D70019"/>
    <w:rsid w:val="00D74B58"/>
    <w:rsid w:val="00D82ABE"/>
    <w:rsid w:val="00D8714C"/>
    <w:rsid w:val="00DA4ABA"/>
    <w:rsid w:val="00DA685B"/>
    <w:rsid w:val="00DA742B"/>
    <w:rsid w:val="00DF25C1"/>
    <w:rsid w:val="00DF48F7"/>
    <w:rsid w:val="00DF4964"/>
    <w:rsid w:val="00DF4D73"/>
    <w:rsid w:val="00DF79B0"/>
    <w:rsid w:val="00E1047D"/>
    <w:rsid w:val="00E1514E"/>
    <w:rsid w:val="00E4050B"/>
    <w:rsid w:val="00E443FA"/>
    <w:rsid w:val="00E54FCE"/>
    <w:rsid w:val="00E60DA1"/>
    <w:rsid w:val="00E921A2"/>
    <w:rsid w:val="00E93D35"/>
    <w:rsid w:val="00EA45DB"/>
    <w:rsid w:val="00EC1877"/>
    <w:rsid w:val="00ED2CD9"/>
    <w:rsid w:val="00F07DA7"/>
    <w:rsid w:val="00F3254F"/>
    <w:rsid w:val="00F32BEB"/>
    <w:rsid w:val="00F564C1"/>
    <w:rsid w:val="00F77FA2"/>
    <w:rsid w:val="00F8357A"/>
    <w:rsid w:val="00FA1B77"/>
    <w:rsid w:val="00FB4B65"/>
    <w:rsid w:val="00FB74B8"/>
    <w:rsid w:val="00FC49E0"/>
    <w:rsid w:val="00FD13BE"/>
    <w:rsid w:val="00FD6224"/>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62843"/>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E64F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2509845-e35a-4627-beb2-e897b1167240">DPM</DPM_x0020_Author>
    <DPM_x0020_File_x0020_name xmlns="f2509845-e35a-4627-beb2-e897b1167240">S26-PP-C-0086!!MSW-F</DPM_x0020_File_x0020_name>
    <DPM_x0020_Version xmlns="f2509845-e35a-4627-beb2-e897b1167240">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2509845-e35a-4627-beb2-e897b1167240" targetNamespace="http://schemas.microsoft.com/office/2006/metadata/properties" ma:root="true" ma:fieldsID="d41af5c836d734370eb92e7ee5f83852" ns2:_="" ns3:_="">
    <xsd:import namespace="996b2e75-67fd-4955-a3b0-5ab9934cb50b"/>
    <xsd:import namespace="f2509845-e35a-4627-beb2-e897b116724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2509845-e35a-4627-beb2-e897b116724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2509845-e35a-4627-beb2-e897b1167240"/>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2509845-e35a-4627-beb2-e897b1167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900</Words>
  <Characters>6067</Characters>
  <Application>Microsoft Office Word</Application>
  <DocSecurity>0</DocSecurity>
  <Lines>116</Lines>
  <Paragraphs>53</Paragraphs>
  <ScaleCrop>false</ScaleCrop>
  <HeadingPairs>
    <vt:vector size="2" baseType="variant">
      <vt:variant>
        <vt:lpstr>Title</vt:lpstr>
      </vt:variant>
      <vt:variant>
        <vt:i4>1</vt:i4>
      </vt:variant>
    </vt:vector>
  </HeadingPairs>
  <TitlesOfParts>
    <vt:vector size="1" baseType="lpstr">
      <vt:lpstr>S26-PP-C-0086!!MSW-F</vt:lpstr>
    </vt:vector>
  </TitlesOfParts>
  <Manager/>
  <Company/>
  <LinksUpToDate>false</LinksUpToDate>
  <CharactersWithSpaces>6914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S26-PP-C-0086!!MSW-F</dc:title>
  <dc:subject>ITU Plenipotentiary Conference (PP-26)</dc:subject>
  <dc:creator>Documents Proposals Manager (DPM)</dc:creator>
  <cp:keywords>DPM_v2026.8.25.1_prod</cp:keywords>
  <dc:description/>
  <cp:lastModifiedBy>French</cp:lastModifiedBy>
  <cp:revision>8</cp:revision>
  <dcterms:created xsi:type="dcterms:W3CDTF">2026-10-26T07:22:00Z</dcterms:created>
  <dcterms:modified xsi:type="dcterms:W3CDTF">2026-10-26T08:08:00Z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