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BBA7EB3" w14:textId="77777777" w:rsidTr="00C70164">
        <w:trPr>
          <w:cantSplit/>
          <w:jc w:val="center"/>
        </w:trPr>
        <w:tc>
          <w:tcPr>
            <w:tcW w:w="10031" w:type="dxa"/>
            <w:gridSpan w:val="2"/>
            <w:tcMar>
              <w:left w:w="0" w:type="dxa"/>
              <w:right w:w="0" w:type="dxa"/>
            </w:tcMar>
            <w:vAlign w:val="center"/>
          </w:tcPr>
          <w:p w14:paraId="7B32823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88D3EA0" wp14:editId="0DA85E3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5FC5902" w14:textId="77777777" w:rsidTr="00C70164">
        <w:trPr>
          <w:cantSplit/>
          <w:trHeight w:val="283"/>
          <w:jc w:val="center"/>
        </w:trPr>
        <w:tc>
          <w:tcPr>
            <w:tcW w:w="10031" w:type="dxa"/>
            <w:gridSpan w:val="2"/>
            <w:tcBorders>
              <w:bottom w:val="single" w:sz="12" w:space="0" w:color="71716F"/>
            </w:tcBorders>
          </w:tcPr>
          <w:p w14:paraId="1C9B89A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034281E" w14:textId="77777777" w:rsidTr="00C70164">
        <w:trPr>
          <w:cantSplit/>
          <w:trHeight w:val="255"/>
          <w:jc w:val="center"/>
        </w:trPr>
        <w:tc>
          <w:tcPr>
            <w:tcW w:w="7230" w:type="dxa"/>
            <w:tcBorders>
              <w:top w:val="single" w:sz="12" w:space="0" w:color="71716F"/>
            </w:tcBorders>
          </w:tcPr>
          <w:p w14:paraId="0CEF61F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68D2793" w14:textId="77777777" w:rsidR="001A16ED" w:rsidRPr="00D96B4B" w:rsidRDefault="001A16ED" w:rsidP="000B596F">
            <w:pPr>
              <w:spacing w:before="0"/>
              <w:rPr>
                <w:rFonts w:cstheme="minorHAnsi"/>
                <w:sz w:val="20"/>
              </w:rPr>
            </w:pPr>
          </w:p>
        </w:tc>
      </w:tr>
      <w:tr w:rsidR="001A16ED" w:rsidRPr="00C324A8" w14:paraId="4AC082B3" w14:textId="77777777" w:rsidTr="00C70164">
        <w:trPr>
          <w:cantSplit/>
          <w:trHeight w:val="23"/>
          <w:jc w:val="center"/>
        </w:trPr>
        <w:tc>
          <w:tcPr>
            <w:tcW w:w="7230" w:type="dxa"/>
          </w:tcPr>
          <w:p w14:paraId="6BF3C81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24FCEE3" w14:textId="77777777" w:rsidR="001A16ED" w:rsidRPr="00F44B1A" w:rsidRDefault="001A16ED" w:rsidP="000B596F">
            <w:pPr>
              <w:tabs>
                <w:tab w:val="left" w:pos="851"/>
              </w:tabs>
              <w:spacing w:before="0"/>
              <w:rPr>
                <w:rFonts w:cstheme="minorHAnsi"/>
                <w:b/>
                <w:szCs w:val="24"/>
              </w:rPr>
            </w:pPr>
            <w:r>
              <w:rPr>
                <w:rFonts w:cstheme="minorHAnsi"/>
                <w:b/>
                <w:szCs w:val="24"/>
              </w:rPr>
              <w:t>Document 85</w:t>
            </w:r>
            <w:r w:rsidR="00F44B1A" w:rsidRPr="00F44B1A">
              <w:rPr>
                <w:rFonts w:cstheme="minorHAnsi"/>
                <w:b/>
                <w:szCs w:val="24"/>
              </w:rPr>
              <w:t>-E</w:t>
            </w:r>
          </w:p>
        </w:tc>
      </w:tr>
      <w:tr w:rsidR="001A16ED" w:rsidRPr="00C324A8" w14:paraId="1932C331" w14:textId="77777777" w:rsidTr="00C70164">
        <w:trPr>
          <w:cantSplit/>
          <w:trHeight w:val="23"/>
          <w:jc w:val="center"/>
        </w:trPr>
        <w:tc>
          <w:tcPr>
            <w:tcW w:w="7230" w:type="dxa"/>
          </w:tcPr>
          <w:p w14:paraId="5662FB9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E5BF78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AE363E6" w14:textId="77777777" w:rsidTr="00C70164">
        <w:trPr>
          <w:cantSplit/>
          <w:trHeight w:val="23"/>
          <w:jc w:val="center"/>
        </w:trPr>
        <w:tc>
          <w:tcPr>
            <w:tcW w:w="7230" w:type="dxa"/>
          </w:tcPr>
          <w:p w14:paraId="4B76F28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D43536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4242ABC" w14:textId="77777777" w:rsidTr="00C70164">
        <w:trPr>
          <w:cantSplit/>
          <w:trHeight w:val="23"/>
          <w:jc w:val="center"/>
        </w:trPr>
        <w:tc>
          <w:tcPr>
            <w:tcW w:w="10031" w:type="dxa"/>
            <w:gridSpan w:val="2"/>
          </w:tcPr>
          <w:p w14:paraId="507C1AFD" w14:textId="77777777" w:rsidR="001A16ED" w:rsidRPr="00D96B4B" w:rsidRDefault="001A16ED" w:rsidP="000B596F">
            <w:pPr>
              <w:tabs>
                <w:tab w:val="left" w:pos="993"/>
              </w:tabs>
              <w:rPr>
                <w:rFonts w:ascii="Verdana" w:hAnsi="Verdana"/>
                <w:b/>
                <w:szCs w:val="24"/>
              </w:rPr>
            </w:pPr>
          </w:p>
        </w:tc>
      </w:tr>
      <w:tr w:rsidR="001A16ED" w:rsidRPr="00C324A8" w14:paraId="19C2B2B3" w14:textId="77777777" w:rsidTr="00C70164">
        <w:trPr>
          <w:cantSplit/>
          <w:trHeight w:val="23"/>
          <w:jc w:val="center"/>
        </w:trPr>
        <w:tc>
          <w:tcPr>
            <w:tcW w:w="10031" w:type="dxa"/>
            <w:gridSpan w:val="2"/>
          </w:tcPr>
          <w:p w14:paraId="3A884B6F" w14:textId="77777777" w:rsidR="001A16ED" w:rsidRDefault="001A16ED" w:rsidP="000B596F">
            <w:pPr>
              <w:pStyle w:val="Source"/>
            </w:pPr>
            <w:r>
              <w:t>Australia/Japan/New Zealand/Tonga (Kingdom of)</w:t>
            </w:r>
          </w:p>
        </w:tc>
      </w:tr>
      <w:tr w:rsidR="001A16ED" w:rsidRPr="00C324A8" w14:paraId="1D28C535" w14:textId="77777777" w:rsidTr="00C70164">
        <w:trPr>
          <w:cantSplit/>
          <w:trHeight w:val="23"/>
          <w:jc w:val="center"/>
        </w:trPr>
        <w:tc>
          <w:tcPr>
            <w:tcW w:w="10031" w:type="dxa"/>
            <w:gridSpan w:val="2"/>
          </w:tcPr>
          <w:p w14:paraId="5D4E3A8B" w14:textId="77777777" w:rsidR="001A16ED" w:rsidRDefault="001A16ED" w:rsidP="000B596F">
            <w:pPr>
              <w:pStyle w:val="Title1"/>
            </w:pPr>
            <w:r>
              <w:t>PROPOSALS FOR THE WORK OF THE CONFERENCE</w:t>
            </w:r>
          </w:p>
        </w:tc>
      </w:tr>
      <w:tr w:rsidR="001A16ED" w:rsidRPr="00C324A8" w14:paraId="7EDDF149" w14:textId="77777777" w:rsidTr="00C70164">
        <w:trPr>
          <w:cantSplit/>
          <w:trHeight w:val="23"/>
          <w:jc w:val="center"/>
        </w:trPr>
        <w:tc>
          <w:tcPr>
            <w:tcW w:w="10031" w:type="dxa"/>
            <w:gridSpan w:val="2"/>
          </w:tcPr>
          <w:p w14:paraId="40224C82" w14:textId="77777777" w:rsidR="001A16ED" w:rsidRDefault="001A16ED" w:rsidP="000B596F">
            <w:pPr>
              <w:pStyle w:val="Title2"/>
            </w:pPr>
            <w:r>
              <w:t>Proposed suppresion of Resolution 146</w:t>
            </w:r>
          </w:p>
        </w:tc>
      </w:tr>
      <w:tr w:rsidR="001A16ED" w:rsidRPr="00C324A8" w14:paraId="48929DF8" w14:textId="77777777" w:rsidTr="00C70164">
        <w:trPr>
          <w:cantSplit/>
          <w:trHeight w:val="23"/>
          <w:jc w:val="center"/>
        </w:trPr>
        <w:tc>
          <w:tcPr>
            <w:tcW w:w="10031" w:type="dxa"/>
            <w:gridSpan w:val="2"/>
          </w:tcPr>
          <w:p w14:paraId="237E8A76" w14:textId="77777777" w:rsidR="001A16ED" w:rsidRDefault="001A16ED" w:rsidP="000B596F">
            <w:pPr>
              <w:pStyle w:val="Agendaitem"/>
            </w:pPr>
          </w:p>
        </w:tc>
      </w:tr>
    </w:tbl>
    <w:bookmarkEnd w:id="6"/>
    <w:bookmarkEnd w:id="7"/>
    <w:p w14:paraId="59807F88" w14:textId="77777777" w:rsidR="00396713" w:rsidRPr="00830B6E" w:rsidRDefault="00396713" w:rsidP="00396713">
      <w:pPr>
        <w:pStyle w:val="Headingb"/>
      </w:pPr>
      <w:r w:rsidRPr="00830B6E">
        <w:t>Proposal</w:t>
      </w:r>
    </w:p>
    <w:p w14:paraId="3BC30969" w14:textId="6FCF11D2" w:rsidR="001A16ED" w:rsidRDefault="00396713" w:rsidP="00396713">
      <w:r>
        <w:t>The co-authors</w:t>
      </w:r>
      <w:r w:rsidRPr="00830B6E">
        <w:t xml:space="preserve"> propose to suppress (SUP) Resolution 146 (Rev. Bucharest, 2022), </w:t>
      </w:r>
      <w:r>
        <w:t>on the p</w:t>
      </w:r>
      <w:r w:rsidRPr="00830B6E">
        <w:t>eriodic review of the International Telecommunication Regulations.</w:t>
      </w:r>
    </w:p>
    <w:p w14:paraId="444CE493" w14:textId="77777777" w:rsidR="0008540E" w:rsidRPr="0008540E" w:rsidRDefault="001A16ED" w:rsidP="00004F8B">
      <w:r>
        <w:br w:type="page"/>
      </w:r>
    </w:p>
    <w:p w14:paraId="54E9B6AA" w14:textId="77777777" w:rsidR="00ED2C35" w:rsidRPr="00396713" w:rsidRDefault="00E13B5E">
      <w:pPr>
        <w:pStyle w:val="Proposal"/>
        <w:rPr>
          <w:lang w:val="fr-FR"/>
        </w:rPr>
      </w:pPr>
      <w:r w:rsidRPr="00396713">
        <w:rPr>
          <w:lang w:val="fr-FR"/>
        </w:rPr>
        <w:lastRenderedPageBreak/>
        <w:t>SUP</w:t>
      </w:r>
      <w:r w:rsidRPr="00396713">
        <w:rPr>
          <w:lang w:val="fr-FR"/>
        </w:rPr>
        <w:tab/>
        <w:t>AUS/J/NZL/TON/85/1</w:t>
      </w:r>
    </w:p>
    <w:p w14:paraId="25117ABD" w14:textId="77777777" w:rsidR="00E13B5E" w:rsidRPr="00B66444" w:rsidRDefault="00E13B5E" w:rsidP="002D6687">
      <w:pPr>
        <w:pStyle w:val="ResNo"/>
      </w:pPr>
      <w:r w:rsidRPr="00B66444">
        <w:t>RESOLUTION</w:t>
      </w:r>
      <w:r w:rsidRPr="00B66444">
        <w:t> </w:t>
      </w:r>
      <w:r w:rsidRPr="00B66444">
        <w:rPr>
          <w:rStyle w:val="href"/>
        </w:rPr>
        <w:t>146</w:t>
      </w:r>
      <w:r w:rsidRPr="00B66444">
        <w:t xml:space="preserve"> (</w:t>
      </w:r>
      <w:r w:rsidRPr="00B66444">
        <w:t xml:space="preserve">REV. </w:t>
      </w:r>
      <w:r w:rsidRPr="00B66444">
        <w:t>BUCHAREST, 2022)</w:t>
      </w:r>
    </w:p>
    <w:p w14:paraId="2A9E7C7A" w14:textId="77777777" w:rsidR="00E13B5E" w:rsidRPr="00B66444" w:rsidRDefault="00E13B5E" w:rsidP="007F4EDE">
      <w:pPr>
        <w:pStyle w:val="Restitle"/>
      </w:pPr>
      <w:r w:rsidRPr="00B66444">
        <w:t>Periodic review of the International Telecommunication Regulations</w:t>
      </w:r>
    </w:p>
    <w:p w14:paraId="1D1A29AB" w14:textId="77777777" w:rsidR="00E13B5E" w:rsidRPr="00B66444" w:rsidRDefault="00E13B5E" w:rsidP="007F4EDE">
      <w:pPr>
        <w:pStyle w:val="Normalaftertitle"/>
        <w:rPr>
          <w:lang w:eastAsia="zh-CN"/>
        </w:rPr>
      </w:pPr>
      <w:r w:rsidRPr="00B66444">
        <w:t>The Plenipotentiary Conference of the International Telecommunication Union (</w:t>
      </w:r>
      <w:r w:rsidRPr="00B66444">
        <w:rPr>
          <w:rFonts w:cs="Arial"/>
          <w:szCs w:val="24"/>
        </w:rPr>
        <w:t>Bucharest, 2022)</w:t>
      </w:r>
      <w:r w:rsidRPr="00B66444">
        <w:t>,</w:t>
      </w:r>
    </w:p>
    <w:p w14:paraId="1BC9A368" w14:textId="71E91D8B" w:rsidR="002F25A8" w:rsidRDefault="00E13B5E" w:rsidP="002F25A8">
      <w:pPr>
        <w:pStyle w:val="Reasons"/>
      </w:pPr>
      <w:r>
        <w:rPr>
          <w:b/>
        </w:rPr>
        <w:t>Reasons:</w:t>
      </w:r>
      <w:r>
        <w:tab/>
      </w:r>
      <w:r w:rsidR="00396713">
        <w:t>Resolution 146 (Rev. Bucharest, 2022) directed the Secretary-General to reconvene the Expert Group on the ITRs (EG-ITRs), tasked Council with establishing its terms of reference and considering its reports and required the submission of a final report to PP-26.</w:t>
      </w:r>
      <w:r w:rsidR="00396713">
        <w:br/>
      </w:r>
      <w:r w:rsidR="00396713">
        <w:t>The EG-ITRs reconvened in 2023, concluded its review, and submitted its final report to the 2026 Council for onward consideration by PP-26. Resolution 146 has therefore fulfilled the purpose for which it was revised at PP-22, and the work is now complete. The latest EG-ITRs' final report again confirmed an absence of consensus on a way forward for the ITRs, consistent with the outcomes reported to Council in 2018 and 2022. The co-authors therefore see no need to continue a standing cycle of ITR review across successive plenipotentiary periods.</w:t>
      </w:r>
      <w:r w:rsidR="00396713">
        <w:br/>
      </w:r>
      <w:r w:rsidR="00396713">
        <w:t>Suppressing Resolution 146 would not prevent future consideration of the ITRs. Article 25 of the ITU Constitution already enables a World Conference on International Telecommunications (WCIT) to revise the ITRs, in whole or in part, should Member States consider this necessary. The existing constitutional framework therefore remains available if circumstances change.</w:t>
      </w:r>
      <w:r w:rsidR="00396713">
        <w:br/>
      </w:r>
      <w:r w:rsidR="00396713">
        <w:t>The telecommunications and ICT environment has evolved significantly since the ITRs were developed, technological change alone does not justify new or revised treaty-level provisions. Even if the ITRs are established as high-level principles, this raises questions of necessity. Where issues can be addressed effectively through Recommendations, standards, resolutions and other non-binding frameworks, which provide greater flexibility to respond to technological and market developments.</w:t>
      </w:r>
      <w:r w:rsidR="00396713">
        <w:br/>
      </w:r>
      <w:r w:rsidR="00396713">
        <w:t xml:space="preserve">Importantly, flexibility is particular important for least developed countries, small island developing states, landlocked developing countries and countries with economies in transition, which have different levels of connectivity, institutional capacity and market development and should retain the ability to determine how emerging technologies are addressed according to their national circumstances and development priorities. </w:t>
      </w:r>
      <w:r w:rsidR="00396713">
        <w:br/>
      </w:r>
      <w:r w:rsidR="00396713">
        <w:t>Lastly, whether Member States can choose whether to be bound by new or revised ITRs does not establish the need for a new treaty. International telecommunications depend on global interconnection and new treaty provisions that are not widely accepted could increase regulatory fragmentation rather than promote coherence. The ability to not sign is an important safeguard of sovereignty, but it is not a substitute for demonstrating that new treaty obligations are necessary, proportionate and cannot be addressed more effectively through existing ITU mechanisms.</w:t>
      </w:r>
    </w:p>
    <w:p w14:paraId="739E5256" w14:textId="757057E7" w:rsidR="002F25A8" w:rsidRDefault="002F25A8" w:rsidP="002F25A8">
      <w:pPr>
        <w:jc w:val="center"/>
      </w:pPr>
      <w:r>
        <w:t>______________</w:t>
      </w:r>
    </w:p>
    <w:sectPr w:rsidR="002F25A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989D" w14:textId="77777777" w:rsidR="00E13B5E" w:rsidRDefault="00E13B5E">
      <w:r>
        <w:separator/>
      </w:r>
    </w:p>
  </w:endnote>
  <w:endnote w:type="continuationSeparator" w:id="0">
    <w:p w14:paraId="4E2F0B03" w14:textId="77777777" w:rsidR="00E13B5E" w:rsidRDefault="00E13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E977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AD58"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412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1F82" w14:textId="77777777" w:rsidR="00E13B5E" w:rsidRDefault="00E13B5E">
      <w:r>
        <w:t>____________________</w:t>
      </w:r>
    </w:p>
  </w:footnote>
  <w:footnote w:type="continuationSeparator" w:id="0">
    <w:p w14:paraId="2C23D945" w14:textId="77777777" w:rsidR="00E13B5E" w:rsidRDefault="00E13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777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43D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79CEFF0" w14:textId="77777777" w:rsidR="00CE1B90" w:rsidRDefault="00CE1B90" w:rsidP="004F7925">
    <w:pPr>
      <w:pStyle w:val="Header"/>
    </w:pPr>
    <w:r>
      <w:t>PP</w:t>
    </w:r>
    <w:r w:rsidR="000235EC">
      <w:t>2</w:t>
    </w:r>
    <w:r w:rsidR="00EF3B7A">
      <w:t>6</w:t>
    </w:r>
    <w:r>
      <w:t>/85-E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8AE6E"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4740"/>
    <w:rsid w:val="002E77F4"/>
    <w:rsid w:val="002F25A8"/>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96713"/>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162C2"/>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13B5E"/>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2C35"/>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3C97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c751245-331f-4755-aa16-ef7ebd1da278" targetNamespace="http://schemas.microsoft.com/office/2006/metadata/properties" ma:root="true" ma:fieldsID="d41af5c836d734370eb92e7ee5f83852" ns2:_="" ns3:_="">
    <xsd:import namespace="996b2e75-67fd-4955-a3b0-5ab9934cb50b"/>
    <xsd:import namespace="7c751245-331f-4755-aa16-ef7ebd1da27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c751245-331f-4755-aa16-ef7ebd1da27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7c751245-331f-4755-aa16-ef7ebd1da278">DPM</DPM_x0020_Author>
    <DPM_x0020_File_x0020_name xmlns="7c751245-331f-4755-aa16-ef7ebd1da278">S26-PP-C-0085!!MSW-E</DPM_x0020_File_x0020_name>
    <DPM_x0020_Version xmlns="7c751245-331f-4755-aa16-ef7ebd1da278">DPM_2025.10.23.1</DPM_x0020_Version>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c751245-331f-4755-aa16-ef7ebd1da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c751245-331f-4755-aa16-ef7ebd1da27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390</Words>
  <Characters>2902</Characters>
  <Application>Microsoft Office Word</Application>
  <DocSecurity>0</DocSecurity>
  <Lines>181</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S26-PP-C-0085!!MSW-E</dc:title>
  <dc:subject>ITU Plenipotentiary Conference (PP-26)</dc:subject>
  <dc:creator>Documents Proposals Manager (DPM)</dc:creator>
  <cp:keywords>DPM_v2026.8.25.1_prod</cp:keywords>
  <cp:lastModifiedBy>GBS2</cp:lastModifiedBy>
  <cp:revision>4</cp:revision>
  <dcterms:created xsi:type="dcterms:W3CDTF">2026-10-21T15:40:00Z</dcterms:created>
  <dcterms:modified xsi:type="dcterms:W3CDTF">2026-10-21T15:42:00Z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