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FB03B3" w14:paraId="0C63472D" w14:textId="77777777" w:rsidTr="005A329F">
        <w:trPr>
          <w:cantSplit/>
          <w:jc w:val="center"/>
        </w:trPr>
        <w:tc>
          <w:tcPr>
            <w:tcW w:w="10031" w:type="dxa"/>
            <w:gridSpan w:val="2"/>
            <w:tcMar>
              <w:left w:w="0" w:type="dxa"/>
              <w:right w:w="0" w:type="dxa"/>
            </w:tcMar>
            <w:vAlign w:val="center"/>
          </w:tcPr>
          <w:p w14:paraId="4B9E20F5" w14:textId="77777777" w:rsidR="00BF32F2" w:rsidRPr="00FB03B3" w:rsidRDefault="00BF32F2" w:rsidP="00BF32F2">
            <w:pPr>
              <w:spacing w:before="0" w:line="240" w:lineRule="atLeast"/>
              <w:rPr>
                <w:rFonts w:cstheme="minorHAnsi"/>
                <w:lang w:val="es-ES"/>
              </w:rPr>
            </w:pPr>
            <w:bookmarkStart w:id="0" w:name="ditulogo"/>
            <w:bookmarkEnd w:id="0"/>
            <w:r w:rsidRPr="00FB03B3">
              <w:rPr>
                <w:rFonts w:cstheme="minorHAnsi"/>
                <w:noProof/>
                <w:lang w:val="es-ES"/>
              </w:rPr>
              <w:drawing>
                <wp:anchor distT="0" distB="0" distL="0" distR="0" simplePos="0" relativeHeight="251658240" behindDoc="1" locked="0" layoutInCell="1" allowOverlap="1" wp14:anchorId="527D5B98" wp14:editId="2E2FC42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FB03B3" w14:paraId="51E4A1E2" w14:textId="77777777" w:rsidTr="005A329F">
        <w:trPr>
          <w:cantSplit/>
          <w:trHeight w:val="283"/>
          <w:jc w:val="center"/>
        </w:trPr>
        <w:tc>
          <w:tcPr>
            <w:tcW w:w="10031" w:type="dxa"/>
            <w:gridSpan w:val="2"/>
            <w:tcBorders>
              <w:bottom w:val="single" w:sz="12" w:space="0" w:color="71716F"/>
            </w:tcBorders>
          </w:tcPr>
          <w:p w14:paraId="57AE399A" w14:textId="77777777" w:rsidR="00277985" w:rsidRPr="00FB03B3" w:rsidRDefault="00277985" w:rsidP="00BF32F2">
            <w:pPr>
              <w:spacing w:before="0" w:line="240" w:lineRule="atLeast"/>
              <w:rPr>
                <w:rFonts w:cstheme="minorHAnsi"/>
                <w:b/>
                <w:smallCaps/>
                <w:szCs w:val="24"/>
                <w:lang w:val="es-ES"/>
              </w:rPr>
            </w:pPr>
            <w:bookmarkStart w:id="1" w:name="dhead"/>
          </w:p>
        </w:tc>
      </w:tr>
      <w:tr w:rsidR="00255FA1" w:rsidRPr="00FB03B3" w14:paraId="7EE8AF17" w14:textId="77777777" w:rsidTr="005A329F">
        <w:trPr>
          <w:cantSplit/>
          <w:trHeight w:val="255"/>
          <w:jc w:val="center"/>
        </w:trPr>
        <w:tc>
          <w:tcPr>
            <w:tcW w:w="7229" w:type="dxa"/>
            <w:tcBorders>
              <w:top w:val="single" w:sz="12" w:space="0" w:color="71716F"/>
            </w:tcBorders>
          </w:tcPr>
          <w:p w14:paraId="4B234C3E" w14:textId="77777777" w:rsidR="00255FA1" w:rsidRPr="00FB03B3"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430CB01" w14:textId="77777777" w:rsidR="00255FA1" w:rsidRPr="00FB03B3" w:rsidRDefault="00255FA1" w:rsidP="00BF32F2">
            <w:pPr>
              <w:spacing w:before="0"/>
              <w:rPr>
                <w:rFonts w:cstheme="minorHAnsi"/>
                <w:szCs w:val="24"/>
                <w:lang w:val="es-ES"/>
              </w:rPr>
            </w:pPr>
          </w:p>
        </w:tc>
      </w:tr>
      <w:tr w:rsidR="00255FA1" w:rsidRPr="00FB03B3" w14:paraId="68E11BE4" w14:textId="77777777" w:rsidTr="005A329F">
        <w:trPr>
          <w:cantSplit/>
          <w:jc w:val="center"/>
        </w:trPr>
        <w:tc>
          <w:tcPr>
            <w:tcW w:w="7229" w:type="dxa"/>
          </w:tcPr>
          <w:p w14:paraId="3F91FB5E" w14:textId="77777777" w:rsidR="00255FA1" w:rsidRPr="00FB03B3" w:rsidRDefault="00255FA1" w:rsidP="003B5DC9">
            <w:pPr>
              <w:pStyle w:val="Committee"/>
              <w:framePr w:hSpace="0" w:wrap="auto" w:hAnchor="text" w:yAlign="inline"/>
              <w:spacing w:after="0" w:line="240" w:lineRule="auto"/>
              <w:rPr>
                <w:lang w:val="es-ES"/>
              </w:rPr>
            </w:pPr>
            <w:r w:rsidRPr="00FB03B3">
              <w:rPr>
                <w:lang w:val="es-ES"/>
              </w:rPr>
              <w:t>SESIÓN PLENARIA</w:t>
            </w:r>
          </w:p>
        </w:tc>
        <w:tc>
          <w:tcPr>
            <w:tcW w:w="2802" w:type="dxa"/>
          </w:tcPr>
          <w:p w14:paraId="5E652248" w14:textId="77777777" w:rsidR="00255FA1" w:rsidRPr="00FB03B3" w:rsidRDefault="00255FA1" w:rsidP="003B5DC9">
            <w:pPr>
              <w:spacing w:before="0"/>
              <w:rPr>
                <w:rFonts w:cstheme="minorHAnsi"/>
                <w:szCs w:val="24"/>
                <w:lang w:val="es-ES"/>
              </w:rPr>
            </w:pPr>
            <w:r w:rsidRPr="00FB03B3">
              <w:rPr>
                <w:rFonts w:cstheme="minorHAnsi"/>
                <w:b/>
                <w:szCs w:val="24"/>
                <w:lang w:val="es-ES"/>
              </w:rPr>
              <w:t>Documento 83</w:t>
            </w:r>
            <w:r w:rsidR="00262FF4" w:rsidRPr="00FB03B3">
              <w:rPr>
                <w:rFonts w:cstheme="minorHAnsi"/>
                <w:b/>
                <w:szCs w:val="24"/>
                <w:lang w:val="es-ES"/>
              </w:rPr>
              <w:t>-S</w:t>
            </w:r>
          </w:p>
        </w:tc>
      </w:tr>
      <w:tr w:rsidR="00255FA1" w:rsidRPr="00FB03B3" w14:paraId="1A1F6A7D" w14:textId="77777777" w:rsidTr="005A329F">
        <w:trPr>
          <w:cantSplit/>
          <w:jc w:val="center"/>
        </w:trPr>
        <w:tc>
          <w:tcPr>
            <w:tcW w:w="7229" w:type="dxa"/>
          </w:tcPr>
          <w:p w14:paraId="1EF7DDB6" w14:textId="77777777" w:rsidR="00255FA1" w:rsidRPr="00FB03B3" w:rsidRDefault="00255FA1" w:rsidP="003B5DC9">
            <w:pPr>
              <w:spacing w:before="0"/>
              <w:rPr>
                <w:rFonts w:cstheme="minorHAnsi"/>
                <w:b/>
                <w:szCs w:val="24"/>
                <w:lang w:val="es-ES"/>
              </w:rPr>
            </w:pPr>
          </w:p>
        </w:tc>
        <w:tc>
          <w:tcPr>
            <w:tcW w:w="2802" w:type="dxa"/>
          </w:tcPr>
          <w:p w14:paraId="26014777" w14:textId="77777777" w:rsidR="00255FA1" w:rsidRPr="00FB03B3" w:rsidRDefault="00255FA1" w:rsidP="003B5DC9">
            <w:pPr>
              <w:spacing w:before="0"/>
              <w:rPr>
                <w:rFonts w:cstheme="minorHAnsi"/>
                <w:b/>
                <w:szCs w:val="24"/>
                <w:lang w:val="es-ES"/>
              </w:rPr>
            </w:pPr>
            <w:r w:rsidRPr="00FB03B3">
              <w:rPr>
                <w:rFonts w:cstheme="minorHAnsi"/>
                <w:b/>
                <w:szCs w:val="24"/>
                <w:lang w:val="es-ES"/>
              </w:rPr>
              <w:t>18 de octubre de 2026</w:t>
            </w:r>
          </w:p>
        </w:tc>
      </w:tr>
      <w:tr w:rsidR="00255FA1" w:rsidRPr="00FB03B3" w14:paraId="36FD83C7" w14:textId="77777777" w:rsidTr="005A329F">
        <w:trPr>
          <w:cantSplit/>
          <w:jc w:val="center"/>
        </w:trPr>
        <w:tc>
          <w:tcPr>
            <w:tcW w:w="7229" w:type="dxa"/>
          </w:tcPr>
          <w:p w14:paraId="4244F11C" w14:textId="77777777" w:rsidR="00255FA1" w:rsidRPr="00FB03B3" w:rsidRDefault="00255FA1" w:rsidP="003B5DC9">
            <w:pPr>
              <w:spacing w:before="0"/>
              <w:rPr>
                <w:rFonts w:cstheme="minorHAnsi"/>
                <w:b/>
                <w:smallCaps/>
                <w:szCs w:val="24"/>
                <w:lang w:val="es-ES"/>
              </w:rPr>
            </w:pPr>
          </w:p>
        </w:tc>
        <w:tc>
          <w:tcPr>
            <w:tcW w:w="2802" w:type="dxa"/>
          </w:tcPr>
          <w:p w14:paraId="69E2A5BF" w14:textId="77777777" w:rsidR="00255FA1" w:rsidRPr="00FB03B3" w:rsidRDefault="00255FA1" w:rsidP="003B5DC9">
            <w:pPr>
              <w:spacing w:before="0"/>
              <w:rPr>
                <w:rFonts w:cstheme="minorHAnsi"/>
                <w:b/>
                <w:szCs w:val="24"/>
                <w:lang w:val="es-ES"/>
              </w:rPr>
            </w:pPr>
            <w:r w:rsidRPr="00FB03B3">
              <w:rPr>
                <w:rFonts w:cstheme="minorHAnsi"/>
                <w:b/>
                <w:szCs w:val="24"/>
                <w:lang w:val="es-ES"/>
              </w:rPr>
              <w:t>Original: inglés</w:t>
            </w:r>
          </w:p>
        </w:tc>
      </w:tr>
      <w:tr w:rsidR="00255FA1" w:rsidRPr="00FB03B3" w14:paraId="614AD321" w14:textId="77777777" w:rsidTr="005A329F">
        <w:trPr>
          <w:cantSplit/>
          <w:jc w:val="center"/>
        </w:trPr>
        <w:tc>
          <w:tcPr>
            <w:tcW w:w="10031" w:type="dxa"/>
            <w:gridSpan w:val="2"/>
          </w:tcPr>
          <w:p w14:paraId="36B538A5" w14:textId="77777777" w:rsidR="00255FA1" w:rsidRPr="00FB03B3" w:rsidRDefault="00255FA1" w:rsidP="003B5DC9">
            <w:pPr>
              <w:spacing w:before="0" w:line="240" w:lineRule="atLeast"/>
              <w:rPr>
                <w:rFonts w:cstheme="minorHAnsi"/>
                <w:b/>
                <w:szCs w:val="24"/>
                <w:lang w:val="es-ES"/>
              </w:rPr>
            </w:pPr>
          </w:p>
        </w:tc>
      </w:tr>
      <w:tr w:rsidR="00255FA1" w:rsidRPr="00FB03B3" w14:paraId="23743EE1" w14:textId="77777777" w:rsidTr="005A329F">
        <w:trPr>
          <w:cantSplit/>
          <w:jc w:val="center"/>
        </w:trPr>
        <w:tc>
          <w:tcPr>
            <w:tcW w:w="10031" w:type="dxa"/>
            <w:gridSpan w:val="2"/>
          </w:tcPr>
          <w:p w14:paraId="0E9273E1" w14:textId="77777777" w:rsidR="00255FA1" w:rsidRPr="00FB03B3" w:rsidRDefault="00255FA1" w:rsidP="003B5DC9">
            <w:pPr>
              <w:pStyle w:val="Source"/>
              <w:rPr>
                <w:lang w:val="es-ES"/>
              </w:rPr>
            </w:pPr>
            <w:bookmarkStart w:id="2" w:name="dsource" w:colFirst="0" w:colLast="0"/>
            <w:bookmarkEnd w:id="1"/>
            <w:r w:rsidRPr="00FB03B3">
              <w:rPr>
                <w:lang w:val="es-ES"/>
              </w:rPr>
              <w:t>Brasil (República Federativa del)/Kazajstán (República de)/Filipinas (República de)</w:t>
            </w:r>
          </w:p>
        </w:tc>
      </w:tr>
      <w:tr w:rsidR="00FB03B3" w:rsidRPr="00FB03B3" w14:paraId="4BA77C94" w14:textId="77777777" w:rsidTr="005A329F">
        <w:trPr>
          <w:cantSplit/>
          <w:jc w:val="center"/>
        </w:trPr>
        <w:tc>
          <w:tcPr>
            <w:tcW w:w="10031" w:type="dxa"/>
            <w:gridSpan w:val="2"/>
          </w:tcPr>
          <w:p w14:paraId="3D9D03CC" w14:textId="144025AE" w:rsidR="00FB03B3" w:rsidRPr="00FB03B3" w:rsidRDefault="00FB03B3" w:rsidP="00FB03B3">
            <w:pPr>
              <w:pStyle w:val="Title1"/>
              <w:rPr>
                <w:lang w:val="es-ES"/>
              </w:rPr>
            </w:pPr>
            <w:bookmarkStart w:id="3" w:name="dtitle1" w:colFirst="0" w:colLast="0"/>
            <w:bookmarkEnd w:id="2"/>
            <w:r w:rsidRPr="00FB03B3">
              <w:rPr>
                <w:color w:val="000000"/>
                <w:lang w:val="es-ES"/>
              </w:rPr>
              <w:t>PROPUESTAS PARA LOS TRABAJOS DE LA CONFERENCIA</w:t>
            </w:r>
          </w:p>
        </w:tc>
      </w:tr>
      <w:tr w:rsidR="00FB03B3" w:rsidRPr="00FB03B3" w14:paraId="3CF39BF6" w14:textId="77777777" w:rsidTr="005A329F">
        <w:trPr>
          <w:cantSplit/>
          <w:jc w:val="center"/>
        </w:trPr>
        <w:tc>
          <w:tcPr>
            <w:tcW w:w="10031" w:type="dxa"/>
            <w:gridSpan w:val="2"/>
          </w:tcPr>
          <w:p w14:paraId="736320F0" w14:textId="1976E845" w:rsidR="00FB03B3" w:rsidRPr="00FB03B3" w:rsidRDefault="00FB03B3" w:rsidP="00FB03B3">
            <w:pPr>
              <w:pStyle w:val="Title2"/>
              <w:rPr>
                <w:lang w:val="es-ES"/>
              </w:rPr>
            </w:pPr>
            <w:bookmarkStart w:id="4" w:name="dtitle2" w:colFirst="0" w:colLast="0"/>
            <w:bookmarkEnd w:id="3"/>
            <w:r w:rsidRPr="00FB03B3">
              <w:rPr>
                <w:color w:val="000000"/>
                <w:lang w:val="es-ES"/>
              </w:rPr>
              <w:t>Propuesta de proyecto de nueva Resolución: Resiliencia de cables submarinos</w:t>
            </w:r>
          </w:p>
        </w:tc>
      </w:tr>
      <w:tr w:rsidR="00255FA1" w:rsidRPr="00FB03B3" w14:paraId="363E79B9" w14:textId="77777777" w:rsidTr="005A329F">
        <w:trPr>
          <w:cantSplit/>
          <w:jc w:val="center"/>
        </w:trPr>
        <w:tc>
          <w:tcPr>
            <w:tcW w:w="10031" w:type="dxa"/>
            <w:gridSpan w:val="2"/>
          </w:tcPr>
          <w:p w14:paraId="68B3011C" w14:textId="77777777" w:rsidR="00255FA1" w:rsidRPr="00FB03B3" w:rsidRDefault="00255FA1" w:rsidP="003B5DC9">
            <w:pPr>
              <w:pStyle w:val="Agendaitem"/>
              <w:rPr>
                <w:lang w:val="es-ES"/>
              </w:rPr>
            </w:pPr>
            <w:bookmarkStart w:id="5" w:name="dtitle3" w:colFirst="0" w:colLast="0"/>
            <w:bookmarkEnd w:id="4"/>
          </w:p>
        </w:tc>
      </w:tr>
      <w:bookmarkEnd w:id="5"/>
    </w:tbl>
    <w:p w14:paraId="15D06CED" w14:textId="77777777" w:rsidR="00504FD4" w:rsidRPr="00FB03B3" w:rsidRDefault="00504FD4" w:rsidP="00930E84">
      <w:pPr>
        <w:rPr>
          <w:lang w:val="es-ES"/>
        </w:rPr>
      </w:pPr>
    </w:p>
    <w:p w14:paraId="77EF74D8" w14:textId="77777777" w:rsidR="00255FA1" w:rsidRPr="00FB03B3"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FB03B3">
        <w:rPr>
          <w:rStyle w:val="PageNumber"/>
          <w:lang w:val="es-ES"/>
        </w:rPr>
        <w:br w:type="page"/>
      </w:r>
    </w:p>
    <w:p w14:paraId="38627DE0" w14:textId="77777777" w:rsidR="001D3B40" w:rsidRPr="00FB03B3" w:rsidRDefault="00F82D7F">
      <w:pPr>
        <w:pStyle w:val="Proposal"/>
        <w:rPr>
          <w:lang w:val="es-ES"/>
        </w:rPr>
      </w:pPr>
      <w:r w:rsidRPr="00FB03B3">
        <w:rPr>
          <w:lang w:val="es-ES"/>
        </w:rPr>
        <w:lastRenderedPageBreak/>
        <w:t>ADD</w:t>
      </w:r>
      <w:r w:rsidRPr="00FB03B3">
        <w:rPr>
          <w:lang w:val="es-ES"/>
        </w:rPr>
        <w:tab/>
        <w:t>B/KAZ/PHL/83/1</w:t>
      </w:r>
    </w:p>
    <w:p w14:paraId="3583DA82" w14:textId="77777777" w:rsidR="001D3B40" w:rsidRPr="00FB03B3" w:rsidRDefault="00F82D7F">
      <w:pPr>
        <w:pStyle w:val="ResNo"/>
        <w:rPr>
          <w:lang w:val="es-ES"/>
        </w:rPr>
      </w:pPr>
      <w:r w:rsidRPr="00FB03B3">
        <w:rPr>
          <w:lang w:val="es-ES"/>
        </w:rPr>
        <w:t>Proyecto de nueva Resolución [B/KAZ/PHL-1]</w:t>
      </w:r>
    </w:p>
    <w:p w14:paraId="7AABE2B4" w14:textId="77777777" w:rsidR="00FB03B3" w:rsidRPr="00FB03B3" w:rsidRDefault="00FB03B3" w:rsidP="00FB03B3">
      <w:pPr>
        <w:pStyle w:val="Restitle"/>
        <w:rPr>
          <w:lang w:val="es-ES"/>
        </w:rPr>
      </w:pPr>
      <w:r w:rsidRPr="00FB03B3">
        <w:rPr>
          <w:bCs/>
          <w:lang w:val="es-ES"/>
        </w:rPr>
        <w:t>Resiliencia de cables submarinos</w:t>
      </w:r>
    </w:p>
    <w:p w14:paraId="12C49CF4" w14:textId="175F49FE" w:rsidR="00FB03B3" w:rsidRPr="00FB03B3" w:rsidRDefault="00FB03B3" w:rsidP="00FB03B3">
      <w:pPr>
        <w:pStyle w:val="Normalaftertitle"/>
        <w:rPr>
          <w:lang w:val="es-ES"/>
        </w:rPr>
      </w:pPr>
      <w:r w:rsidRPr="00FB03B3">
        <w:rPr>
          <w:lang w:val="es-ES"/>
        </w:rPr>
        <w:t>La Conferencia de Plenipotenciarios de la Unión Internacional de Telecomunicaciones (Doha,</w:t>
      </w:r>
      <w:r w:rsidR="00CF2F49">
        <w:rPr>
          <w:lang w:val="es-ES"/>
        </w:rPr>
        <w:t> </w:t>
      </w:r>
      <w:r w:rsidRPr="00FB03B3">
        <w:rPr>
          <w:lang w:val="es-ES"/>
        </w:rPr>
        <w:t>2026),</w:t>
      </w:r>
    </w:p>
    <w:p w14:paraId="1BC5E4F4" w14:textId="77777777" w:rsidR="00FB03B3" w:rsidRPr="00FB03B3" w:rsidRDefault="00FB03B3" w:rsidP="00CF2F49">
      <w:pPr>
        <w:pStyle w:val="Call"/>
        <w:rPr>
          <w:lang w:val="es-ES"/>
        </w:rPr>
      </w:pPr>
      <w:r w:rsidRPr="00FB03B3">
        <w:rPr>
          <w:lang w:val="es-ES"/>
        </w:rPr>
        <w:t>recordando</w:t>
      </w:r>
    </w:p>
    <w:p w14:paraId="11ED33D8" w14:textId="77777777" w:rsidR="00FB03B3" w:rsidRPr="00FB03B3" w:rsidRDefault="00FB03B3" w:rsidP="00FB03B3">
      <w:pPr>
        <w:rPr>
          <w:lang w:val="es-ES"/>
        </w:rPr>
      </w:pPr>
      <w:r w:rsidRPr="00FB03B3">
        <w:rPr>
          <w:i/>
          <w:iCs/>
          <w:lang w:val="es-ES"/>
        </w:rPr>
        <w:t>a)</w:t>
      </w:r>
      <w:r w:rsidRPr="00FB03B3">
        <w:rPr>
          <w:lang w:val="es-ES"/>
        </w:rPr>
        <w:tab/>
        <w:t>la Resolución 136 (Rev. Bucarest, 2022) de la Conferencia de Plenipotenciarios, sobre la utilización de las telecomunicaciones/tecnologías de la información y la comunicación al servicio de la asistencia humanitaria y en el control y la gestión de situaciones de emergencia y catástrofes, incluidas las situaciones de emergencia sanitaria, la alerta temprana, la prevención, la mitigación y las operaciones de socorro;</w:t>
      </w:r>
    </w:p>
    <w:p w14:paraId="53EA98B8" w14:textId="77777777" w:rsidR="00FB03B3" w:rsidRPr="00FB03B3" w:rsidRDefault="00FB03B3" w:rsidP="00FB03B3">
      <w:pPr>
        <w:rPr>
          <w:lang w:val="es-ES"/>
        </w:rPr>
      </w:pPr>
      <w:r w:rsidRPr="00FB03B3">
        <w:rPr>
          <w:i/>
          <w:iCs/>
          <w:lang w:val="es-ES"/>
        </w:rPr>
        <w:t>b)</w:t>
      </w:r>
      <w:r w:rsidRPr="00FB03B3">
        <w:rPr>
          <w:lang w:val="es-ES"/>
        </w:rPr>
        <w:tab/>
        <w:t>la Resolución 203 (Rev. Bucarest, 2022) de la Conferencia de Plenipotenciarios sobre la conectividad a redes de banda ancha;</w:t>
      </w:r>
    </w:p>
    <w:p w14:paraId="69F1ADF9" w14:textId="77777777" w:rsidR="00FB03B3" w:rsidRPr="00FB03B3" w:rsidRDefault="00FB03B3" w:rsidP="00FB03B3">
      <w:pPr>
        <w:rPr>
          <w:lang w:val="es-ES"/>
        </w:rPr>
      </w:pPr>
      <w:r w:rsidRPr="00FB03B3">
        <w:rPr>
          <w:i/>
          <w:iCs/>
          <w:lang w:val="es-ES"/>
        </w:rPr>
        <w:t>c)</w:t>
      </w:r>
      <w:r w:rsidRPr="00FB03B3">
        <w:rPr>
          <w:lang w:val="es-ES"/>
        </w:rPr>
        <w:tab/>
        <w:t>la Resolución 73 (Rev. Nueva Delhi, 2024) de la Asamblea Mundial de Normalización de las Telecomunicaciones, sobre la utilización de las telecomunicaciones/tecnologías de la información y la comunicación para el cambio climático y la protección del medioambiente;</w:t>
      </w:r>
    </w:p>
    <w:p w14:paraId="77AC0F35" w14:textId="77777777" w:rsidR="00FB03B3" w:rsidRPr="00FB03B3" w:rsidRDefault="00FB03B3" w:rsidP="00FB03B3">
      <w:pPr>
        <w:rPr>
          <w:lang w:val="es-ES"/>
        </w:rPr>
      </w:pPr>
      <w:r w:rsidRPr="00FB03B3">
        <w:rPr>
          <w:i/>
          <w:iCs/>
          <w:lang w:val="es-ES"/>
        </w:rPr>
        <w:t>d)</w:t>
      </w:r>
      <w:r w:rsidRPr="00FB03B3">
        <w:rPr>
          <w:lang w:val="es-ES"/>
        </w:rPr>
        <w:tab/>
        <w:t>la Resolución 34 (Rev. Bakú, 2025) de la Conferencia Mundial de Desarrollo de las Telecomunicaciones, sobre asistencia y apoyo a países con necesidades especiales para la reconstrucción de su sector de telecomunicaciones;</w:t>
      </w:r>
    </w:p>
    <w:p w14:paraId="1ED057B9" w14:textId="77777777" w:rsidR="00FB03B3" w:rsidRPr="00FB03B3" w:rsidRDefault="00FB03B3" w:rsidP="00FB03B3">
      <w:pPr>
        <w:rPr>
          <w:lang w:val="es-ES"/>
        </w:rPr>
      </w:pPr>
      <w:r w:rsidRPr="00FB03B3">
        <w:rPr>
          <w:i/>
          <w:iCs/>
          <w:lang w:val="es-ES"/>
        </w:rPr>
        <w:t>e)</w:t>
      </w:r>
      <w:r w:rsidRPr="00FB03B3">
        <w:rPr>
          <w:lang w:val="es-ES"/>
        </w:rPr>
        <w:tab/>
        <w:t>la Resolución 77 (Rev. Bakú, 2025) de la Conferencia Mundial de Desarrollo de las Telecomunicaciones, sobre tecnología y aplicaciones de banda ancha para un mayor crecimiento y desarrollo de los servicios de telecomunicaciones/tecnologías de la información y la comunicación y la conectividad de banda ancha;</w:t>
      </w:r>
    </w:p>
    <w:p w14:paraId="39C2043D" w14:textId="77777777" w:rsidR="00FB03B3" w:rsidRPr="00FB03B3" w:rsidRDefault="00FB03B3" w:rsidP="00FB03B3">
      <w:pPr>
        <w:rPr>
          <w:lang w:val="es-ES"/>
        </w:rPr>
      </w:pPr>
      <w:r w:rsidRPr="00FB03B3">
        <w:rPr>
          <w:i/>
          <w:iCs/>
          <w:lang w:val="es-ES"/>
        </w:rPr>
        <w:t>f)</w:t>
      </w:r>
      <w:r w:rsidRPr="00FB03B3">
        <w:rPr>
          <w:lang w:val="es-ES"/>
        </w:rPr>
        <w:tab/>
        <w:t>la Resolución 1 (Dubái, 2012) de la Conferencia Mundial de Telecomunicaciones Internacionales, sobre medidas especiales en favor de los países en desarrollo sin litoral y los pequeños Estados insulares en desarrollo para el acceso a redes internacionales de fibra óptica,</w:t>
      </w:r>
    </w:p>
    <w:p w14:paraId="63295C31" w14:textId="77777777" w:rsidR="00FB03B3" w:rsidRPr="00FB03B3" w:rsidRDefault="00FB03B3" w:rsidP="00CF2F49">
      <w:pPr>
        <w:pStyle w:val="Call"/>
        <w:rPr>
          <w:lang w:val="es-ES"/>
        </w:rPr>
      </w:pPr>
      <w:r w:rsidRPr="00FB03B3">
        <w:rPr>
          <w:lang w:val="es-ES"/>
        </w:rPr>
        <w:t>considerando</w:t>
      </w:r>
    </w:p>
    <w:p w14:paraId="44C2C14E" w14:textId="77777777" w:rsidR="00FB03B3" w:rsidRPr="00FB03B3" w:rsidRDefault="00FB03B3" w:rsidP="00FB03B3">
      <w:pPr>
        <w:rPr>
          <w:lang w:val="es-ES"/>
        </w:rPr>
      </w:pPr>
      <w:r w:rsidRPr="00FB03B3">
        <w:rPr>
          <w:i/>
          <w:iCs/>
          <w:lang w:val="es-ES"/>
        </w:rPr>
        <w:t>a)</w:t>
      </w:r>
      <w:r w:rsidRPr="00FB03B3">
        <w:rPr>
          <w:lang w:val="es-ES"/>
        </w:rPr>
        <w:tab/>
        <w:t>que los cables de telecomunicaciones submarinos constituyen una infraestructura fundamental que sustenta la conectividad mundial, el desarrollo económico, la inclusión social y la transformación digital;</w:t>
      </w:r>
    </w:p>
    <w:p w14:paraId="7E7EB0B0" w14:textId="77777777" w:rsidR="00FB03B3" w:rsidRPr="00FB03B3" w:rsidRDefault="00FB03B3" w:rsidP="00FB03B3">
      <w:pPr>
        <w:rPr>
          <w:lang w:val="es-ES"/>
        </w:rPr>
      </w:pPr>
      <w:r w:rsidRPr="00FB03B3">
        <w:rPr>
          <w:i/>
          <w:iCs/>
          <w:lang w:val="es-ES"/>
        </w:rPr>
        <w:t>b)</w:t>
      </w:r>
      <w:r w:rsidRPr="00FB03B3">
        <w:rPr>
          <w:lang w:val="es-ES"/>
        </w:rPr>
        <w:tab/>
        <w:t>que el despliegue, el mantenimiento y la reparación oportunos de los sistemas de cables submarinos pueden afrontar obstáculos jurídicos y reglamentarios, y dichos obstáculos deben reducirse mediante marcos reglamentarios claros, transparentes y previsibles y una simplificación de la coordinación;</w:t>
      </w:r>
    </w:p>
    <w:p w14:paraId="5D4D4A98" w14:textId="77777777" w:rsidR="00FB03B3" w:rsidRPr="00FB03B3" w:rsidRDefault="00FB03B3" w:rsidP="00FB03B3">
      <w:pPr>
        <w:rPr>
          <w:lang w:val="es-ES"/>
        </w:rPr>
      </w:pPr>
      <w:r w:rsidRPr="00FB03B3">
        <w:rPr>
          <w:i/>
          <w:iCs/>
          <w:lang w:val="es-ES"/>
        </w:rPr>
        <w:t>c)</w:t>
      </w:r>
      <w:r w:rsidRPr="00FB03B3">
        <w:rPr>
          <w:lang w:val="es-ES"/>
        </w:rPr>
        <w:tab/>
        <w:t xml:space="preserve">que la diversidad geográfica y la redundancia de los cables, en particular las rutas variadas, los puntos de amarre redundantes y la infraestructura resistente, son fundamentales para la resiliencia de los sistemas de cables submarinos, especialmente para los pequeños Estados </w:t>
      </w:r>
      <w:r w:rsidRPr="00FB03B3">
        <w:rPr>
          <w:lang w:val="es-ES"/>
        </w:rPr>
        <w:lastRenderedPageBreak/>
        <w:t>insulares en desarrollo, los países menos adelantados, los países en desarrollo sin litoral y las regiones insuficientemente atendidas;</w:t>
      </w:r>
    </w:p>
    <w:p w14:paraId="79339064" w14:textId="77777777" w:rsidR="00FB03B3" w:rsidRPr="00FB03B3" w:rsidRDefault="00FB03B3" w:rsidP="00FB03B3">
      <w:pPr>
        <w:rPr>
          <w:lang w:val="es-ES"/>
        </w:rPr>
      </w:pPr>
      <w:r w:rsidRPr="00FB03B3">
        <w:rPr>
          <w:i/>
          <w:iCs/>
          <w:lang w:val="es-ES"/>
        </w:rPr>
        <w:t>d)</w:t>
      </w:r>
      <w:r w:rsidRPr="00FB03B3">
        <w:rPr>
          <w:lang w:val="es-ES"/>
        </w:rPr>
        <w:tab/>
        <w:t>que la adopción de las mejores prácticas para evaluar, mitigar y responder a los riesgos de la infraestructura de cables submarinos es importante para fortalecer la resiliencia;</w:t>
      </w:r>
    </w:p>
    <w:p w14:paraId="4A37511A" w14:textId="77777777" w:rsidR="00FB03B3" w:rsidRPr="00FB03B3" w:rsidRDefault="00FB03B3" w:rsidP="00FB03B3">
      <w:pPr>
        <w:keepNext/>
        <w:keepLines/>
        <w:rPr>
          <w:lang w:val="es-ES"/>
        </w:rPr>
      </w:pPr>
      <w:r w:rsidRPr="00FB03B3">
        <w:rPr>
          <w:i/>
          <w:iCs/>
          <w:lang w:val="es-ES"/>
        </w:rPr>
        <w:t>e)</w:t>
      </w:r>
      <w:r w:rsidRPr="00FB03B3">
        <w:rPr>
          <w:lang w:val="es-ES"/>
        </w:rPr>
        <w:tab/>
        <w:t>que la cooperación efectiva entre las autoridades pertinentes, la industria de los cables submarinos y las partes interesadas en el sector marino, junto con la creación de capacidad, la innovación y el uso de tecnologías que mejoren la supervisión, el diseño de rutas, la redundancia y la infraestructura resistente al clima, son elementos fundamentales de un ecosistema de cables resiliente,</w:t>
      </w:r>
    </w:p>
    <w:p w14:paraId="472F2730" w14:textId="77777777" w:rsidR="00FB03B3" w:rsidRPr="00FB03B3" w:rsidRDefault="00FB03B3" w:rsidP="00CF2F49">
      <w:pPr>
        <w:pStyle w:val="Call"/>
        <w:rPr>
          <w:lang w:val="es-ES"/>
        </w:rPr>
      </w:pPr>
      <w:r w:rsidRPr="00FB03B3">
        <w:rPr>
          <w:lang w:val="es-ES"/>
        </w:rPr>
        <w:t>resuelve</w:t>
      </w:r>
    </w:p>
    <w:p w14:paraId="76FF46FC" w14:textId="77777777" w:rsidR="00FB03B3" w:rsidRPr="00FB03B3" w:rsidRDefault="00FB03B3" w:rsidP="00FB03B3">
      <w:pPr>
        <w:rPr>
          <w:lang w:val="es-ES"/>
        </w:rPr>
      </w:pPr>
      <w:r w:rsidRPr="00FB03B3">
        <w:rPr>
          <w:lang w:val="es-ES"/>
        </w:rPr>
        <w:t>1</w:t>
      </w:r>
      <w:r w:rsidRPr="00FB03B3">
        <w:rPr>
          <w:lang w:val="es-ES"/>
        </w:rPr>
        <w:tab/>
        <w:t>que la UIT, en el marco de su mandato y en colaboración con otras organizaciones, procure fomentar la cooperación internacional en materia de resiliencia de los cables submarinos, con miras a respaldar una conectividad mundial abierta, fiable e interoperable;</w:t>
      </w:r>
    </w:p>
    <w:p w14:paraId="3A5316A0" w14:textId="77777777" w:rsidR="00FB03B3" w:rsidRPr="00FB03B3" w:rsidRDefault="00FB03B3" w:rsidP="00FB03B3">
      <w:pPr>
        <w:rPr>
          <w:lang w:val="es-ES"/>
        </w:rPr>
      </w:pPr>
      <w:r w:rsidRPr="00FB03B3">
        <w:rPr>
          <w:lang w:val="es-ES"/>
        </w:rPr>
        <w:t>2</w:t>
      </w:r>
      <w:r w:rsidRPr="00FB03B3">
        <w:rPr>
          <w:lang w:val="es-ES"/>
        </w:rPr>
        <w:tab/>
        <w:t>contribuir al desarrollo de estudios técnicos, proyectos de recomendación, mejores prácticas y otros productos pertinentes sobre la resiliencia de los cables submarinos en la UIT,</w:t>
      </w:r>
    </w:p>
    <w:p w14:paraId="2097D351" w14:textId="77777777" w:rsidR="00FB03B3" w:rsidRPr="00FB03B3" w:rsidRDefault="00FB03B3" w:rsidP="00CF2F49">
      <w:pPr>
        <w:pStyle w:val="Call"/>
        <w:rPr>
          <w:lang w:val="es-ES"/>
        </w:rPr>
      </w:pPr>
      <w:r w:rsidRPr="00FB03B3">
        <w:rPr>
          <w:lang w:val="es-ES"/>
        </w:rPr>
        <w:t>encarga a la Secretaria General, en consulta con el Director de la Oficina de Normalización de las Telecomunicaciones y el Director de la Oficina de Desarrollo de Telecomunicaciones,</w:t>
      </w:r>
    </w:p>
    <w:p w14:paraId="7B928012" w14:textId="77777777" w:rsidR="00FB03B3" w:rsidRPr="00FB03B3" w:rsidRDefault="00FB03B3" w:rsidP="00FB03B3">
      <w:pPr>
        <w:rPr>
          <w:lang w:val="es-ES"/>
        </w:rPr>
      </w:pPr>
      <w:r w:rsidRPr="00FB03B3">
        <w:rPr>
          <w:lang w:val="es-ES"/>
        </w:rPr>
        <w:t>1</w:t>
      </w:r>
      <w:r w:rsidRPr="00FB03B3">
        <w:rPr>
          <w:lang w:val="es-ES"/>
        </w:rPr>
        <w:tab/>
        <w:t>que refuerce la cooperación y coordinación con las organizaciones internacionales y regionales pertinentes, incluido el Comité Internacional para la Protección de los Cables (CIPC), con miras a intercambiar información, compartir prácticas idóneas y seguir de cerca los avances técnicos y normativos relacionados con la resiliencia de los cables submarinos;</w:t>
      </w:r>
    </w:p>
    <w:p w14:paraId="3E4834D7" w14:textId="322A3DED" w:rsidR="00FB03B3" w:rsidRPr="00FB03B3" w:rsidRDefault="00FB03B3" w:rsidP="00FB03B3">
      <w:pPr>
        <w:rPr>
          <w:lang w:val="es-ES"/>
        </w:rPr>
      </w:pPr>
      <w:r w:rsidRPr="00FB03B3">
        <w:rPr>
          <w:lang w:val="es-ES"/>
        </w:rPr>
        <w:t>2</w:t>
      </w:r>
      <w:r w:rsidRPr="00FB03B3">
        <w:rPr>
          <w:lang w:val="es-ES"/>
        </w:rPr>
        <w:tab/>
        <w:t>que coordine, según proceda, la colaboración de la Unión con las partes interesadas pertinentes a fin de promover el despliegue, el mantenimiento y la reparación oportunos de los cables submarinos y respaldar la resiliencia de los sistemas de cables submarinos</w:t>
      </w:r>
      <w:r w:rsidR="00CF2F49">
        <w:rPr>
          <w:lang w:val="es-ES"/>
        </w:rPr>
        <w:t>,</w:t>
      </w:r>
    </w:p>
    <w:p w14:paraId="731FF125" w14:textId="77777777" w:rsidR="00FB03B3" w:rsidRPr="00FB03B3" w:rsidRDefault="00FB03B3" w:rsidP="00CF2F49">
      <w:pPr>
        <w:pStyle w:val="Call"/>
        <w:rPr>
          <w:lang w:val="es-ES"/>
        </w:rPr>
      </w:pPr>
      <w:r w:rsidRPr="00FB03B3">
        <w:rPr>
          <w:lang w:val="es-ES"/>
        </w:rPr>
        <w:t>encarga al Director de la Oficina de Normalización de las Telecomunicaciones, en colaboración con el Director de la Oficina de Desarrollo de las Telecomunicaciones, según proceda,</w:t>
      </w:r>
    </w:p>
    <w:p w14:paraId="2B731EDD" w14:textId="77777777" w:rsidR="00FB03B3" w:rsidRPr="00FB03B3" w:rsidRDefault="00FB03B3" w:rsidP="00FB03B3">
      <w:pPr>
        <w:rPr>
          <w:lang w:val="es-ES"/>
        </w:rPr>
      </w:pPr>
      <w:r w:rsidRPr="00FB03B3">
        <w:rPr>
          <w:lang w:val="es-ES"/>
        </w:rPr>
        <w:t>1</w:t>
      </w:r>
      <w:r w:rsidRPr="00FB03B3">
        <w:rPr>
          <w:lang w:val="es-ES"/>
        </w:rPr>
        <w:tab/>
        <w:t>que facilite y promueva los intercambios técnicos con las organizaciones de normalización pertinentes, los órganos de la industria y los expertos, con miras a impulsar la labor en materia de resiliencia de los cables submarinos y las cuestiones técnicas conexas;</w:t>
      </w:r>
    </w:p>
    <w:p w14:paraId="7A73D907" w14:textId="77777777" w:rsidR="00FB03B3" w:rsidRPr="00FB03B3" w:rsidRDefault="00FB03B3" w:rsidP="00FB03B3">
      <w:pPr>
        <w:rPr>
          <w:lang w:val="es-ES"/>
        </w:rPr>
      </w:pPr>
      <w:r w:rsidRPr="00FB03B3">
        <w:rPr>
          <w:lang w:val="es-ES"/>
        </w:rPr>
        <w:t>2</w:t>
      </w:r>
      <w:r w:rsidRPr="00FB03B3">
        <w:rPr>
          <w:lang w:val="es-ES"/>
        </w:rPr>
        <w:tab/>
        <w:t>que fomente el desarrollo de estudios técnicos, proyectos de recomendación y otros productos pertinentes sobre la resiliencia de los cables submarinos en el UIT-T, con la participación de los Estados Miembros y los Miembros de Sector;</w:t>
      </w:r>
    </w:p>
    <w:p w14:paraId="4959CC17" w14:textId="77777777" w:rsidR="00FB03B3" w:rsidRPr="00FB03B3" w:rsidRDefault="00FB03B3" w:rsidP="00FB03B3">
      <w:pPr>
        <w:rPr>
          <w:lang w:val="es-ES"/>
        </w:rPr>
      </w:pPr>
      <w:r w:rsidRPr="00FB03B3">
        <w:rPr>
          <w:lang w:val="es-ES"/>
        </w:rPr>
        <w:t>3</w:t>
      </w:r>
      <w:r w:rsidRPr="00FB03B3">
        <w:rPr>
          <w:lang w:val="es-ES"/>
        </w:rPr>
        <w:tab/>
        <w:t>que promueva mecanismos de coordinación técnica, con inclusión de un único punto de contacto o una única interfaz de línea abierta, así como los acuerdos voluntarios de compartición de información, a fin de mejorar la visibilidad de los fallos, facilitar la coordinación operacional y dar soporte a la capacidad de respuesta oportuna;</w:t>
      </w:r>
    </w:p>
    <w:p w14:paraId="14F77396" w14:textId="77777777" w:rsidR="00FB03B3" w:rsidRPr="00FB03B3" w:rsidRDefault="00FB03B3" w:rsidP="00FB03B3">
      <w:pPr>
        <w:rPr>
          <w:lang w:val="es-ES"/>
        </w:rPr>
      </w:pPr>
      <w:r w:rsidRPr="00FB03B3">
        <w:rPr>
          <w:lang w:val="es-ES"/>
        </w:rPr>
        <w:t>4</w:t>
      </w:r>
      <w:r w:rsidRPr="00FB03B3">
        <w:rPr>
          <w:lang w:val="es-ES"/>
        </w:rPr>
        <w:tab/>
        <w:t>que aliente el desarrollo de acuerdos de preparación para la reparación, compartiendo información que pueda mejorar las evaluaciones de la vulnerabilidad a los peligros y los acuerdos de conectividad de respaldo, especialmente para los pequeños Estados insulares en desarrollo, los países menos adelantados, los países en desarrollo sin litoral y las regiones insuficientemente atendidas, así como las zonas con recursos de reparación limitados,</w:t>
      </w:r>
    </w:p>
    <w:p w14:paraId="741A042D" w14:textId="77777777" w:rsidR="00FB03B3" w:rsidRPr="00FB03B3" w:rsidRDefault="00FB03B3" w:rsidP="00CF2F49">
      <w:pPr>
        <w:pStyle w:val="Call"/>
        <w:rPr>
          <w:lang w:val="es-ES"/>
        </w:rPr>
      </w:pPr>
      <w:r w:rsidRPr="00FB03B3">
        <w:rPr>
          <w:lang w:val="es-ES"/>
        </w:rPr>
        <w:lastRenderedPageBreak/>
        <w:t>encarga al Director de la Oficina de Desarrollo de las Telecomunicaciones, en colaboración con el Director de la Oficina de Normalización de las Telecomunicaciones, según proceda,</w:t>
      </w:r>
    </w:p>
    <w:p w14:paraId="251F2584" w14:textId="77777777" w:rsidR="00FB03B3" w:rsidRPr="00FB03B3" w:rsidRDefault="00FB03B3" w:rsidP="00FB03B3">
      <w:pPr>
        <w:rPr>
          <w:lang w:val="es-ES"/>
        </w:rPr>
      </w:pPr>
      <w:r w:rsidRPr="00FB03B3">
        <w:rPr>
          <w:lang w:val="es-ES"/>
        </w:rPr>
        <w:t>1</w:t>
      </w:r>
      <w:r w:rsidRPr="00FB03B3">
        <w:rPr>
          <w:lang w:val="es-ES"/>
        </w:rPr>
        <w:tab/>
        <w:t>que apoye la creación de capacidad y la asistencia técnica a los países en desarrollo, en materia de despliegue, reparación, resiliencia y preparación de los cables submarinos, en particular mediante la compartición de buenas prácticas y la identificación de problemas prácticos que puedan afectar a la implementación oportuna;</w:t>
      </w:r>
    </w:p>
    <w:p w14:paraId="36EEF379" w14:textId="77777777" w:rsidR="00FB03B3" w:rsidRPr="00FB03B3" w:rsidRDefault="00FB03B3" w:rsidP="00FB03B3">
      <w:pPr>
        <w:rPr>
          <w:lang w:val="es-ES"/>
        </w:rPr>
      </w:pPr>
      <w:r w:rsidRPr="00FB03B3">
        <w:rPr>
          <w:lang w:val="es-ES"/>
        </w:rPr>
        <w:t>2</w:t>
      </w:r>
      <w:r w:rsidRPr="00FB03B3">
        <w:rPr>
          <w:lang w:val="es-ES"/>
        </w:rPr>
        <w:tab/>
        <w:t>que promueva la cooperación y el intercambio de información entre las administraciones, los organismos reguladores, la industria y las organizaciones regionales e internacionales sobre la resiliencia de los cables submarinos, en particular las medidas relacionadas con la diversidad geográfica, el conocimiento de los riesgos y la continuidad del servicio,</w:t>
      </w:r>
    </w:p>
    <w:p w14:paraId="07FF3D7B" w14:textId="77777777" w:rsidR="00FB03B3" w:rsidRPr="00FB03B3" w:rsidRDefault="00FB03B3" w:rsidP="00CF2F49">
      <w:pPr>
        <w:pStyle w:val="Call"/>
        <w:rPr>
          <w:lang w:val="es-ES"/>
        </w:rPr>
      </w:pPr>
      <w:r w:rsidRPr="00FB03B3">
        <w:rPr>
          <w:lang w:val="es-ES"/>
        </w:rPr>
        <w:t>invita a los Estados Miembros</w:t>
      </w:r>
    </w:p>
    <w:p w14:paraId="65E646F6" w14:textId="77777777" w:rsidR="00FB03B3" w:rsidRPr="00FB03B3" w:rsidRDefault="00FB03B3" w:rsidP="00FB03B3">
      <w:pPr>
        <w:rPr>
          <w:lang w:val="es-ES"/>
        </w:rPr>
      </w:pPr>
      <w:r w:rsidRPr="00FB03B3">
        <w:rPr>
          <w:lang w:val="es-ES"/>
        </w:rPr>
        <w:t>1</w:t>
      </w:r>
      <w:r w:rsidRPr="00FB03B3">
        <w:rPr>
          <w:lang w:val="es-ES"/>
        </w:rPr>
        <w:tab/>
        <w:t>a considerar la posibilidad de reflejar, en sus enfoques nacionales, medidas que reduzcan los obstáculos al despliegue, el mantenimiento y la reparación de los cables submarinos, en particular mediante la simplificación de la coordinación y procedimientos operacionales oportunos, que sean coherentes con la legislación nacional e internacional aplicable, con inclusión de las exigencias en materia de protección ambiental, la seguridad marítima, la seguridad nacional y la competencia;</w:t>
      </w:r>
    </w:p>
    <w:p w14:paraId="4E3D3CCF" w14:textId="77777777" w:rsidR="00FB03B3" w:rsidRPr="00FB03B3" w:rsidRDefault="00FB03B3" w:rsidP="00FB03B3">
      <w:pPr>
        <w:rPr>
          <w:lang w:val="es-ES"/>
        </w:rPr>
      </w:pPr>
      <w:r w:rsidRPr="00FB03B3">
        <w:rPr>
          <w:lang w:val="es-ES"/>
        </w:rPr>
        <w:t>2</w:t>
      </w:r>
      <w:r w:rsidRPr="00FB03B3">
        <w:rPr>
          <w:lang w:val="es-ES"/>
        </w:rPr>
        <w:tab/>
        <w:t>a examinar medidas que fomenten la diversidad geográfica y la redundancia de los cables, en particular las rutas variadas, los puntos de amarre redundantes y la infraestructura resistente, especialmente para los pequeños Estados insulares en desarrollo, los países menos adelantados, los países en desarrollo sin litoral y las regiones insuficientemente atendidas y, si procede, la infraestructura de amarre compartida para reducir la duplicación de las instalaciones vulnerables;</w:t>
      </w:r>
    </w:p>
    <w:p w14:paraId="1E52AB31" w14:textId="77777777" w:rsidR="00FB03B3" w:rsidRPr="00FB03B3" w:rsidRDefault="00FB03B3" w:rsidP="00FB03B3">
      <w:pPr>
        <w:rPr>
          <w:lang w:val="es-ES"/>
        </w:rPr>
      </w:pPr>
      <w:r w:rsidRPr="00FB03B3">
        <w:rPr>
          <w:lang w:val="es-ES"/>
        </w:rPr>
        <w:t>3</w:t>
      </w:r>
      <w:r w:rsidRPr="00FB03B3">
        <w:rPr>
          <w:lang w:val="es-ES"/>
        </w:rPr>
        <w:tab/>
        <w:t>a apoyar, según proceda, los marcos reglamentarios y operacionales nacionales y regionales que faciliten la resiliencia de los cables submarinos, entre otras cosas mediante procesos de obtención de permisos, mantenimiento y reparación previsibles,</w:t>
      </w:r>
    </w:p>
    <w:p w14:paraId="647E300B" w14:textId="77777777" w:rsidR="00FB03B3" w:rsidRPr="00FB03B3" w:rsidRDefault="00FB03B3" w:rsidP="00CF2F49">
      <w:pPr>
        <w:pStyle w:val="Call"/>
        <w:rPr>
          <w:lang w:val="es-ES"/>
        </w:rPr>
      </w:pPr>
      <w:r w:rsidRPr="00FB03B3">
        <w:rPr>
          <w:lang w:val="es-ES"/>
        </w:rPr>
        <w:t>invita a los Miembros de Sector</w:t>
      </w:r>
    </w:p>
    <w:p w14:paraId="58060D81" w14:textId="77777777" w:rsidR="00FB03B3" w:rsidRPr="00FB03B3" w:rsidRDefault="00FB03B3" w:rsidP="00FB03B3">
      <w:pPr>
        <w:rPr>
          <w:lang w:val="es-ES"/>
        </w:rPr>
      </w:pPr>
      <w:r w:rsidRPr="00FB03B3">
        <w:rPr>
          <w:lang w:val="es-ES"/>
        </w:rPr>
        <w:t>1</w:t>
      </w:r>
      <w:r w:rsidRPr="00FB03B3">
        <w:rPr>
          <w:lang w:val="es-ES"/>
        </w:rPr>
        <w:tab/>
        <w:t>a contribuir activamente al desarrollo y la compartición de las mejores prácticas técnicas, las soluciones innovadoras y la experiencia práctica que respalden la resiliencia, vigilancia, redundancia y preparación para la reparación de los cables submarinos;</w:t>
      </w:r>
    </w:p>
    <w:p w14:paraId="7B410333" w14:textId="77777777" w:rsidR="00FB03B3" w:rsidRPr="00FB03B3" w:rsidRDefault="00FB03B3" w:rsidP="00FB03B3">
      <w:pPr>
        <w:rPr>
          <w:lang w:val="es-ES"/>
        </w:rPr>
      </w:pPr>
      <w:r w:rsidRPr="00FB03B3">
        <w:rPr>
          <w:lang w:val="es-ES"/>
        </w:rPr>
        <w:t>2</w:t>
      </w:r>
      <w:r w:rsidRPr="00FB03B3">
        <w:rPr>
          <w:lang w:val="es-ES"/>
        </w:rPr>
        <w:tab/>
        <w:t>a participar en intercambios técnicos y realizar aportaciones a la labor pertinente del UIT-T, según proceda, sobre las cuestiones relacionadas con la resiliencia de los cables submarinos,</w:t>
      </w:r>
    </w:p>
    <w:p w14:paraId="0824A69B" w14:textId="77777777" w:rsidR="00FB03B3" w:rsidRPr="00FB03B3" w:rsidRDefault="00FB03B3" w:rsidP="00CF2F49">
      <w:pPr>
        <w:pStyle w:val="Call"/>
        <w:rPr>
          <w:lang w:val="es-ES"/>
        </w:rPr>
      </w:pPr>
      <w:r w:rsidRPr="00FB03B3">
        <w:rPr>
          <w:lang w:val="es-ES"/>
        </w:rPr>
        <w:t>invita a todos los Miembros</w:t>
      </w:r>
    </w:p>
    <w:p w14:paraId="01182B28" w14:textId="77777777" w:rsidR="00FB03B3" w:rsidRPr="00FB03B3" w:rsidRDefault="00FB03B3" w:rsidP="00FB03B3">
      <w:pPr>
        <w:rPr>
          <w:lang w:val="es-ES"/>
        </w:rPr>
      </w:pPr>
      <w:r w:rsidRPr="00FB03B3">
        <w:rPr>
          <w:lang w:val="es-ES"/>
        </w:rPr>
        <w:t>1</w:t>
      </w:r>
      <w:r w:rsidRPr="00FB03B3">
        <w:rPr>
          <w:lang w:val="es-ES"/>
        </w:rPr>
        <w:tab/>
        <w:t>a apoyar la cooperación internacional y el intercambio de información en materia de resiliencia de los cables submarinos, en particular mediante la participación en debates técnicos y normativos pertinentes, según proceda;</w:t>
      </w:r>
    </w:p>
    <w:p w14:paraId="173C3C68" w14:textId="77777777" w:rsidR="00FB03B3" w:rsidRPr="00FB03B3" w:rsidRDefault="00FB03B3" w:rsidP="00FB03B3">
      <w:pPr>
        <w:rPr>
          <w:lang w:val="es-ES"/>
        </w:rPr>
      </w:pPr>
      <w:r w:rsidRPr="00FB03B3">
        <w:rPr>
          <w:lang w:val="es-ES"/>
        </w:rPr>
        <w:t>2</w:t>
      </w:r>
      <w:r w:rsidRPr="00FB03B3">
        <w:rPr>
          <w:lang w:val="es-ES"/>
        </w:rPr>
        <w:tab/>
        <w:t>a contribuir a la labor colaborativa sobre las mejores prácticas, los estudios y las medidas prácticas que refuercen la resiliencia de los sistemas de cables submarinos.</w:t>
      </w:r>
    </w:p>
    <w:p w14:paraId="7CE60EF6" w14:textId="77777777" w:rsidR="00FB03B3" w:rsidRPr="00FB03B3" w:rsidRDefault="00FB03B3" w:rsidP="00CF2F49">
      <w:pPr>
        <w:pStyle w:val="Reasons"/>
        <w:rPr>
          <w:lang w:val="es-ES"/>
        </w:rPr>
      </w:pPr>
      <w:r w:rsidRPr="00FB03B3">
        <w:rPr>
          <w:b/>
          <w:bCs/>
          <w:lang w:val="es-ES"/>
        </w:rPr>
        <w:t>Motivos:</w:t>
      </w:r>
      <w:r w:rsidRPr="00FB03B3">
        <w:rPr>
          <w:lang w:val="es-ES"/>
        </w:rPr>
        <w:tab/>
        <w:t xml:space="preserve">La propuesta reforzará el marco de la UIT en materia de resiliencia de los cables submarinos al respaldar procesos de despliegue y reparación más previsibles, la mejora de la coordinación entre las partes interesadas y enfoques técnicos y reglamentarios prácticos que mejoran la resiliencia de la infraestructura de conectividad mundial, especialmente para los pequeños Estados insulares en desarrollo, los países menos adelantados, los países en desarrollo sin litoral y las regiones insuficientemente atendidas. Esta propuesta corresponde a una nueva </w:t>
      </w:r>
      <w:r w:rsidRPr="00FB03B3">
        <w:rPr>
          <w:lang w:val="es-ES"/>
        </w:rPr>
        <w:lastRenderedPageBreak/>
        <w:t>Resolución de la Conferencia de Plenipotenciarios sobre cables submarinos, basada en las Declaraciones de Abuja y Oporto en materia de resiliencia de cables submarinos y las recomendaciones del Órgano Consultivo Internacional para la Resiliencia de los Cables Submarinos. El proyecto tiene por objeto reforzar la cooperación internacional sobre las iniciativas relacionadas con los cables submarinos abordando las principales condiciones propicias al despliegue, mantenimiento y reparación oportunos, entre ellas los marcos reglamentarios claros, la diversidad geográfica y la redundancia, la creación de capacidad, la cooperación técnica y la contribución de los Estados Miembros, los Miembros de Sector y todos los Miembros de la UIT en su conjunto a los estudios pertinentes y las mejores prácticas.</w:t>
      </w:r>
    </w:p>
    <w:p w14:paraId="20D8ED04" w14:textId="77777777" w:rsidR="00FB03B3" w:rsidRPr="00FB03B3" w:rsidRDefault="00FB03B3" w:rsidP="00FB03B3">
      <w:pPr>
        <w:spacing w:before="240"/>
        <w:jc w:val="center"/>
        <w:rPr>
          <w:lang w:val="es-ES"/>
        </w:rPr>
      </w:pPr>
      <w:r w:rsidRPr="00FB03B3">
        <w:rPr>
          <w:lang w:val="es-ES"/>
        </w:rPr>
        <w:t>__________________</w:t>
      </w:r>
    </w:p>
    <w:sectPr w:rsidR="00FB03B3" w:rsidRPr="00FB03B3"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3F34A" w14:textId="77777777" w:rsidR="00BE2B04" w:rsidRDefault="00BE2B04">
      <w:r>
        <w:separator/>
      </w:r>
    </w:p>
  </w:endnote>
  <w:endnote w:type="continuationSeparator" w:id="0">
    <w:p w14:paraId="0DBF64A9" w14:textId="77777777" w:rsidR="00BE2B04" w:rsidRDefault="00BE2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F1FB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C6FFF" w14:textId="77777777" w:rsidR="00BE2B04" w:rsidRDefault="00BE2B04">
      <w:r>
        <w:t>____________________</w:t>
      </w:r>
    </w:p>
  </w:footnote>
  <w:footnote w:type="continuationSeparator" w:id="0">
    <w:p w14:paraId="51BE42C4" w14:textId="77777777" w:rsidR="00BE2B04" w:rsidRDefault="00BE2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795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1F2052D" w14:textId="77777777" w:rsidR="00255FA1" w:rsidRDefault="00255FA1" w:rsidP="00C43474">
    <w:pPr>
      <w:pStyle w:val="Header"/>
    </w:pPr>
    <w:r>
      <w:rPr>
        <w:lang w:val="en-US"/>
      </w:rPr>
      <w:t>PP</w:t>
    </w:r>
    <w:r w:rsidR="009D1BE0">
      <w:rPr>
        <w:lang w:val="en-US"/>
      </w:rPr>
      <w:t>2</w:t>
    </w:r>
    <w:r w:rsidR="009415B6">
      <w:rPr>
        <w:lang w:val="en-US"/>
      </w:rPr>
      <w:t>6</w:t>
    </w:r>
    <w:r>
      <w:t>/83-</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3B40"/>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E2B04"/>
    <w:rsid w:val="00BF32F2"/>
    <w:rsid w:val="00BF5475"/>
    <w:rsid w:val="00C20ED7"/>
    <w:rsid w:val="00C42D2D"/>
    <w:rsid w:val="00C43474"/>
    <w:rsid w:val="00C61A48"/>
    <w:rsid w:val="00C80F8F"/>
    <w:rsid w:val="00C84355"/>
    <w:rsid w:val="00C84A65"/>
    <w:rsid w:val="00CA3051"/>
    <w:rsid w:val="00CD20D9"/>
    <w:rsid w:val="00CD701A"/>
    <w:rsid w:val="00CF2F49"/>
    <w:rsid w:val="00D05AAE"/>
    <w:rsid w:val="00D05E6B"/>
    <w:rsid w:val="00D066F8"/>
    <w:rsid w:val="00D254A6"/>
    <w:rsid w:val="00D42B55"/>
    <w:rsid w:val="00D45FC4"/>
    <w:rsid w:val="00D57D70"/>
    <w:rsid w:val="00DE3E41"/>
    <w:rsid w:val="00E05D81"/>
    <w:rsid w:val="00E41578"/>
    <w:rsid w:val="00E53DFC"/>
    <w:rsid w:val="00E66FC3"/>
    <w:rsid w:val="00E677DD"/>
    <w:rsid w:val="00E77F17"/>
    <w:rsid w:val="00E809D8"/>
    <w:rsid w:val="00E921EC"/>
    <w:rsid w:val="00EB23D0"/>
    <w:rsid w:val="00EC395A"/>
    <w:rsid w:val="00F01632"/>
    <w:rsid w:val="00F04858"/>
    <w:rsid w:val="00F13AA4"/>
    <w:rsid w:val="00F16A95"/>
    <w:rsid w:val="00F23399"/>
    <w:rsid w:val="00F3510D"/>
    <w:rsid w:val="00F43C07"/>
    <w:rsid w:val="00F43D44"/>
    <w:rsid w:val="00F80E6E"/>
    <w:rsid w:val="00F82D7F"/>
    <w:rsid w:val="00FB03B3"/>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43A6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b53b380-8508-4ac1-8b45-761abf6b56ef" targetNamespace="http://schemas.microsoft.com/office/2006/metadata/properties" ma:root="true" ma:fieldsID="d41af5c836d734370eb92e7ee5f83852" ns2:_="" ns3:_="">
    <xsd:import namespace="996b2e75-67fd-4955-a3b0-5ab9934cb50b"/>
    <xsd:import namespace="3b53b380-8508-4ac1-8b45-761abf6b56e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b53b380-8508-4ac1-8b45-761abf6b56e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3b53b380-8508-4ac1-8b45-761abf6b56ef">DPM</DPM_x0020_Author>
    <DPM_x0020_File_x0020_name xmlns="3b53b380-8508-4ac1-8b45-761abf6b56ef">S26-PP-C-0083!!MSW-S</DPM_x0020_File_x0020_name>
    <DPM_x0020_Version xmlns="3b53b380-8508-4ac1-8b45-761abf6b56ef">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b53b380-8508-4ac1-8b45-761abf6b5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b53b380-8508-4ac1-8b45-761abf6b56ef"/>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1550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S26-PP-C-0083!!MSW-S</vt:lpstr>
    </vt:vector>
  </TitlesOfParts>
  <Manager/>
  <Company/>
  <LinksUpToDate>false</LinksUpToDate>
  <CharactersWithSpaces>10766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S26-PP-C-0083!!MSW-S</dc:title>
  <dc:subject>ITU Plenipotentiary Conference (PP-26)</dc:subject>
  <dc:creator>Documents Proposals Manager (DPM)</dc:creator>
  <cp:keywords>DPM_v2026.8.25.1_prod</cp:keywords>
  <dc:description/>
  <cp:lastModifiedBy>Spanish</cp:lastModifiedBy>
  <cp:revision>3</cp:revision>
  <dcterms:created xsi:type="dcterms:W3CDTF">2026-10-20T08:19:00Z</dcterms:created>
  <dcterms:modified xsi:type="dcterms:W3CDTF">2026-10-20T09:11:00Z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