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D056D1" w14:paraId="3FCDC1FF" w14:textId="77777777" w:rsidTr="005A329F">
        <w:trPr>
          <w:cantSplit/>
          <w:jc w:val="center"/>
        </w:trPr>
        <w:tc>
          <w:tcPr>
            <w:tcW w:w="10031" w:type="dxa"/>
            <w:gridSpan w:val="2"/>
            <w:tcMar>
              <w:left w:w="0" w:type="dxa"/>
              <w:right w:w="0" w:type="dxa"/>
            </w:tcMar>
            <w:vAlign w:val="center"/>
          </w:tcPr>
          <w:p w14:paraId="5579E186" w14:textId="77777777" w:rsidR="00BF32F2" w:rsidRPr="00D056D1" w:rsidRDefault="00BF32F2" w:rsidP="00BF32F2">
            <w:pPr>
              <w:spacing w:before="0" w:line="240" w:lineRule="atLeast"/>
              <w:rPr>
                <w:rFonts w:cstheme="minorHAnsi"/>
              </w:rPr>
            </w:pPr>
            <w:bookmarkStart w:id="0" w:name="ditulogo"/>
            <w:bookmarkEnd w:id="0"/>
            <w:r w:rsidRPr="00D056D1">
              <w:rPr>
                <w:rFonts w:cstheme="minorHAnsi"/>
              </w:rPr>
              <w:drawing>
                <wp:anchor distT="0" distB="0" distL="0" distR="0" simplePos="0" relativeHeight="251658240" behindDoc="1" locked="0" layoutInCell="1" allowOverlap="1" wp14:anchorId="5F41725E" wp14:editId="6CCD750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D056D1" w14:paraId="11B08080" w14:textId="77777777" w:rsidTr="005A329F">
        <w:trPr>
          <w:cantSplit/>
          <w:trHeight w:val="283"/>
          <w:jc w:val="center"/>
        </w:trPr>
        <w:tc>
          <w:tcPr>
            <w:tcW w:w="10031" w:type="dxa"/>
            <w:gridSpan w:val="2"/>
            <w:tcBorders>
              <w:bottom w:val="single" w:sz="12" w:space="0" w:color="71716F"/>
            </w:tcBorders>
          </w:tcPr>
          <w:p w14:paraId="53983831" w14:textId="77777777" w:rsidR="00277985" w:rsidRPr="00D056D1" w:rsidRDefault="00277985" w:rsidP="00BF32F2">
            <w:pPr>
              <w:spacing w:before="0" w:line="240" w:lineRule="atLeast"/>
              <w:rPr>
                <w:rFonts w:cstheme="minorHAnsi"/>
                <w:b/>
                <w:smallCaps/>
                <w:szCs w:val="24"/>
              </w:rPr>
            </w:pPr>
            <w:bookmarkStart w:id="1" w:name="dhead"/>
          </w:p>
        </w:tc>
      </w:tr>
      <w:tr w:rsidR="00255FA1" w:rsidRPr="00D056D1" w14:paraId="29F5D311" w14:textId="77777777" w:rsidTr="005A329F">
        <w:trPr>
          <w:cantSplit/>
          <w:trHeight w:val="255"/>
          <w:jc w:val="center"/>
        </w:trPr>
        <w:tc>
          <w:tcPr>
            <w:tcW w:w="7229" w:type="dxa"/>
            <w:tcBorders>
              <w:top w:val="single" w:sz="12" w:space="0" w:color="71716F"/>
            </w:tcBorders>
          </w:tcPr>
          <w:p w14:paraId="3B3E7A07" w14:textId="77777777" w:rsidR="00255FA1" w:rsidRPr="00D056D1" w:rsidRDefault="00255FA1" w:rsidP="00BF32F2">
            <w:pPr>
              <w:spacing w:before="0"/>
              <w:ind w:firstLine="720"/>
              <w:rPr>
                <w:rFonts w:cstheme="minorHAnsi"/>
                <w:b/>
                <w:smallCaps/>
                <w:szCs w:val="24"/>
              </w:rPr>
            </w:pPr>
          </w:p>
        </w:tc>
        <w:tc>
          <w:tcPr>
            <w:tcW w:w="2802" w:type="dxa"/>
            <w:tcBorders>
              <w:top w:val="single" w:sz="12" w:space="0" w:color="71716F"/>
            </w:tcBorders>
          </w:tcPr>
          <w:p w14:paraId="66DC3BFA" w14:textId="77777777" w:rsidR="00255FA1" w:rsidRPr="00D056D1" w:rsidRDefault="00255FA1" w:rsidP="00BF32F2">
            <w:pPr>
              <w:spacing w:before="0"/>
              <w:rPr>
                <w:rFonts w:cstheme="minorHAnsi"/>
                <w:szCs w:val="24"/>
              </w:rPr>
            </w:pPr>
          </w:p>
        </w:tc>
      </w:tr>
      <w:tr w:rsidR="00255FA1" w:rsidRPr="00D056D1" w14:paraId="6036266A" w14:textId="77777777" w:rsidTr="005A329F">
        <w:trPr>
          <w:cantSplit/>
          <w:jc w:val="center"/>
        </w:trPr>
        <w:tc>
          <w:tcPr>
            <w:tcW w:w="7229" w:type="dxa"/>
          </w:tcPr>
          <w:p w14:paraId="56AF0692" w14:textId="77777777" w:rsidR="00255FA1" w:rsidRPr="00D056D1" w:rsidRDefault="00255FA1" w:rsidP="003B5DC9">
            <w:pPr>
              <w:pStyle w:val="Committee"/>
              <w:framePr w:hSpace="0" w:wrap="auto" w:hAnchor="text" w:yAlign="inline"/>
              <w:spacing w:after="0" w:line="240" w:lineRule="auto"/>
              <w:rPr>
                <w:lang w:val="es-ES_tradnl"/>
              </w:rPr>
            </w:pPr>
            <w:r w:rsidRPr="00D056D1">
              <w:rPr>
                <w:lang w:val="es-ES_tradnl"/>
              </w:rPr>
              <w:t>SESIÓN PLENARIA</w:t>
            </w:r>
          </w:p>
        </w:tc>
        <w:tc>
          <w:tcPr>
            <w:tcW w:w="2802" w:type="dxa"/>
          </w:tcPr>
          <w:p w14:paraId="139BEF40" w14:textId="77777777" w:rsidR="00255FA1" w:rsidRPr="00D056D1" w:rsidRDefault="00255FA1" w:rsidP="003B5DC9">
            <w:pPr>
              <w:spacing w:before="0"/>
              <w:rPr>
                <w:rFonts w:cstheme="minorHAnsi"/>
                <w:szCs w:val="24"/>
              </w:rPr>
            </w:pPr>
            <w:r w:rsidRPr="00D056D1">
              <w:rPr>
                <w:rFonts w:cstheme="minorHAnsi"/>
                <w:b/>
                <w:szCs w:val="24"/>
              </w:rPr>
              <w:t>Addéndum 9 al</w:t>
            </w:r>
            <w:r w:rsidRPr="00D056D1">
              <w:rPr>
                <w:rFonts w:cstheme="minorHAnsi"/>
                <w:b/>
                <w:szCs w:val="24"/>
              </w:rPr>
              <w:br/>
              <w:t>Documento 81</w:t>
            </w:r>
            <w:r w:rsidR="00262FF4" w:rsidRPr="00D056D1">
              <w:rPr>
                <w:rFonts w:cstheme="minorHAnsi"/>
                <w:b/>
                <w:szCs w:val="24"/>
              </w:rPr>
              <w:t>-S</w:t>
            </w:r>
          </w:p>
        </w:tc>
      </w:tr>
      <w:tr w:rsidR="00255FA1" w:rsidRPr="00D056D1" w14:paraId="355777C1" w14:textId="77777777" w:rsidTr="005A329F">
        <w:trPr>
          <w:cantSplit/>
          <w:jc w:val="center"/>
        </w:trPr>
        <w:tc>
          <w:tcPr>
            <w:tcW w:w="7229" w:type="dxa"/>
          </w:tcPr>
          <w:p w14:paraId="186CAB3E" w14:textId="77777777" w:rsidR="00255FA1" w:rsidRPr="00D056D1" w:rsidRDefault="00255FA1" w:rsidP="003B5DC9">
            <w:pPr>
              <w:spacing w:before="0"/>
              <w:rPr>
                <w:rFonts w:cstheme="minorHAnsi"/>
                <w:b/>
                <w:szCs w:val="24"/>
              </w:rPr>
            </w:pPr>
          </w:p>
        </w:tc>
        <w:tc>
          <w:tcPr>
            <w:tcW w:w="2802" w:type="dxa"/>
          </w:tcPr>
          <w:p w14:paraId="1BF2313B" w14:textId="77777777" w:rsidR="00255FA1" w:rsidRPr="00D056D1" w:rsidRDefault="00255FA1" w:rsidP="003B5DC9">
            <w:pPr>
              <w:spacing w:before="0"/>
              <w:rPr>
                <w:rFonts w:cstheme="minorHAnsi"/>
                <w:b/>
                <w:szCs w:val="24"/>
              </w:rPr>
            </w:pPr>
            <w:r w:rsidRPr="00D056D1">
              <w:rPr>
                <w:rFonts w:cstheme="minorHAnsi"/>
                <w:b/>
                <w:szCs w:val="24"/>
              </w:rPr>
              <w:t>16 de octubre de 2026</w:t>
            </w:r>
          </w:p>
        </w:tc>
      </w:tr>
      <w:tr w:rsidR="00255FA1" w:rsidRPr="00D056D1" w14:paraId="784C2179" w14:textId="77777777" w:rsidTr="005A329F">
        <w:trPr>
          <w:cantSplit/>
          <w:jc w:val="center"/>
        </w:trPr>
        <w:tc>
          <w:tcPr>
            <w:tcW w:w="7229" w:type="dxa"/>
          </w:tcPr>
          <w:p w14:paraId="779A005A" w14:textId="77777777" w:rsidR="00255FA1" w:rsidRPr="00D056D1" w:rsidRDefault="00255FA1" w:rsidP="003B5DC9">
            <w:pPr>
              <w:spacing w:before="0"/>
              <w:rPr>
                <w:rFonts w:cstheme="minorHAnsi"/>
                <w:b/>
                <w:smallCaps/>
                <w:szCs w:val="24"/>
              </w:rPr>
            </w:pPr>
          </w:p>
        </w:tc>
        <w:tc>
          <w:tcPr>
            <w:tcW w:w="2802" w:type="dxa"/>
          </w:tcPr>
          <w:p w14:paraId="6A0C6358" w14:textId="77777777" w:rsidR="00255FA1" w:rsidRPr="00D056D1" w:rsidRDefault="00255FA1" w:rsidP="003B5DC9">
            <w:pPr>
              <w:spacing w:before="0"/>
              <w:rPr>
                <w:rFonts w:cstheme="minorHAnsi"/>
                <w:b/>
                <w:szCs w:val="24"/>
              </w:rPr>
            </w:pPr>
            <w:r w:rsidRPr="00D056D1">
              <w:rPr>
                <w:rFonts w:cstheme="minorHAnsi"/>
                <w:b/>
                <w:szCs w:val="24"/>
              </w:rPr>
              <w:t>Original: inglés</w:t>
            </w:r>
          </w:p>
        </w:tc>
      </w:tr>
      <w:tr w:rsidR="00255FA1" w:rsidRPr="00D056D1" w14:paraId="5B775AE1" w14:textId="77777777" w:rsidTr="005A329F">
        <w:trPr>
          <w:cantSplit/>
          <w:jc w:val="center"/>
        </w:trPr>
        <w:tc>
          <w:tcPr>
            <w:tcW w:w="10031" w:type="dxa"/>
            <w:gridSpan w:val="2"/>
          </w:tcPr>
          <w:p w14:paraId="1BAD1E7D" w14:textId="77777777" w:rsidR="00255FA1" w:rsidRPr="00D056D1" w:rsidRDefault="00255FA1" w:rsidP="003B5DC9">
            <w:pPr>
              <w:spacing w:before="0" w:line="240" w:lineRule="atLeast"/>
              <w:rPr>
                <w:rFonts w:cstheme="minorHAnsi"/>
                <w:b/>
                <w:szCs w:val="24"/>
              </w:rPr>
            </w:pPr>
          </w:p>
        </w:tc>
      </w:tr>
      <w:tr w:rsidR="00255FA1" w:rsidRPr="00D056D1" w14:paraId="7A8FE15B" w14:textId="77777777" w:rsidTr="005A329F">
        <w:trPr>
          <w:cantSplit/>
          <w:jc w:val="center"/>
        </w:trPr>
        <w:tc>
          <w:tcPr>
            <w:tcW w:w="10031" w:type="dxa"/>
            <w:gridSpan w:val="2"/>
          </w:tcPr>
          <w:p w14:paraId="0CE64FCB" w14:textId="394A86F3" w:rsidR="00255FA1" w:rsidRPr="00D056D1" w:rsidRDefault="00E7331D" w:rsidP="003B5DC9">
            <w:pPr>
              <w:pStyle w:val="Source"/>
            </w:pPr>
            <w:bookmarkStart w:id="2" w:name="dsource" w:colFirst="0" w:colLast="0"/>
            <w:bookmarkEnd w:id="1"/>
            <w:r w:rsidRPr="00D056D1">
              <w:t>Estados Miembros de la Comisión Interamericana de Telecomunicaciones (CITEL)</w:t>
            </w:r>
          </w:p>
        </w:tc>
      </w:tr>
      <w:tr w:rsidR="00255FA1" w:rsidRPr="00D056D1" w14:paraId="380B3E8B" w14:textId="77777777" w:rsidTr="005A329F">
        <w:trPr>
          <w:cantSplit/>
          <w:jc w:val="center"/>
        </w:trPr>
        <w:tc>
          <w:tcPr>
            <w:tcW w:w="10031" w:type="dxa"/>
            <w:gridSpan w:val="2"/>
          </w:tcPr>
          <w:p w14:paraId="7CC54C40" w14:textId="56D8CCFC" w:rsidR="00255FA1" w:rsidRPr="00D056D1" w:rsidRDefault="00E7331D" w:rsidP="003B5DC9">
            <w:pPr>
              <w:pStyle w:val="Title1"/>
            </w:pPr>
            <w:bookmarkStart w:id="3" w:name="dtitle1" w:colFirst="0" w:colLast="0"/>
            <w:bookmarkEnd w:id="2"/>
            <w:r w:rsidRPr="00D056D1">
              <w:t xml:space="preserve">PROPUESTA DE </w:t>
            </w:r>
            <w:r w:rsidRPr="00D056D1">
              <w:rPr>
                <w:u w:val="single"/>
              </w:rPr>
              <w:t>NOC</w:t>
            </w:r>
            <w:r w:rsidRPr="00D056D1">
              <w:t xml:space="preserve"> (SIN CAMBIOS) DE LA RESOLUCIÓN 190</w:t>
            </w:r>
          </w:p>
        </w:tc>
      </w:tr>
      <w:tr w:rsidR="00255FA1" w:rsidRPr="00D056D1" w14:paraId="03E0AEA5" w14:textId="77777777" w:rsidTr="005A329F">
        <w:trPr>
          <w:cantSplit/>
          <w:jc w:val="center"/>
        </w:trPr>
        <w:tc>
          <w:tcPr>
            <w:tcW w:w="10031" w:type="dxa"/>
            <w:gridSpan w:val="2"/>
          </w:tcPr>
          <w:p w14:paraId="226B27C0" w14:textId="77777777" w:rsidR="00255FA1" w:rsidRPr="00D056D1" w:rsidRDefault="00255FA1" w:rsidP="003B5DC9">
            <w:pPr>
              <w:pStyle w:val="Title2"/>
            </w:pPr>
            <w:bookmarkStart w:id="4" w:name="dtitle2" w:colFirst="0" w:colLast="0"/>
            <w:bookmarkEnd w:id="3"/>
          </w:p>
        </w:tc>
      </w:tr>
      <w:tr w:rsidR="00255FA1" w:rsidRPr="00D056D1" w14:paraId="43F5CF37" w14:textId="77777777" w:rsidTr="005A329F">
        <w:trPr>
          <w:cantSplit/>
          <w:jc w:val="center"/>
        </w:trPr>
        <w:tc>
          <w:tcPr>
            <w:tcW w:w="10031" w:type="dxa"/>
            <w:gridSpan w:val="2"/>
          </w:tcPr>
          <w:p w14:paraId="5D98A4C4" w14:textId="77777777" w:rsidR="00255FA1" w:rsidRPr="00D056D1" w:rsidRDefault="00255FA1" w:rsidP="003B5DC9">
            <w:pPr>
              <w:pStyle w:val="Agendaitem"/>
            </w:pPr>
            <w:bookmarkStart w:id="5" w:name="dtitle3" w:colFirst="0" w:colLast="0"/>
            <w:bookmarkEnd w:id="4"/>
          </w:p>
        </w:tc>
      </w:tr>
    </w:tbl>
    <w:bookmarkEnd w:id="5"/>
    <w:p w14:paraId="0BEC06FF" w14:textId="77777777" w:rsidR="00E7331D" w:rsidRPr="00D056D1" w:rsidRDefault="00E7331D" w:rsidP="00E7331D">
      <w:pPr>
        <w:pStyle w:val="Headingb"/>
      </w:pPr>
      <w:r w:rsidRPr="00D056D1">
        <w:t>Resumen:</w:t>
      </w:r>
    </w:p>
    <w:p w14:paraId="78D51C61" w14:textId="77777777" w:rsidR="00E7331D" w:rsidRPr="00D056D1" w:rsidRDefault="00E7331D" w:rsidP="00E7331D">
      <w:pPr>
        <w:tabs>
          <w:tab w:val="clear" w:pos="567"/>
          <w:tab w:val="left" w:pos="720"/>
        </w:tabs>
        <w:overflowPunct/>
        <w:autoSpaceDE/>
        <w:adjustRightInd/>
      </w:pPr>
      <w:r w:rsidRPr="00D056D1">
        <w:t>La CITEL propone que no se introduzca ningún cambio (</w:t>
      </w:r>
      <w:r w:rsidRPr="00D056D1">
        <w:rPr>
          <w:u w:val="single"/>
        </w:rPr>
        <w:t>NOC</w:t>
      </w:r>
      <w:r w:rsidRPr="00D056D1">
        <w:t>) en la Resolución 190 (Busán, 2014), que cumple eficazmente su objetivo al centrarse en la utilización indebida de los recursos internacionales de numeración, cuestión que compete al UIT-T. La Conferencia de Plenipotenciarios ofrece orientaciones generales claras por conducto de esta Resolución, que además facilita la aplicación de la Resolución 61 de la AMNT y las Recomendaciones pertinentes de la serie E. De mantenerse el texto actual, se preservaría la estabilidad reglamentaria y la claridad técnica, se promovería un uso eficiente del tiempo en la Conferencia de Plenipotenciarios y se garantizaría que la utilización indebida de los recursos de numeración siguiera abordándose en el foro idóneo, es decir, dentro del marco técnico del UIT-T.</w:t>
      </w:r>
    </w:p>
    <w:p w14:paraId="5A62A857" w14:textId="77777777" w:rsidR="00255FA1" w:rsidRPr="00D056D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D056D1">
        <w:rPr>
          <w:rStyle w:val="PageNumber"/>
        </w:rPr>
        <w:br w:type="page"/>
      </w:r>
    </w:p>
    <w:p w14:paraId="15E0EAB3" w14:textId="77777777" w:rsidR="00067B19" w:rsidRPr="00D056D1" w:rsidRDefault="00FA35CA">
      <w:pPr>
        <w:pStyle w:val="Proposal"/>
        <w:rPr>
          <w:lang w:val="es-ES_tradnl"/>
        </w:rPr>
      </w:pPr>
      <w:r w:rsidRPr="00D056D1">
        <w:rPr>
          <w:u w:val="single"/>
          <w:lang w:val="es-ES_tradnl"/>
        </w:rPr>
        <w:lastRenderedPageBreak/>
        <w:t>NOC</w:t>
      </w:r>
      <w:r w:rsidRPr="00D056D1">
        <w:rPr>
          <w:lang w:val="es-ES_tradnl"/>
        </w:rPr>
        <w:tab/>
        <w:t>IAP/81A9/1</w:t>
      </w:r>
    </w:p>
    <w:p w14:paraId="70988760" w14:textId="77777777" w:rsidR="00FE243B" w:rsidRPr="00D056D1" w:rsidRDefault="00FA35CA" w:rsidP="0043768C">
      <w:pPr>
        <w:pStyle w:val="ResNo"/>
      </w:pPr>
      <w:r w:rsidRPr="00D056D1">
        <w:t xml:space="preserve">RESOLUCIÓN </w:t>
      </w:r>
      <w:r w:rsidRPr="00D056D1">
        <w:rPr>
          <w:rStyle w:val="href"/>
          <w:bCs/>
          <w:caps w:val="0"/>
        </w:rPr>
        <w:t>190</w:t>
      </w:r>
      <w:r w:rsidRPr="00D056D1">
        <w:t xml:space="preserve"> (BUSÁN, 2014)</w:t>
      </w:r>
    </w:p>
    <w:p w14:paraId="268E707A" w14:textId="77777777" w:rsidR="00FE243B" w:rsidRPr="00D056D1" w:rsidRDefault="00FA35CA" w:rsidP="00FE243B">
      <w:pPr>
        <w:pStyle w:val="Restitle"/>
      </w:pPr>
      <w:r w:rsidRPr="00D056D1">
        <w:t>Lucha contra la apropiación y uso indebidos de recursos internacionales de numeración para las telecomunicaciones</w:t>
      </w:r>
    </w:p>
    <w:p w14:paraId="417DC2E0" w14:textId="77777777" w:rsidR="00FE243B" w:rsidRPr="00D056D1" w:rsidRDefault="00FA35CA" w:rsidP="00FE243B">
      <w:pPr>
        <w:rPr>
          <w:lang w:eastAsia="zh-CN"/>
        </w:rPr>
      </w:pPr>
      <w:r w:rsidRPr="00D056D1">
        <w:rPr>
          <w:lang w:eastAsia="zh-CN"/>
        </w:rPr>
        <w:t>La Conferencia de Plenipotenciarios de la Unión Internacional de Telecomunicaciones (Busán, 2014),</w:t>
      </w:r>
    </w:p>
    <w:p w14:paraId="60D1AD85" w14:textId="5629B80F" w:rsidR="00E7331D" w:rsidRPr="00D056D1" w:rsidRDefault="00FA35CA" w:rsidP="00E7331D">
      <w:pPr>
        <w:pStyle w:val="Reasons"/>
      </w:pPr>
      <w:r w:rsidRPr="00D056D1">
        <w:rPr>
          <w:b/>
        </w:rPr>
        <w:t>Motivos:</w:t>
      </w:r>
      <w:r w:rsidRPr="00D056D1">
        <w:tab/>
      </w:r>
      <w:r w:rsidR="00E7331D" w:rsidRPr="00D056D1">
        <w:t>La Resolución 190 (Busán, 2014) sigue cumpliendo eficazmente su objetivo primigenio. En concreto, ofrece orientaciones claras y de alto nivel, dimanantes de la Conferencia de Plenipotenciarios, sobre la utilización indebida de los recursos internacionales de numeración, un tema que se inscribe plenamente en el mandato y la competencia técnica del UIT-T. La Resolución enmarca adecuadamente esta labor en la Resolución 61 de la AMNT y en las Recomendaciones pertinentes de la serie E, a fin de garantizar que las medidas correspondientes se adopten en los foros técnicos adecuados, en lugar de remitir temas operativos a debates políticos más amplios.</w:t>
      </w:r>
      <w:r w:rsidR="00E7331D" w:rsidRPr="00D056D1">
        <w:br/>
      </w:r>
      <w:r w:rsidR="00E7331D" w:rsidRPr="00D056D1">
        <w:br/>
      </w:r>
      <w:r w:rsidR="00E7331D" w:rsidRPr="00D056D1">
        <w:t>Cabe destacar que, si esta Resolución no se ha modificado desde 2014, no ha sido porque el tema que aborda se haya estancado, sino porque el marco original sigue siendo eficaz. Las Comisiones de Estudio del UIT-T han conservado la flexibilidad necesaria para responder a las dinámicas tendencias en materia de utilización indebida mediante recomendaciones y orientaciones prácticas, sin necesidad de una intervención recurrente de la Conferencia de Plenipotenciarios. Esa estabilidad es un punto fuerte, pues aporta previsibilidad a las administraciones y a la industria, al tiempo que preserva una clara división de responsabilidades en el seno de la Unión.</w:t>
      </w:r>
      <w:r w:rsidR="00E7331D" w:rsidRPr="00D056D1">
        <w:br/>
      </w:r>
      <w:r w:rsidR="00E7331D" w:rsidRPr="00D056D1">
        <w:br/>
      </w:r>
      <w:r w:rsidR="00E7331D" w:rsidRPr="00D056D1">
        <w:t>Si se retomase la Resolución, se correría el riesgo de diluir su enfoque o ampliar su alcance más allá de la utilización indebida de los recursos internacionales de numeración, lo que podría generar solapamientos con otras líneas de trabajo o complicar innecesariamente los trabajos conexos. De no introducir cambios, se mantendría la claridad, se reforzaría la estructura de gobernanza existente y se transmitiría confianza en la eficacia del marco actual.</w:t>
      </w:r>
      <w:r w:rsidR="00E7331D" w:rsidRPr="00D056D1">
        <w:br/>
      </w:r>
      <w:r w:rsidR="00E7331D" w:rsidRPr="00D056D1">
        <w:br/>
      </w:r>
      <w:r w:rsidR="00E7331D" w:rsidRPr="00D056D1">
        <w:t>La CITEL es partidaria de no introducir cambios, postura que demuestra su compromiso para con la estabilidad reglamentaria, la competencia técnica y el uso eficiente del tiempo en la Conferencia de Plenipotenciarios, al tiempo que garantiza que la utilización indebida de los recursos de numeración siga abordándose en el foro idóneo, es decir, dentro de la arquitectura técnica del UIT-T.</w:t>
      </w:r>
    </w:p>
    <w:p w14:paraId="67EF208C" w14:textId="77777777" w:rsidR="00E7331D" w:rsidRPr="00D056D1" w:rsidRDefault="00E7331D">
      <w:pPr>
        <w:jc w:val="center"/>
      </w:pPr>
      <w:r w:rsidRPr="00D056D1">
        <w:t>______________</w:t>
      </w:r>
    </w:p>
    <w:sectPr w:rsidR="00E7331D" w:rsidRPr="00D056D1">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A7965" w14:textId="77777777" w:rsidR="00C84A65" w:rsidRDefault="00C84A65">
      <w:r>
        <w:separator/>
      </w:r>
    </w:p>
  </w:endnote>
  <w:endnote w:type="continuationSeparator" w:id="0">
    <w:p w14:paraId="51275EB6" w14:textId="77777777" w:rsidR="00C84A65" w:rsidRDefault="00C84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1B17F"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FC1E6" w14:textId="77777777" w:rsidR="00C84A65" w:rsidRDefault="00C84A65">
      <w:r>
        <w:t>____________________</w:t>
      </w:r>
    </w:p>
  </w:footnote>
  <w:footnote w:type="continuationSeparator" w:id="0">
    <w:p w14:paraId="12A49E9D" w14:textId="77777777" w:rsidR="00C84A65" w:rsidRDefault="00C84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39D84"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4D0E9A28" w14:textId="77777777" w:rsidR="00255FA1" w:rsidRDefault="00255FA1" w:rsidP="00C43474">
    <w:pPr>
      <w:pStyle w:val="Header"/>
    </w:pPr>
    <w:r>
      <w:rPr>
        <w:lang w:val="en-US"/>
      </w:rPr>
      <w:t>PP</w:t>
    </w:r>
    <w:r w:rsidR="009D1BE0">
      <w:rPr>
        <w:lang w:val="en-US"/>
      </w:rPr>
      <w:t>2</w:t>
    </w:r>
    <w:r w:rsidR="009415B6">
      <w:rPr>
        <w:lang w:val="en-US"/>
      </w:rPr>
      <w:t>6</w:t>
    </w:r>
    <w:r>
      <w:t>/81(Add.9)-</w:t>
    </w:r>
    <w:r w:rsidRPr="00010B4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67B19"/>
    <w:rsid w:val="000863AB"/>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C40E4"/>
    <w:rsid w:val="002C6527"/>
    <w:rsid w:val="002E44FC"/>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720686"/>
    <w:rsid w:val="00737EFF"/>
    <w:rsid w:val="00750806"/>
    <w:rsid w:val="00780430"/>
    <w:rsid w:val="007875D2"/>
    <w:rsid w:val="007D61E2"/>
    <w:rsid w:val="007F6EBC"/>
    <w:rsid w:val="00810D8B"/>
    <w:rsid w:val="00882773"/>
    <w:rsid w:val="008B4706"/>
    <w:rsid w:val="008B6676"/>
    <w:rsid w:val="008C06AE"/>
    <w:rsid w:val="008C3FA8"/>
    <w:rsid w:val="008E51C5"/>
    <w:rsid w:val="008F7109"/>
    <w:rsid w:val="009107B0"/>
    <w:rsid w:val="009220DE"/>
    <w:rsid w:val="00930E84"/>
    <w:rsid w:val="009415B6"/>
    <w:rsid w:val="00956FE6"/>
    <w:rsid w:val="0099270D"/>
    <w:rsid w:val="0099551E"/>
    <w:rsid w:val="009A1A86"/>
    <w:rsid w:val="009D1BE0"/>
    <w:rsid w:val="009E0C42"/>
    <w:rsid w:val="00A45779"/>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6D1"/>
    <w:rsid w:val="00D05AAE"/>
    <w:rsid w:val="00D05E6B"/>
    <w:rsid w:val="00D066F8"/>
    <w:rsid w:val="00D254A6"/>
    <w:rsid w:val="00D42B55"/>
    <w:rsid w:val="00D57D70"/>
    <w:rsid w:val="00DE3E41"/>
    <w:rsid w:val="00E05D81"/>
    <w:rsid w:val="00E53DFC"/>
    <w:rsid w:val="00E66FC3"/>
    <w:rsid w:val="00E677DD"/>
    <w:rsid w:val="00E7331D"/>
    <w:rsid w:val="00E77F17"/>
    <w:rsid w:val="00E809D8"/>
    <w:rsid w:val="00E921EC"/>
    <w:rsid w:val="00EB23D0"/>
    <w:rsid w:val="00EC395A"/>
    <w:rsid w:val="00F01632"/>
    <w:rsid w:val="00F04858"/>
    <w:rsid w:val="00F13AA4"/>
    <w:rsid w:val="00F23399"/>
    <w:rsid w:val="00F3510D"/>
    <w:rsid w:val="00F43C07"/>
    <w:rsid w:val="00F43D44"/>
    <w:rsid w:val="00F80E6E"/>
    <w:rsid w:val="00FA35CA"/>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6267C8D"/>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723506">
      <w:bodyDiv w:val="1"/>
      <w:marLeft w:val="0"/>
      <w:marRight w:val="0"/>
      <w:marTop w:val="0"/>
      <w:marBottom w:val="0"/>
      <w:divBdr>
        <w:top w:val="none" w:sz="0" w:space="0" w:color="auto"/>
        <w:left w:val="none" w:sz="0" w:space="0" w:color="auto"/>
        <w:bottom w:val="none" w:sz="0" w:space="0" w:color="auto"/>
        <w:right w:val="none" w:sz="0" w:space="0" w:color="auto"/>
      </w:divBdr>
    </w:div>
    <w:div w:id="180192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4740392-1c2b-406e-8e7a-651c72d5a78d" targetNamespace="http://schemas.microsoft.com/office/2006/metadata/properties" ma:root="true" ma:fieldsID="d41af5c836d734370eb92e7ee5f83852" ns2:_="" ns3:_="">
    <xsd:import namespace="996b2e75-67fd-4955-a3b0-5ab9934cb50b"/>
    <xsd:import namespace="14740392-1c2b-406e-8e7a-651c72d5a78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4740392-1c2b-406e-8e7a-651c72d5a78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14740392-1c2b-406e-8e7a-651c72d5a78d">DPM</DPM_x0020_Author>
    <DPM_x0020_File_x0020_name xmlns="14740392-1c2b-406e-8e7a-651c72d5a78d">S26-PP-C-0081!A9!MSW-S</DPM_x0020_File_x0020_name>
    <DPM_x0020_Version xmlns="14740392-1c2b-406e-8e7a-651c72d5a78d">DPM_2025.10.23.1</DPM_x0020_Version>
  </documentManagement>
</p:properties>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sharepoint/v3/contenttype/form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4740392-1c2b-406e-8e7a-651c72d5a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740392-1c2b-406e-8e7a-651c72d5a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520</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3492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S26-PP-C-0081!A9!MSW-S</dc:title>
  <dc:subject>ITU Plenipotentiary Conference (PP-26)</dc:subject>
  <dc:creator>Documents Proposals Manager (DPM)</dc:creator>
  <cp:keywords>DPM_v2026.8.25.1_prod</cp:keywords>
  <dc:description/>
  <cp:lastModifiedBy>Spanish</cp:lastModifiedBy>
  <cp:revision>4</cp:revision>
  <dcterms:created xsi:type="dcterms:W3CDTF">2026-10-23T09:44:00Z</dcterms:created>
  <dcterms:modified xsi:type="dcterms:W3CDTF">2026-10-23T09:46:00Z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