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D90FA66" w14:textId="77777777" w:rsidTr="00C70164">
        <w:trPr>
          <w:cantSplit/>
          <w:jc w:val="center"/>
        </w:trPr>
        <w:tc>
          <w:tcPr>
            <w:tcW w:w="10031" w:type="dxa"/>
            <w:gridSpan w:val="2"/>
            <w:tcMar>
              <w:left w:w="0" w:type="dxa"/>
              <w:right w:w="0" w:type="dxa"/>
            </w:tcMar>
            <w:vAlign w:val="center"/>
          </w:tcPr>
          <w:p w14:paraId="0F38B55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31723AD" wp14:editId="49C05BD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1691585" w14:textId="77777777" w:rsidTr="00C70164">
        <w:trPr>
          <w:cantSplit/>
          <w:trHeight w:val="283"/>
          <w:jc w:val="center"/>
        </w:trPr>
        <w:tc>
          <w:tcPr>
            <w:tcW w:w="10031" w:type="dxa"/>
            <w:gridSpan w:val="2"/>
            <w:tcBorders>
              <w:bottom w:val="single" w:sz="12" w:space="0" w:color="71716F"/>
            </w:tcBorders>
          </w:tcPr>
          <w:p w14:paraId="0DE2D09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2E03650" w14:textId="77777777" w:rsidTr="00C70164">
        <w:trPr>
          <w:cantSplit/>
          <w:trHeight w:val="255"/>
          <w:jc w:val="center"/>
        </w:trPr>
        <w:tc>
          <w:tcPr>
            <w:tcW w:w="7230" w:type="dxa"/>
            <w:tcBorders>
              <w:top w:val="single" w:sz="12" w:space="0" w:color="71716F"/>
            </w:tcBorders>
          </w:tcPr>
          <w:p w14:paraId="476B7DA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1C021E0" w14:textId="77777777" w:rsidR="001A16ED" w:rsidRPr="00D96B4B" w:rsidRDefault="001A16ED" w:rsidP="000B596F">
            <w:pPr>
              <w:spacing w:before="0"/>
              <w:rPr>
                <w:rFonts w:cstheme="minorHAnsi"/>
                <w:sz w:val="20"/>
              </w:rPr>
            </w:pPr>
          </w:p>
        </w:tc>
      </w:tr>
      <w:tr w:rsidR="001A16ED" w:rsidRPr="00C324A8" w14:paraId="5E390DED" w14:textId="77777777" w:rsidTr="00C70164">
        <w:trPr>
          <w:cantSplit/>
          <w:trHeight w:val="23"/>
          <w:jc w:val="center"/>
        </w:trPr>
        <w:tc>
          <w:tcPr>
            <w:tcW w:w="7230" w:type="dxa"/>
          </w:tcPr>
          <w:p w14:paraId="2E906DC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5D096E0" w14:textId="77777777" w:rsidR="001A16ED" w:rsidRPr="00F44B1A" w:rsidRDefault="001A16ED" w:rsidP="000B596F">
            <w:pPr>
              <w:tabs>
                <w:tab w:val="left" w:pos="851"/>
              </w:tabs>
              <w:spacing w:before="0"/>
              <w:rPr>
                <w:rFonts w:cstheme="minorHAnsi"/>
                <w:b/>
                <w:szCs w:val="24"/>
              </w:rPr>
            </w:pPr>
            <w:r>
              <w:rPr>
                <w:rFonts w:cstheme="minorHAnsi"/>
                <w:b/>
                <w:szCs w:val="24"/>
              </w:rPr>
              <w:t>Addendum 8 to</w:t>
            </w:r>
            <w:r>
              <w:rPr>
                <w:rFonts w:cstheme="minorHAnsi"/>
                <w:b/>
                <w:szCs w:val="24"/>
              </w:rPr>
              <w:br/>
              <w:t>Document 81</w:t>
            </w:r>
            <w:r w:rsidR="00F44B1A" w:rsidRPr="00F44B1A">
              <w:rPr>
                <w:rFonts w:cstheme="minorHAnsi"/>
                <w:b/>
                <w:szCs w:val="24"/>
              </w:rPr>
              <w:t>-E</w:t>
            </w:r>
          </w:p>
        </w:tc>
      </w:tr>
      <w:tr w:rsidR="001A16ED" w:rsidRPr="00C324A8" w14:paraId="2E29AEEC" w14:textId="77777777" w:rsidTr="00C70164">
        <w:trPr>
          <w:cantSplit/>
          <w:trHeight w:val="23"/>
          <w:jc w:val="center"/>
        </w:trPr>
        <w:tc>
          <w:tcPr>
            <w:tcW w:w="7230" w:type="dxa"/>
          </w:tcPr>
          <w:p w14:paraId="4DD8355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A83D25A"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66D5F718" w14:textId="77777777" w:rsidTr="00C70164">
        <w:trPr>
          <w:cantSplit/>
          <w:trHeight w:val="23"/>
          <w:jc w:val="center"/>
        </w:trPr>
        <w:tc>
          <w:tcPr>
            <w:tcW w:w="7230" w:type="dxa"/>
          </w:tcPr>
          <w:p w14:paraId="102860B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812085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53E151C" w14:textId="77777777" w:rsidTr="00C70164">
        <w:trPr>
          <w:cantSplit/>
          <w:trHeight w:val="23"/>
          <w:jc w:val="center"/>
        </w:trPr>
        <w:tc>
          <w:tcPr>
            <w:tcW w:w="10031" w:type="dxa"/>
            <w:gridSpan w:val="2"/>
          </w:tcPr>
          <w:p w14:paraId="397554AC" w14:textId="77777777" w:rsidR="001A16ED" w:rsidRPr="00D96B4B" w:rsidRDefault="001A16ED" w:rsidP="000B596F">
            <w:pPr>
              <w:tabs>
                <w:tab w:val="left" w:pos="993"/>
              </w:tabs>
              <w:rPr>
                <w:rFonts w:ascii="Verdana" w:hAnsi="Verdana"/>
                <w:b/>
                <w:szCs w:val="24"/>
              </w:rPr>
            </w:pPr>
          </w:p>
        </w:tc>
      </w:tr>
      <w:tr w:rsidR="001A16ED" w:rsidRPr="00C324A8" w14:paraId="7B87613C" w14:textId="77777777" w:rsidTr="00C70164">
        <w:trPr>
          <w:cantSplit/>
          <w:trHeight w:val="23"/>
          <w:jc w:val="center"/>
        </w:trPr>
        <w:tc>
          <w:tcPr>
            <w:tcW w:w="10031" w:type="dxa"/>
            <w:gridSpan w:val="2"/>
          </w:tcPr>
          <w:p w14:paraId="19BCD014" w14:textId="77777777" w:rsidR="001A16ED" w:rsidRDefault="001A16ED" w:rsidP="000B596F">
            <w:pPr>
              <w:pStyle w:val="Source"/>
            </w:pPr>
            <w:r>
              <w:t>Member States of the Inter-American Telecommunication Commission (CITEL)</w:t>
            </w:r>
          </w:p>
        </w:tc>
      </w:tr>
      <w:tr w:rsidR="001A16ED" w:rsidRPr="00C324A8" w14:paraId="030293A2" w14:textId="77777777" w:rsidTr="00C70164">
        <w:trPr>
          <w:cantSplit/>
          <w:trHeight w:val="23"/>
          <w:jc w:val="center"/>
        </w:trPr>
        <w:tc>
          <w:tcPr>
            <w:tcW w:w="10031" w:type="dxa"/>
            <w:gridSpan w:val="2"/>
          </w:tcPr>
          <w:p w14:paraId="13AA3010" w14:textId="77777777" w:rsidR="001A16ED" w:rsidRDefault="001A16ED" w:rsidP="000B596F">
            <w:pPr>
              <w:pStyle w:val="Title1"/>
            </w:pPr>
            <w:r>
              <w:t xml:space="preserve">PROPOSED </w:t>
            </w:r>
            <w:r w:rsidRPr="00313AE4">
              <w:rPr>
                <w:u w:val="single"/>
              </w:rPr>
              <w:t>NOC</w:t>
            </w:r>
            <w:r>
              <w:t xml:space="preserve"> (NO CHANGE) TO RESOLUTION 21</w:t>
            </w:r>
          </w:p>
        </w:tc>
      </w:tr>
      <w:tr w:rsidR="001A16ED" w:rsidRPr="00C324A8" w14:paraId="64590EE3" w14:textId="77777777" w:rsidTr="00C70164">
        <w:trPr>
          <w:cantSplit/>
          <w:trHeight w:val="23"/>
          <w:jc w:val="center"/>
        </w:trPr>
        <w:tc>
          <w:tcPr>
            <w:tcW w:w="10031" w:type="dxa"/>
            <w:gridSpan w:val="2"/>
          </w:tcPr>
          <w:p w14:paraId="14E65BB6" w14:textId="77777777" w:rsidR="001A16ED" w:rsidRDefault="001A16ED" w:rsidP="000B596F">
            <w:pPr>
              <w:pStyle w:val="Title2"/>
            </w:pPr>
          </w:p>
        </w:tc>
      </w:tr>
      <w:tr w:rsidR="001A16ED" w:rsidRPr="00C324A8" w14:paraId="6F09BB54" w14:textId="77777777" w:rsidTr="00C70164">
        <w:trPr>
          <w:cantSplit/>
          <w:trHeight w:val="23"/>
          <w:jc w:val="center"/>
        </w:trPr>
        <w:tc>
          <w:tcPr>
            <w:tcW w:w="10031" w:type="dxa"/>
            <w:gridSpan w:val="2"/>
          </w:tcPr>
          <w:p w14:paraId="5FC82332" w14:textId="77777777" w:rsidR="00C11CDA" w:rsidRPr="00C11CDA" w:rsidRDefault="00C11CDA" w:rsidP="00C11CDA">
            <w:pPr>
              <w:rPr>
                <w:b/>
                <w:bCs/>
                <w:lang w:val="en-US"/>
              </w:rPr>
            </w:pPr>
            <w:r w:rsidRPr="00C11CDA">
              <w:rPr>
                <w:b/>
                <w:bCs/>
                <w:lang w:val="en-US" w:eastAsia="zh-CN"/>
              </w:rPr>
              <w:t>Abstract:</w:t>
            </w:r>
            <w:r w:rsidRPr="00C11CDA">
              <w:rPr>
                <w:b/>
                <w:bCs/>
                <w:lang w:val="en-US"/>
              </w:rPr>
              <w:t xml:space="preserve"> </w:t>
            </w:r>
          </w:p>
          <w:p w14:paraId="479D0D08" w14:textId="1BFB0D95" w:rsidR="001A16ED" w:rsidRDefault="00C11CDA" w:rsidP="00C11CDA">
            <w:r w:rsidRPr="00C11CDA">
              <w:t>CITEL proposes no change (</w:t>
            </w:r>
            <w:r w:rsidRPr="00C11CDA">
              <w:rPr>
                <w:u w:val="single"/>
              </w:rPr>
              <w:t>NOC</w:t>
            </w:r>
            <w:r w:rsidRPr="00C11CDA">
              <w:t xml:space="preserve">) to Plenipotentiary Resolution 21 (Rev. Bucharest, 2022), which provides high-level guidance on alternative calling procedures (ACPs) for international networks and supports WTSA Resolution 29 (Rev. Geneva, 2022). Maintaining the current text provides stability and clarity in the treatment of ACPs in cross-border traffic flows, including settlement practices, routing, fraud prevention, and regulatory oversight, while allowing relevant technical bodies to further develop operational Recommendations without creating legal or regulatory uncertainty. </w:t>
            </w:r>
            <w:r w:rsidRPr="00BD667E">
              <w:t xml:space="preserve">For CITEL, a </w:t>
            </w:r>
            <w:r>
              <w:t>n</w:t>
            </w:r>
            <w:r w:rsidRPr="00BD667E">
              <w:t xml:space="preserve">o </w:t>
            </w:r>
            <w:r>
              <w:t>c</w:t>
            </w:r>
            <w:r w:rsidRPr="00BD667E">
              <w:t xml:space="preserve">hange </w:t>
            </w:r>
            <w:r>
              <w:t>(</w:t>
            </w:r>
            <w:r w:rsidRPr="00476003">
              <w:rPr>
                <w:u w:val="single"/>
              </w:rPr>
              <w:t>NOC</w:t>
            </w:r>
            <w:r>
              <w:t xml:space="preserve">) </w:t>
            </w:r>
            <w:r w:rsidRPr="00BD667E">
              <w:t>position preserves the appropriate balance between high-level policy guidance and technical implementation, protects operators from unnecessary Plenipotentiary-level intervention, and supports predictable management of international traffic and commercial practices.</w:t>
            </w:r>
          </w:p>
        </w:tc>
      </w:tr>
      <w:bookmarkEnd w:id="6"/>
      <w:bookmarkEnd w:id="7"/>
    </w:tbl>
    <w:p w14:paraId="63647408" w14:textId="77777777" w:rsidR="001A16ED" w:rsidRDefault="001A16ED" w:rsidP="00AB2D04"/>
    <w:p w14:paraId="1FC4541D" w14:textId="77777777" w:rsidR="0008540E" w:rsidRPr="0008540E" w:rsidRDefault="001A16ED" w:rsidP="00004F8B">
      <w:r>
        <w:br w:type="page"/>
      </w:r>
    </w:p>
    <w:p w14:paraId="49DBA404" w14:textId="77777777" w:rsidR="00AF5E68" w:rsidRDefault="009F3E82">
      <w:pPr>
        <w:pStyle w:val="Proposal"/>
      </w:pPr>
      <w:r>
        <w:rPr>
          <w:u w:val="single"/>
        </w:rPr>
        <w:lastRenderedPageBreak/>
        <w:t>NOC</w:t>
      </w:r>
      <w:r>
        <w:tab/>
        <w:t>IAP/81A8/1</w:t>
      </w:r>
    </w:p>
    <w:p w14:paraId="0A30123C" w14:textId="77777777" w:rsidR="009F3E82" w:rsidRPr="00B66444" w:rsidRDefault="009F3E82" w:rsidP="002D6687">
      <w:pPr>
        <w:pStyle w:val="ResNo"/>
      </w:pPr>
      <w:r w:rsidRPr="00B66444">
        <w:t xml:space="preserve">RESOLUTION </w:t>
      </w:r>
      <w:r w:rsidRPr="00B66444">
        <w:rPr>
          <w:rStyle w:val="href"/>
        </w:rPr>
        <w:t>21</w:t>
      </w:r>
      <w:r w:rsidRPr="00B66444">
        <w:t xml:space="preserve"> (REV. BUCHAREST, 2022)</w:t>
      </w:r>
    </w:p>
    <w:p w14:paraId="71384709" w14:textId="77777777" w:rsidR="009F3E82" w:rsidRPr="00B66444" w:rsidRDefault="009F3E82" w:rsidP="007F4EDE">
      <w:pPr>
        <w:pStyle w:val="Restitle"/>
      </w:pPr>
      <w:r w:rsidRPr="00B66444">
        <w:t>Measures concerning alternative calling procedures</w:t>
      </w:r>
      <w:r w:rsidRPr="00B66444">
        <w:br/>
        <w:t>on international telecommunication networks</w:t>
      </w:r>
    </w:p>
    <w:p w14:paraId="170A09CD" w14:textId="77777777" w:rsidR="009F3E82" w:rsidRPr="00B66444" w:rsidRDefault="009F3E82" w:rsidP="007F4EDE">
      <w:pPr>
        <w:pStyle w:val="Normalaftertitle"/>
      </w:pPr>
      <w:r w:rsidRPr="00B66444">
        <w:t>The Plenipotentiary Conference of the International Telecommunication Union (Bucharest, 2022),</w:t>
      </w:r>
    </w:p>
    <w:p w14:paraId="7726B5BE" w14:textId="2238C61B" w:rsidR="00AF5E68" w:rsidRDefault="009F3E82" w:rsidP="00EE31BC">
      <w:pPr>
        <w:pStyle w:val="Reasons"/>
      </w:pPr>
      <w:r>
        <w:rPr>
          <w:b/>
        </w:rPr>
        <w:t>Reasons:</w:t>
      </w:r>
      <w:r>
        <w:tab/>
      </w:r>
      <w:r w:rsidR="00EE31BC">
        <w:t xml:space="preserve">Resolution 21 continues to function as intended, providing clear, high-level policy guidance on alternative calling procedures in international telecommunication networks. It serves as the Plenipotentiary-level anchor for WTSA Resolution 29 (Rev. Geneva, 2022), ensuring ACP issues are addressed within technical and operational forums rather than at the Plenipotentiary level. Ongoing ITU work on technical </w:t>
      </w:r>
      <w:proofErr w:type="gramStart"/>
      <w:r w:rsidR="00EE31BC">
        <w:t>recommendations</w:t>
      </w:r>
      <w:proofErr w:type="gramEnd"/>
      <w:r w:rsidR="00EE31BC">
        <w:t xml:space="preserve"> and operational guidance continues to refine practices and address emerging challenges.</w:t>
      </w:r>
      <w:r w:rsidR="00EE31BC">
        <w:br/>
      </w:r>
      <w:r w:rsidR="00EE31BC">
        <w:br/>
        <w:t>The resolution strikes a balance between policy direction, national regulatory sovereignty, and commercially negotiated traffic flows. International traffic markets across the Americas now operate predominantly under competitive, IP-based arrangements. Reopening or amending the resolution risks reviving legacy settlement concerns, creating interpretive ambiguity, or constraining legitimate commercial routing. Even minor changes could introduce regulatory uncertainty or inadvertently affect operator compliance expectations.</w:t>
      </w:r>
      <w:r w:rsidR="00EE31BC">
        <w:br/>
      </w:r>
      <w:r w:rsidR="00EE31BC">
        <w:br/>
        <w:t>Maintaining a no change stance ensures ACP issues continue to be handled where they belong, preserves operational and technical flexibility, and reinforces stability in cross-border traffic arrangements. For CITEL, this protects operators from unnecessary plenipotentiary-level intervention, supports predictable management of international traffic, and avoids politicizing commercial practices.</w:t>
      </w:r>
      <w:r w:rsidR="00EE31BC">
        <w:br/>
      </w:r>
      <w:r w:rsidR="00EE31BC">
        <w:br/>
        <w:t>Supporting a stability-focused approach demonstrates confidence in modern traffic markets, respects national regulatory authority, and allows ITU technical bodies to continue their work efficiently and effectively, without burdening administrations or operators with additional plenipotentiary-level policy obligations.</w:t>
      </w:r>
    </w:p>
    <w:p w14:paraId="53EB9948" w14:textId="0D35BB1E" w:rsidR="00C11CDA" w:rsidRPr="00C11CDA" w:rsidRDefault="00C11CDA" w:rsidP="00C11CDA">
      <w:pPr>
        <w:jc w:val="center"/>
      </w:pPr>
      <w:r>
        <w:t>_____________________</w:t>
      </w:r>
    </w:p>
    <w:sectPr w:rsidR="00C11CDA" w:rsidRPr="00C11CDA">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089F5" w14:textId="77777777" w:rsidR="005177CC" w:rsidRDefault="005177CC">
      <w:r>
        <w:separator/>
      </w:r>
    </w:p>
  </w:endnote>
  <w:endnote w:type="continuationSeparator" w:id="0">
    <w:p w14:paraId="663B1D8E" w14:textId="77777777" w:rsidR="005177CC" w:rsidRDefault="00517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4463"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930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9B2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A4D3F" w14:textId="77777777" w:rsidR="005177CC" w:rsidRDefault="005177CC">
      <w:r>
        <w:t>____________________</w:t>
      </w:r>
    </w:p>
  </w:footnote>
  <w:footnote w:type="continuationSeparator" w:id="0">
    <w:p w14:paraId="5E5D952C" w14:textId="77777777" w:rsidR="005177CC" w:rsidRDefault="00517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B6E2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CDB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E311D8C" w14:textId="77777777" w:rsidR="00CE1B90" w:rsidRDefault="00CE1B90" w:rsidP="004F7925">
    <w:pPr>
      <w:pStyle w:val="Header"/>
    </w:pPr>
    <w:r>
      <w:t>PP</w:t>
    </w:r>
    <w:r w:rsidR="000235EC">
      <w:t>2</w:t>
    </w:r>
    <w:r w:rsidR="00EF3B7A">
      <w:t>6</w:t>
    </w:r>
    <w:r>
      <w:t>/81(Add.8)-E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7516"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2F0D"/>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3AE4"/>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5CF5"/>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177CC"/>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3E82"/>
    <w:rsid w:val="009F4384"/>
    <w:rsid w:val="009F442D"/>
    <w:rsid w:val="009F50DA"/>
    <w:rsid w:val="00A06D56"/>
    <w:rsid w:val="00A314A2"/>
    <w:rsid w:val="00A516BB"/>
    <w:rsid w:val="00A619C5"/>
    <w:rsid w:val="00A808E1"/>
    <w:rsid w:val="00A8262F"/>
    <w:rsid w:val="00A84B32"/>
    <w:rsid w:val="00A84B3A"/>
    <w:rsid w:val="00A87124"/>
    <w:rsid w:val="00A93B71"/>
    <w:rsid w:val="00AA3087"/>
    <w:rsid w:val="00AB0B32"/>
    <w:rsid w:val="00AB190D"/>
    <w:rsid w:val="00AB2D04"/>
    <w:rsid w:val="00AB5C39"/>
    <w:rsid w:val="00AB75A9"/>
    <w:rsid w:val="00AD1C5C"/>
    <w:rsid w:val="00AD566F"/>
    <w:rsid w:val="00AF0849"/>
    <w:rsid w:val="00AF5E68"/>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1CDA"/>
    <w:rsid w:val="00C16846"/>
    <w:rsid w:val="00C34851"/>
    <w:rsid w:val="00C42A5B"/>
    <w:rsid w:val="00C5419D"/>
    <w:rsid w:val="00C5516B"/>
    <w:rsid w:val="00C56038"/>
    <w:rsid w:val="00C6729F"/>
    <w:rsid w:val="00C70164"/>
    <w:rsid w:val="00C72664"/>
    <w:rsid w:val="00C86F24"/>
    <w:rsid w:val="00C9253C"/>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1B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5BF7B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S26-PP-C-0081!A8!MSW-E</DPM_x0020_File_x0020_name>
  </documentManagement>
</p:properties>
</file>

<file path=customXml/itemProps1.xml><?xml version="1.0" encoding="utf-8"?>
<ds:datastoreItem xmlns:ds="http://schemas.openxmlformats.org/officeDocument/2006/customXml" ds:itemID="{782AC92D-1045-4EA9-BEB8-CBD5549404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417</Words>
  <Characters>2722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S26-PP-C-0081!A8!MSW-E</dc:title>
  <dc:subject>ITU Plenipotentiary Conference (PP-26)</dc:subject>
  <dc:creator>Documents Proposals Manager (DPM)</dc:creator>
  <cp:keywords>DPM_v2026.8.25.1_prod</cp:keywords>
  <cp:lastModifiedBy>GBS-3</cp:lastModifiedBy>
  <cp:revision>5</cp:revision>
  <dcterms:created xsi:type="dcterms:W3CDTF">2026-10-20T11:44:00Z</dcterms:created>
  <dcterms:modified xsi:type="dcterms:W3CDTF">2026-10-21T09:20:00Z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