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486E9B" w14:paraId="719DCB2E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00A2E45" w14:textId="77777777" w:rsidR="00CE496F" w:rsidRPr="00486E9B" w:rsidRDefault="00CE496F" w:rsidP="00E0789F">
            <w:pPr>
              <w:spacing w:before="0"/>
              <w:rPr>
                <w:rFonts w:cstheme="minorHAnsi"/>
              </w:rPr>
            </w:pPr>
            <w:bookmarkStart w:id="0" w:name="ditulogo"/>
            <w:bookmarkEnd w:id="0"/>
            <w:r w:rsidRPr="00486E9B">
              <w:rPr>
                <w:rFonts w:cstheme="minorHAnsi"/>
              </w:rPr>
              <w:drawing>
                <wp:anchor distT="0" distB="0" distL="0" distR="0" simplePos="0" relativeHeight="251658240" behindDoc="1" locked="0" layoutInCell="1" allowOverlap="1" wp14:anchorId="4EBEB275" wp14:editId="04D1119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486E9B" w14:paraId="0B9B157D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D8893CE" w14:textId="77777777" w:rsidR="002E1AF7" w:rsidRPr="00486E9B" w:rsidRDefault="002E1AF7" w:rsidP="00E0789F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486E9B" w14:paraId="38006667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794131B" w14:textId="77777777" w:rsidR="00BD1614" w:rsidRPr="00486E9B" w:rsidRDefault="00BD1614" w:rsidP="00E0789F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66ADE393" w14:textId="77777777" w:rsidR="00BD1614" w:rsidRPr="00486E9B" w:rsidRDefault="00BD1614" w:rsidP="00E0789F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486E9B" w14:paraId="45909B23" w14:textId="77777777" w:rsidTr="00CE496F">
        <w:trPr>
          <w:cantSplit/>
          <w:jc w:val="center"/>
        </w:trPr>
        <w:tc>
          <w:tcPr>
            <w:tcW w:w="7229" w:type="dxa"/>
          </w:tcPr>
          <w:p w14:paraId="02655BC2" w14:textId="77777777" w:rsidR="00BD1614" w:rsidRPr="00486E9B" w:rsidRDefault="00BD1614" w:rsidP="00E0789F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486E9B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057DC8E5" w14:textId="77777777" w:rsidR="00BD1614" w:rsidRPr="00486E9B" w:rsidRDefault="00BD1614" w:rsidP="00E0789F">
            <w:pPr>
              <w:spacing w:before="0"/>
              <w:rPr>
                <w:rFonts w:cstheme="minorHAnsi"/>
                <w:szCs w:val="24"/>
              </w:rPr>
            </w:pPr>
            <w:r w:rsidRPr="00486E9B">
              <w:rPr>
                <w:rFonts w:cstheme="minorHAnsi"/>
                <w:b/>
                <w:szCs w:val="24"/>
              </w:rPr>
              <w:t>Addendum 5 au</w:t>
            </w:r>
            <w:r w:rsidRPr="00486E9B">
              <w:rPr>
                <w:rFonts w:cstheme="minorHAnsi"/>
                <w:b/>
                <w:szCs w:val="24"/>
              </w:rPr>
              <w:br/>
              <w:t>Document 81</w:t>
            </w:r>
            <w:r w:rsidR="005F63BD" w:rsidRPr="00486E9B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486E9B" w14:paraId="3ABCFEBD" w14:textId="77777777" w:rsidTr="00CE496F">
        <w:trPr>
          <w:cantSplit/>
          <w:jc w:val="center"/>
        </w:trPr>
        <w:tc>
          <w:tcPr>
            <w:tcW w:w="7229" w:type="dxa"/>
          </w:tcPr>
          <w:p w14:paraId="579C630C" w14:textId="77777777" w:rsidR="00BD1614" w:rsidRPr="00486E9B" w:rsidRDefault="00BD1614" w:rsidP="00E0789F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2590B002" w14:textId="77777777" w:rsidR="00BD1614" w:rsidRPr="00486E9B" w:rsidRDefault="00BD1614" w:rsidP="00E0789F">
            <w:pPr>
              <w:spacing w:before="0"/>
              <w:rPr>
                <w:rFonts w:cstheme="minorHAnsi"/>
                <w:b/>
                <w:szCs w:val="24"/>
              </w:rPr>
            </w:pPr>
            <w:r w:rsidRPr="00486E9B">
              <w:rPr>
                <w:rFonts w:cstheme="minorHAnsi"/>
                <w:b/>
                <w:szCs w:val="24"/>
              </w:rPr>
              <w:t>15 octobre 2026</w:t>
            </w:r>
          </w:p>
        </w:tc>
      </w:tr>
      <w:tr w:rsidR="00BD1614" w:rsidRPr="00486E9B" w14:paraId="02375408" w14:textId="77777777" w:rsidTr="00CE496F">
        <w:trPr>
          <w:cantSplit/>
          <w:jc w:val="center"/>
        </w:trPr>
        <w:tc>
          <w:tcPr>
            <w:tcW w:w="7229" w:type="dxa"/>
          </w:tcPr>
          <w:p w14:paraId="7F857378" w14:textId="77777777" w:rsidR="00BD1614" w:rsidRPr="00486E9B" w:rsidRDefault="00BD1614" w:rsidP="00E0789F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DABC87E" w14:textId="77777777" w:rsidR="00BD1614" w:rsidRPr="00486E9B" w:rsidRDefault="00BD1614" w:rsidP="00E0789F">
            <w:pPr>
              <w:spacing w:before="0"/>
              <w:rPr>
                <w:rFonts w:cstheme="minorHAnsi"/>
                <w:b/>
                <w:szCs w:val="24"/>
              </w:rPr>
            </w:pPr>
            <w:r w:rsidRPr="00486E9B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486E9B" w14:paraId="41C9A2E3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F9F6A9C" w14:textId="77777777" w:rsidR="00BD1614" w:rsidRPr="00486E9B" w:rsidRDefault="00BD1614" w:rsidP="00E0789F">
            <w:pPr>
              <w:spacing w:before="0"/>
              <w:rPr>
                <w:rFonts w:cstheme="minorHAnsi"/>
                <w:b/>
                <w:szCs w:val="24"/>
              </w:rPr>
            </w:pPr>
          </w:p>
        </w:tc>
      </w:tr>
      <w:tr w:rsidR="00BD1614" w:rsidRPr="00486E9B" w14:paraId="5384486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F7AC27E" w14:textId="51EBD499" w:rsidR="00BD1614" w:rsidRPr="00486E9B" w:rsidRDefault="00BD1614" w:rsidP="00E0789F">
            <w:pPr>
              <w:pStyle w:val="Source"/>
            </w:pPr>
            <w:bookmarkStart w:id="2" w:name="dsource" w:colFirst="0" w:colLast="0"/>
            <w:bookmarkEnd w:id="1"/>
            <w:r w:rsidRPr="00486E9B">
              <w:t>États Membres de la Commission interaméricaine des télécommunications (CITEL</w:t>
            </w:r>
            <w:r w:rsidR="009572D6" w:rsidRPr="00486E9B">
              <w:t>)</w:t>
            </w:r>
          </w:p>
        </w:tc>
      </w:tr>
      <w:tr w:rsidR="00BD1614" w:rsidRPr="00486E9B" w14:paraId="346A207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4DB1966" w14:textId="0E9164D7" w:rsidR="00BD1614" w:rsidRPr="00486E9B" w:rsidRDefault="00187D5A" w:rsidP="00E0789F">
            <w:pPr>
              <w:pStyle w:val="Title1"/>
            </w:pPr>
            <w:bookmarkStart w:id="3" w:name="dtitle1" w:colFirst="0" w:colLast="0"/>
            <w:bookmarkEnd w:id="2"/>
            <w:r w:rsidRPr="00486E9B">
              <w:t>Proposition visant À n</w:t>
            </w:r>
            <w:r w:rsidR="00943185">
              <w:t>'</w:t>
            </w:r>
            <w:r w:rsidRPr="00486E9B">
              <w:t>apporter aucune</w:t>
            </w:r>
            <w:r w:rsidRPr="00486E9B">
              <w:br/>
            </w:r>
            <w:r w:rsidRPr="00943185">
              <w:t>modification À la Résolution 219</w:t>
            </w:r>
            <w:r w:rsidR="00486E9B" w:rsidRPr="00943185">
              <w:t xml:space="preserve"> (Bucarest, 2022)</w:t>
            </w:r>
          </w:p>
        </w:tc>
      </w:tr>
      <w:tr w:rsidR="00BD1614" w:rsidRPr="00486E9B" w14:paraId="414208E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66B6657" w14:textId="77777777" w:rsidR="00BD1614" w:rsidRPr="00486E9B" w:rsidRDefault="00BD1614" w:rsidP="00E0789F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486E9B" w14:paraId="7401C12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D5C2B9C" w14:textId="77777777" w:rsidR="00BD1614" w:rsidRPr="00486E9B" w:rsidRDefault="00BD1614" w:rsidP="00E0789F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025C124C" w14:textId="6C5D2F05" w:rsidR="000D15FB" w:rsidRPr="00486E9B" w:rsidRDefault="00486E9B" w:rsidP="00E0789F">
      <w:pPr>
        <w:rPr>
          <w:b/>
          <w:bCs/>
        </w:rPr>
      </w:pPr>
      <w:r w:rsidRPr="00486E9B">
        <w:rPr>
          <w:b/>
          <w:bCs/>
        </w:rPr>
        <w:t>Résumé:</w:t>
      </w:r>
    </w:p>
    <w:p w14:paraId="510D63A1" w14:textId="07693348" w:rsidR="00486E9B" w:rsidRPr="00486E9B" w:rsidRDefault="00486E9B" w:rsidP="00E0789F">
      <w:r w:rsidRPr="00486E9B">
        <w:t>La CITEL propose de n</w:t>
      </w:r>
      <w:r w:rsidR="00943185">
        <w:t>'</w:t>
      </w:r>
      <w:r w:rsidRPr="00486E9B">
        <w:t>apporter aucune modification (</w:t>
      </w:r>
      <w:r w:rsidRPr="00486E9B">
        <w:rPr>
          <w:u w:val="single"/>
        </w:rPr>
        <w:t>NOC</w:t>
      </w:r>
      <w:r w:rsidRPr="00486E9B">
        <w:t>) à la Résolution 219 (Bucarest, 2022)</w:t>
      </w:r>
      <w:r>
        <w:t xml:space="preserve"> de la </w:t>
      </w:r>
      <w:r>
        <w:rPr>
          <w:szCs w:val="24"/>
        </w:rPr>
        <w:t>Conférence de plénipotentiaires</w:t>
      </w:r>
      <w:r w:rsidRPr="00486E9B">
        <w:t>, pour les raisons exposées ci-dessous.</w:t>
      </w:r>
    </w:p>
    <w:p w14:paraId="4DE1C29C" w14:textId="66D731EF" w:rsidR="00486E9B" w:rsidRPr="00486E9B" w:rsidRDefault="00486E9B" w:rsidP="00E0789F">
      <w:r w:rsidRPr="00486E9B">
        <w:t>L</w:t>
      </w:r>
      <w:r w:rsidR="00943185">
        <w:t>'</w:t>
      </w:r>
      <w:r w:rsidRPr="00486E9B">
        <w:t>UIT s</w:t>
      </w:r>
      <w:r w:rsidR="00943185">
        <w:t>'</w:t>
      </w:r>
      <w:r w:rsidRPr="00486E9B">
        <w:t>emploie actuellement à mettre en œuvre la Résolution 219 (Bucarest, 2022) de la Conférence de plénipotentiaires et la Résolution UIT-R</w:t>
      </w:r>
      <w:r w:rsidR="00943185">
        <w:t> </w:t>
      </w:r>
      <w:r w:rsidRPr="00486E9B">
        <w:t xml:space="preserve">74, intitulée </w:t>
      </w:r>
      <w:r>
        <w:t>"</w:t>
      </w:r>
      <w:r w:rsidRPr="00486E9B">
        <w:t>Activités relatives à l</w:t>
      </w:r>
      <w:r w:rsidR="00943185">
        <w:t>'</w:t>
      </w:r>
      <w:r w:rsidRPr="00486E9B">
        <w:t>utilisation durable des ressources que sont le spectre des fréquences radioélectriques et les orbites de satellites associées utilisées par les services spatiaux</w:t>
      </w:r>
      <w:r>
        <w:t>"</w:t>
      </w:r>
      <w:r w:rsidR="00DA11CB">
        <w:t>,</w:t>
      </w:r>
      <w:r w:rsidRPr="00486E9B">
        <w:t xml:space="preserve"> adoptée par l</w:t>
      </w:r>
      <w:r w:rsidR="00943185">
        <w:t>'</w:t>
      </w:r>
      <w:r w:rsidRPr="00486E9B">
        <w:t xml:space="preserve">AR-23 en application de la Résolution 219 et </w:t>
      </w:r>
      <w:r w:rsidR="00DA11CB">
        <w:t>devant</w:t>
      </w:r>
      <w:r>
        <w:t xml:space="preserve"> faire l</w:t>
      </w:r>
      <w:r w:rsidR="00943185">
        <w:t>'</w:t>
      </w:r>
      <w:r>
        <w:t>objet d</w:t>
      </w:r>
      <w:r w:rsidR="00943185">
        <w:t>'</w:t>
      </w:r>
      <w:r>
        <w:t>un</w:t>
      </w:r>
      <w:r w:rsidRPr="00486E9B">
        <w:t xml:space="preserve"> rapport </w:t>
      </w:r>
      <w:r>
        <w:t xml:space="preserve">qui sera </w:t>
      </w:r>
      <w:r w:rsidRPr="00486E9B">
        <w:t>présenté à l</w:t>
      </w:r>
      <w:r w:rsidR="00943185">
        <w:t>'</w:t>
      </w:r>
      <w:r w:rsidRPr="00486E9B">
        <w:t>AR-27. Étant donné que ces travaux sont en cours et ne seront pas achevés avant 2027, il serait prématuré d</w:t>
      </w:r>
      <w:r w:rsidR="00943185">
        <w:t>'</w:t>
      </w:r>
      <w:r w:rsidRPr="00486E9B">
        <w:t>apporter des modifications à la Résolution 219.</w:t>
      </w:r>
    </w:p>
    <w:p w14:paraId="21369D57" w14:textId="77777777" w:rsidR="00BD1614" w:rsidRPr="00486E9B" w:rsidRDefault="00BD1614" w:rsidP="00E0789F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486E9B">
        <w:br w:type="page"/>
      </w:r>
    </w:p>
    <w:p w14:paraId="473EE122" w14:textId="77777777" w:rsidR="00302AEC" w:rsidRPr="00486E9B" w:rsidRDefault="00187D5A" w:rsidP="00E0789F">
      <w:pPr>
        <w:pStyle w:val="Proposal"/>
      </w:pPr>
      <w:r w:rsidRPr="00486E9B">
        <w:rPr>
          <w:u w:val="single"/>
        </w:rPr>
        <w:lastRenderedPageBreak/>
        <w:t>NOC</w:t>
      </w:r>
      <w:r w:rsidRPr="00486E9B">
        <w:tab/>
        <w:t>IAP/81A5/1</w:t>
      </w:r>
    </w:p>
    <w:p w14:paraId="524FAD9E" w14:textId="77777777" w:rsidR="003F5281" w:rsidRPr="00486E9B" w:rsidRDefault="00187D5A" w:rsidP="00E0789F">
      <w:pPr>
        <w:pStyle w:val="ResNo"/>
      </w:pPr>
      <w:r w:rsidRPr="00486E9B">
        <w:t>RÉSOLUTION</w:t>
      </w:r>
      <w:r w:rsidRPr="00486E9B">
        <w:rPr>
          <w:caps w:val="0"/>
        </w:rPr>
        <w:t xml:space="preserve"> </w:t>
      </w:r>
      <w:r w:rsidRPr="00486E9B">
        <w:rPr>
          <w:rStyle w:val="href"/>
        </w:rPr>
        <w:t>219</w:t>
      </w:r>
      <w:r w:rsidRPr="00486E9B">
        <w:t xml:space="preserve"> (</w:t>
      </w:r>
      <w:r w:rsidRPr="00486E9B">
        <w:rPr>
          <w:caps w:val="0"/>
        </w:rPr>
        <w:t>BUCAREST</w:t>
      </w:r>
      <w:r w:rsidRPr="00486E9B">
        <w:t>, 2022)</w:t>
      </w:r>
    </w:p>
    <w:p w14:paraId="55C45F30" w14:textId="77777777" w:rsidR="003F5281" w:rsidRPr="00486E9B" w:rsidRDefault="00187D5A" w:rsidP="00E0789F">
      <w:pPr>
        <w:pStyle w:val="Restitle"/>
      </w:pPr>
      <w:r w:rsidRPr="00486E9B">
        <w:t xml:space="preserve">Viabilité des ressources que constituent le spectre des fréquences radioélectriques et les orbites de satellites associées </w:t>
      </w:r>
      <w:r w:rsidRPr="00486E9B">
        <w:br/>
        <w:t>utilisées par les services spatiaux</w:t>
      </w:r>
    </w:p>
    <w:p w14:paraId="698497A4" w14:textId="66F82F77" w:rsidR="003F5281" w:rsidRPr="00486E9B" w:rsidRDefault="00187D5A" w:rsidP="00E0789F">
      <w:pPr>
        <w:pStyle w:val="Normalaftertitle"/>
      </w:pPr>
      <w:r w:rsidRPr="00486E9B">
        <w:t>La Conférence de plénipotentiaires de l</w:t>
      </w:r>
      <w:r w:rsidR="00943185">
        <w:t>'</w:t>
      </w:r>
      <w:r w:rsidRPr="00486E9B">
        <w:t>Union internationale des télécommunications (Bucarest, 2022),</w:t>
      </w:r>
    </w:p>
    <w:p w14:paraId="5A737301" w14:textId="7B119310" w:rsidR="009572D6" w:rsidRPr="00816F0B" w:rsidRDefault="00187D5A" w:rsidP="00E0789F">
      <w:pPr>
        <w:pStyle w:val="Reasons"/>
        <w:rPr>
          <w:i/>
          <w:iCs/>
        </w:rPr>
      </w:pPr>
      <w:r w:rsidRPr="00486E9B">
        <w:rPr>
          <w:b/>
        </w:rPr>
        <w:t>Motifs:</w:t>
      </w:r>
      <w:r w:rsidRPr="00486E9B">
        <w:tab/>
      </w:r>
      <w:r w:rsidR="00816F0B">
        <w:t xml:space="preserve">Au titre de sa </w:t>
      </w:r>
      <w:r w:rsidRPr="00486E9B">
        <w:t>Résolution 219 (Bucarest, 2022)</w:t>
      </w:r>
      <w:r w:rsidR="00816F0B">
        <w:t xml:space="preserve">, la </w:t>
      </w:r>
      <w:r w:rsidR="00816F0B">
        <w:rPr>
          <w:szCs w:val="24"/>
        </w:rPr>
        <w:t xml:space="preserve">Conférence de plénipotentiaires </w:t>
      </w:r>
      <w:r w:rsidR="00816F0B">
        <w:rPr>
          <w:i/>
          <w:iCs/>
        </w:rPr>
        <w:t>décide</w:t>
      </w:r>
    </w:p>
    <w:p w14:paraId="5605DF1E" w14:textId="6AEFA783" w:rsidR="00816F0B" w:rsidRDefault="00816F0B" w:rsidP="00E0789F">
      <w:r>
        <w:t>1</w:t>
      </w:r>
      <w:r>
        <w:tab/>
        <w:t>de charger l</w:t>
      </w:r>
      <w:r w:rsidR="00943185">
        <w:t>'</w:t>
      </w:r>
      <w:r>
        <w:t>Assemblée des radiocommunications, d</w:t>
      </w:r>
      <w:r w:rsidR="00943185">
        <w:t>'</w:t>
      </w:r>
      <w:r>
        <w:t>urgence, de procéder aux études nécessaires, par l</w:t>
      </w:r>
      <w:r w:rsidR="00943185">
        <w:t>'</w:t>
      </w:r>
      <w:r>
        <w:t>intermédiaire des commissions d</w:t>
      </w:r>
      <w:r w:rsidR="00943185">
        <w:t>'</w:t>
      </w:r>
      <w:r>
        <w:t>études compétentes du Secteur des radiocommunications de l</w:t>
      </w:r>
      <w:r w:rsidR="00943185">
        <w:t>'</w:t>
      </w:r>
      <w:r>
        <w:t>UIT (UIT-R), sur la question de l</w:t>
      </w:r>
      <w:r w:rsidR="00943185">
        <w:t>'</w:t>
      </w:r>
      <w:r>
        <w:t>utilisation croissante des ressources que constituent le spectre des fréquences radioélectriques et les orbites associées sur les orbites non OSG et de la viabilité à long terme de ces ressources, ainsi que sur l</w:t>
      </w:r>
      <w:r w:rsidR="00943185">
        <w:t>'</w:t>
      </w:r>
      <w:r>
        <w:t>accès équitable aux ressources que sont le spectre et les orbites OSG et non OSG et leur utilisation rationnelle et compatible, conformément aux objectifs de l</w:t>
      </w:r>
      <w:r w:rsidR="00943185">
        <w:t>'</w:t>
      </w:r>
      <w:r>
        <w:t>article 44 de la Constitution;</w:t>
      </w:r>
    </w:p>
    <w:p w14:paraId="77387659" w14:textId="5530EC88" w:rsidR="00187D5A" w:rsidRDefault="00816F0B" w:rsidP="00E0789F">
      <w:r>
        <w:t>2</w:t>
      </w:r>
      <w:r>
        <w:tab/>
        <w:t>que les résultats des études susmentionnées devraient être soumis par le Directeur du BR à la Conférence mondiale des radiocommunications (CMR) suivante pour examen et suite à donner, selon qu</w:t>
      </w:r>
      <w:r w:rsidR="00943185">
        <w:t>'</w:t>
      </w:r>
      <w:r>
        <w:t>il conviendra,</w:t>
      </w:r>
    </w:p>
    <w:p w14:paraId="063A100A" w14:textId="7AF1CE83" w:rsidR="00816F0B" w:rsidRDefault="00816F0B" w:rsidP="00E0789F">
      <w:r>
        <w:t>En 2023, l</w:t>
      </w:r>
      <w:r w:rsidR="00943185">
        <w:t>'</w:t>
      </w:r>
      <w:r>
        <w:t>Assemblée des radiocommunications a adopté la Résolution UIT-R 74</w:t>
      </w:r>
      <w:r w:rsidR="00DA11CB">
        <w:t xml:space="preserve"> (</w:t>
      </w:r>
      <w:r w:rsidRPr="00DA11CB">
        <w:rPr>
          <w:i/>
          <w:iCs/>
        </w:rPr>
        <w:t>Activités relatives à l</w:t>
      </w:r>
      <w:r w:rsidR="00943185">
        <w:rPr>
          <w:i/>
          <w:iCs/>
        </w:rPr>
        <w:t>'</w:t>
      </w:r>
      <w:r w:rsidRPr="00DA11CB">
        <w:rPr>
          <w:i/>
          <w:iCs/>
        </w:rPr>
        <w:t>utilisation durable des ressources que sont le spectre des fréquences radioélectriques et les orbites de satellites associées utilisées par les services spatiaux</w:t>
      </w:r>
      <w:r w:rsidR="00DA11CB">
        <w:t>)</w:t>
      </w:r>
      <w:r>
        <w:t>, en application des instructions données dans la Résolution 219 (Bucarest, 2022). Aux termes de la Résolution UIT-R 74, le Secteur des radiocommunications de l</w:t>
      </w:r>
      <w:r w:rsidR="00943185">
        <w:t>'</w:t>
      </w:r>
      <w:r>
        <w:t xml:space="preserve">UIT est invité à poursuivre ses activités techniques dans ce domaine, </w:t>
      </w:r>
      <w:r w:rsidR="00582C24">
        <w:t>y compris</w:t>
      </w:r>
      <w:r>
        <w:t xml:space="preserve"> l</w:t>
      </w:r>
      <w:r w:rsidR="00943185">
        <w:t>'</w:t>
      </w:r>
      <w:r>
        <w:t>élaboration d</w:t>
      </w:r>
      <w:r w:rsidR="00943185">
        <w:t>'</w:t>
      </w:r>
      <w:r>
        <w:t>un manuel sur les bonnes pratiques et d</w:t>
      </w:r>
      <w:r w:rsidR="00943185">
        <w:t>'</w:t>
      </w:r>
      <w:r>
        <w:t>une Recommandation sur les stratégies sûres et efficaces de désorbitation et d</w:t>
      </w:r>
      <w:r w:rsidR="00943185">
        <w:t>'</w:t>
      </w:r>
      <w:r>
        <w:t xml:space="preserve">élimination, et le Directeur du Bureau des radiocommunications </w:t>
      </w:r>
      <w:r w:rsidR="00DA11CB">
        <w:t xml:space="preserve">est chargé </w:t>
      </w:r>
      <w:r>
        <w:t>de</w:t>
      </w:r>
      <w:r w:rsidR="00DA11CB">
        <w:t xml:space="preserve"> présenter un</w:t>
      </w:r>
      <w:r>
        <w:t xml:space="preserve"> </w:t>
      </w:r>
      <w:hyperlink r:id="rId13" w:history="1">
        <w:r w:rsidRPr="00DA11CB">
          <w:rPr>
            <w:rStyle w:val="Hyperlink"/>
          </w:rPr>
          <w:t>rappo</w:t>
        </w:r>
        <w:r w:rsidRPr="00DA11CB">
          <w:rPr>
            <w:rStyle w:val="Hyperlink"/>
          </w:rPr>
          <w:t>r</w:t>
        </w:r>
        <w:r w:rsidRPr="00DA11CB">
          <w:rPr>
            <w:rStyle w:val="Hyperlink"/>
          </w:rPr>
          <w:t>t</w:t>
        </w:r>
      </w:hyperlink>
      <w:r>
        <w:t xml:space="preserve"> au Groupe consultatif des radiocommunications et à l</w:t>
      </w:r>
      <w:r w:rsidR="00943185">
        <w:t>'</w:t>
      </w:r>
      <w:r>
        <w:t xml:space="preserve">Assemblée des radiocommunications de 2027, </w:t>
      </w:r>
      <w:r w:rsidR="00DA11CB">
        <w:t>de</w:t>
      </w:r>
      <w:r>
        <w:t xml:space="preserve"> créer un </w:t>
      </w:r>
      <w:hyperlink r:id="rId14" w:history="1">
        <w:r w:rsidRPr="00DA11CB">
          <w:rPr>
            <w:rStyle w:val="Hyperlink"/>
          </w:rPr>
          <w:t xml:space="preserve">site </w:t>
        </w:r>
        <w:r w:rsidRPr="00DA11CB">
          <w:rPr>
            <w:rStyle w:val="Hyperlink"/>
          </w:rPr>
          <w:t>w</w:t>
        </w:r>
        <w:r w:rsidRPr="00DA11CB">
          <w:rPr>
            <w:rStyle w:val="Hyperlink"/>
          </w:rPr>
          <w:t>eb</w:t>
        </w:r>
      </w:hyperlink>
      <w:r w:rsidR="00DA11CB">
        <w:t xml:space="preserve"> adéquat</w:t>
      </w:r>
      <w:r>
        <w:t xml:space="preserve"> et </w:t>
      </w:r>
      <w:r w:rsidR="00DA11CB">
        <w:t>de</w:t>
      </w:r>
      <w:r>
        <w:t xml:space="preserve"> collaborer avec d</w:t>
      </w:r>
      <w:r w:rsidR="00943185">
        <w:t>'</w:t>
      </w:r>
      <w:r>
        <w:t xml:space="preserve">autres organisations du système des Nations Unies. Toutes les activités demandées sont en cours et le Directeur du Bureau des radiocommunications </w:t>
      </w:r>
      <w:r w:rsidR="00DA11CB">
        <w:t>présentera un</w:t>
      </w:r>
      <w:r>
        <w:t xml:space="preserve"> rapport à l</w:t>
      </w:r>
      <w:r w:rsidR="00943185">
        <w:t>'</w:t>
      </w:r>
      <w:r>
        <w:t xml:space="preserve">Assemblée des radiocommunications et à la Conférence mondiale des radiocommunications en octobre 2027. </w:t>
      </w:r>
    </w:p>
    <w:p w14:paraId="7B4EF1B2" w14:textId="7C85F7A4" w:rsidR="00816F0B" w:rsidRPr="00486E9B" w:rsidRDefault="00816F0B" w:rsidP="00E0789F">
      <w:r>
        <w:t>Compte tenu des progrès accomplis et du calendrier, il est inutile et prématuré de modifier la Résolution 219 (Bucarest, 2022) de la Conférence de plénipotentiaires.</w:t>
      </w:r>
    </w:p>
    <w:p w14:paraId="34662C4F" w14:textId="3B31D362" w:rsidR="00302AEC" w:rsidRPr="00486E9B" w:rsidRDefault="009572D6" w:rsidP="00E0789F">
      <w:pPr>
        <w:jc w:val="center"/>
      </w:pPr>
      <w:r w:rsidRPr="00486E9B">
        <w:t>______________</w:t>
      </w:r>
    </w:p>
    <w:sectPr w:rsidR="00302AEC" w:rsidRPr="00486E9B">
      <w:headerReference w:type="default" r:id="rId15"/>
      <w:footerReference w:type="first" r:id="rId16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F3FC" w14:textId="77777777" w:rsidR="003F5281" w:rsidRDefault="003F5281">
      <w:r>
        <w:separator/>
      </w:r>
    </w:p>
  </w:endnote>
  <w:endnote w:type="continuationSeparator" w:id="0">
    <w:p w14:paraId="560C8C3F" w14:textId="77777777" w:rsidR="003F5281" w:rsidRDefault="003F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7BAED" w14:textId="4B84FA73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fr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A988" w14:textId="77777777" w:rsidR="003F5281" w:rsidRDefault="003F5281">
      <w:r>
        <w:t>____________________</w:t>
      </w:r>
    </w:p>
  </w:footnote>
  <w:footnote w:type="continuationSeparator" w:id="0">
    <w:p w14:paraId="02914FFF" w14:textId="77777777" w:rsidR="003F5281" w:rsidRDefault="003F5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CD3A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09972375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/81(Add.5)-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4908293">
    <w:abstractNumId w:val="9"/>
  </w:num>
  <w:num w:numId="2" w16cid:durableId="1475221431">
    <w:abstractNumId w:val="7"/>
  </w:num>
  <w:num w:numId="3" w16cid:durableId="1942295732">
    <w:abstractNumId w:val="6"/>
  </w:num>
  <w:num w:numId="4" w16cid:durableId="1745369544">
    <w:abstractNumId w:val="5"/>
  </w:num>
  <w:num w:numId="5" w16cid:durableId="914587062">
    <w:abstractNumId w:val="4"/>
  </w:num>
  <w:num w:numId="6" w16cid:durableId="120610617">
    <w:abstractNumId w:val="8"/>
  </w:num>
  <w:num w:numId="7" w16cid:durableId="688339209">
    <w:abstractNumId w:val="3"/>
  </w:num>
  <w:num w:numId="8" w16cid:durableId="648290782">
    <w:abstractNumId w:val="2"/>
  </w:num>
  <w:num w:numId="9" w16cid:durableId="1793942209">
    <w:abstractNumId w:val="1"/>
  </w:num>
  <w:num w:numId="10" w16cid:durableId="159667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467B"/>
    <w:rsid w:val="000D15FB"/>
    <w:rsid w:val="000F58F7"/>
    <w:rsid w:val="001051E4"/>
    <w:rsid w:val="001354EA"/>
    <w:rsid w:val="00136FCE"/>
    <w:rsid w:val="00153BA4"/>
    <w:rsid w:val="00187D5A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55CD"/>
    <w:rsid w:val="00270B2F"/>
    <w:rsid w:val="002712F9"/>
    <w:rsid w:val="002A0E1B"/>
    <w:rsid w:val="002A7A1D"/>
    <w:rsid w:val="002C1059"/>
    <w:rsid w:val="002C2F9C"/>
    <w:rsid w:val="002D0C22"/>
    <w:rsid w:val="002E1AF7"/>
    <w:rsid w:val="00302AEC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10D"/>
    <w:rsid w:val="003D147D"/>
    <w:rsid w:val="003D637A"/>
    <w:rsid w:val="003F5281"/>
    <w:rsid w:val="00413CB9"/>
    <w:rsid w:val="00430015"/>
    <w:rsid w:val="004678D0"/>
    <w:rsid w:val="00482954"/>
    <w:rsid w:val="00486E9B"/>
    <w:rsid w:val="00487919"/>
    <w:rsid w:val="004951C0"/>
    <w:rsid w:val="004C7646"/>
    <w:rsid w:val="00524001"/>
    <w:rsid w:val="00564B63"/>
    <w:rsid w:val="00575DC7"/>
    <w:rsid w:val="00582C24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B6EEA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16F0B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43185"/>
    <w:rsid w:val="00956DC7"/>
    <w:rsid w:val="009572D6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E0667"/>
    <w:rsid w:val="00B41E0A"/>
    <w:rsid w:val="00B56DE0"/>
    <w:rsid w:val="00B71F12"/>
    <w:rsid w:val="00B76FEC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11CB"/>
    <w:rsid w:val="00DA4ABA"/>
    <w:rsid w:val="00DA685B"/>
    <w:rsid w:val="00DA742B"/>
    <w:rsid w:val="00DF25C1"/>
    <w:rsid w:val="00DF48F7"/>
    <w:rsid w:val="00DF4964"/>
    <w:rsid w:val="00DF4D73"/>
    <w:rsid w:val="00DF79B0"/>
    <w:rsid w:val="00E0789F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1BF827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9572D6"/>
    <w:rPr>
      <w:rFonts w:ascii="Calibri" w:hAnsi="Calibri"/>
      <w:sz w:val="24"/>
      <w:lang w:val="fr-FR" w:eastAsia="en-US"/>
    </w:rPr>
  </w:style>
  <w:style w:type="paragraph" w:styleId="ListParagraph">
    <w:name w:val="List Paragraph"/>
    <w:basedOn w:val="Normal"/>
    <w:uiPriority w:val="34"/>
    <w:qFormat/>
    <w:rsid w:val="00816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8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itu.int/md/R23-RAG-C-0058/e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s://www.itu.int/space-sustainability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276d90f-b6a9-4e80-925c-067f280d99d1">DPM</DPM_x0020_Author>
    <DPM_x0020_File_x0020_name xmlns="7276d90f-b6a9-4e80-925c-067f280d99d1">S26-PP-C-0081!A5!MSW-F</DPM_x0020_File_x0020_name>
    <DPM_x0020_Version xmlns="7276d90f-b6a9-4e80-925c-067f280d99d1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276d90f-b6a9-4e80-925c-067f280d99d1" targetNamespace="http://schemas.microsoft.com/office/2006/metadata/properties" ma:root="true" ma:fieldsID="d41af5c836d734370eb92e7ee5f83852" ns2:_="" ns3:_="">
    <xsd:import namespace="996b2e75-67fd-4955-a3b0-5ab9934cb50b"/>
    <xsd:import namespace="7276d90f-b6a9-4e80-925c-067f280d99d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6d90f-b6a9-4e80-925c-067f280d99d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276d90f-b6a9-4e80-925c-067f280d99d1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276d90f-b6a9-4e80-925c-067f280d99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537</Words>
  <Characters>3233</Characters>
  <Application>Microsoft Office Word</Application>
  <DocSecurity>0</DocSecurity>
  <Lines>65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S26-PP-C-0081!A5!MSW-F</vt:lpstr>
    </vt:vector>
  </TitlesOfParts>
  <Manager/>
  <Company/>
  <LinksUpToDate>false</LinksUpToDate>
  <CharactersWithSpaces>3748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S26-PP-C-0081!A5!MSW-F</dc:title>
  <dc:subject>ITU Plenipotentiary Conference (PP-26)</dc:subject>
  <dc:creator>Documents Proposals Manager (DPM)</dc:creator>
  <cp:keywords>DPM_v2026.8.25.1_prod</cp:keywords>
  <dc:description/>
  <cp:lastModifiedBy>French</cp:lastModifiedBy>
  <cp:revision>4</cp:revision>
  <dcterms:created xsi:type="dcterms:W3CDTF">2026-10-20T13:23:00Z</dcterms:created>
  <dcterms:modified xsi:type="dcterms:W3CDTF">2026-10-20T13:32:00Z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