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2CE54AA" w14:textId="77777777" w:rsidTr="00C70164">
        <w:trPr>
          <w:cantSplit/>
          <w:jc w:val="center"/>
        </w:trPr>
        <w:tc>
          <w:tcPr>
            <w:tcW w:w="10031" w:type="dxa"/>
            <w:gridSpan w:val="2"/>
            <w:tcMar>
              <w:left w:w="0" w:type="dxa"/>
              <w:right w:w="0" w:type="dxa"/>
            </w:tcMar>
            <w:vAlign w:val="center"/>
          </w:tcPr>
          <w:p w14:paraId="3558980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39C096C" wp14:editId="04225379">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66C9F0D" w14:textId="77777777" w:rsidTr="00C70164">
        <w:trPr>
          <w:cantSplit/>
          <w:trHeight w:val="283"/>
          <w:jc w:val="center"/>
        </w:trPr>
        <w:tc>
          <w:tcPr>
            <w:tcW w:w="10031" w:type="dxa"/>
            <w:gridSpan w:val="2"/>
            <w:tcBorders>
              <w:bottom w:val="single" w:sz="12" w:space="0" w:color="71716F"/>
            </w:tcBorders>
          </w:tcPr>
          <w:p w14:paraId="6092AFBC"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E58312C" w14:textId="77777777" w:rsidTr="00C70164">
        <w:trPr>
          <w:cantSplit/>
          <w:trHeight w:val="255"/>
          <w:jc w:val="center"/>
        </w:trPr>
        <w:tc>
          <w:tcPr>
            <w:tcW w:w="7230" w:type="dxa"/>
            <w:tcBorders>
              <w:top w:val="single" w:sz="12" w:space="0" w:color="71716F"/>
            </w:tcBorders>
          </w:tcPr>
          <w:p w14:paraId="401EBB2C"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5FF4DCA" w14:textId="77777777" w:rsidR="001A16ED" w:rsidRPr="00D96B4B" w:rsidRDefault="001A16ED" w:rsidP="000B596F">
            <w:pPr>
              <w:spacing w:before="0"/>
              <w:rPr>
                <w:rFonts w:cstheme="minorHAnsi"/>
                <w:sz w:val="20"/>
              </w:rPr>
            </w:pPr>
          </w:p>
        </w:tc>
      </w:tr>
      <w:tr w:rsidR="001A16ED" w:rsidRPr="00C324A8" w14:paraId="6E119062" w14:textId="77777777" w:rsidTr="00C70164">
        <w:trPr>
          <w:cantSplit/>
          <w:trHeight w:val="23"/>
          <w:jc w:val="center"/>
        </w:trPr>
        <w:tc>
          <w:tcPr>
            <w:tcW w:w="7230" w:type="dxa"/>
          </w:tcPr>
          <w:p w14:paraId="7863494F"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4006439" w14:textId="77777777" w:rsidR="001A16ED" w:rsidRPr="00F44B1A" w:rsidRDefault="001A16ED" w:rsidP="000B596F">
            <w:pPr>
              <w:tabs>
                <w:tab w:val="left" w:pos="851"/>
              </w:tabs>
              <w:spacing w:before="0"/>
              <w:rPr>
                <w:rFonts w:cstheme="minorHAnsi"/>
                <w:b/>
                <w:szCs w:val="24"/>
              </w:rPr>
            </w:pPr>
            <w:r>
              <w:rPr>
                <w:rFonts w:cstheme="minorHAnsi"/>
                <w:b/>
                <w:szCs w:val="24"/>
              </w:rPr>
              <w:t>Addendum 5 to</w:t>
            </w:r>
            <w:r>
              <w:rPr>
                <w:rFonts w:cstheme="minorHAnsi"/>
                <w:b/>
                <w:szCs w:val="24"/>
              </w:rPr>
              <w:br/>
              <w:t>Document 81</w:t>
            </w:r>
            <w:r w:rsidR="00F44B1A" w:rsidRPr="00F44B1A">
              <w:rPr>
                <w:rFonts w:cstheme="minorHAnsi"/>
                <w:b/>
                <w:szCs w:val="24"/>
              </w:rPr>
              <w:t>-E</w:t>
            </w:r>
          </w:p>
        </w:tc>
      </w:tr>
      <w:tr w:rsidR="001A16ED" w:rsidRPr="00C324A8" w14:paraId="18550965" w14:textId="77777777" w:rsidTr="00C70164">
        <w:trPr>
          <w:cantSplit/>
          <w:trHeight w:val="23"/>
          <w:jc w:val="center"/>
        </w:trPr>
        <w:tc>
          <w:tcPr>
            <w:tcW w:w="7230" w:type="dxa"/>
          </w:tcPr>
          <w:p w14:paraId="32DCE9DA"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004198C" w14:textId="77777777" w:rsidR="001A16ED" w:rsidRPr="00D96B4B" w:rsidRDefault="001A16ED" w:rsidP="000B596F">
            <w:pPr>
              <w:spacing w:before="0"/>
              <w:rPr>
                <w:rFonts w:cstheme="minorHAnsi"/>
                <w:szCs w:val="24"/>
              </w:rPr>
            </w:pPr>
            <w:r w:rsidRPr="00D96B4B">
              <w:rPr>
                <w:rFonts w:cstheme="minorHAnsi"/>
                <w:b/>
                <w:szCs w:val="24"/>
              </w:rPr>
              <w:t>15 October 2026</w:t>
            </w:r>
          </w:p>
        </w:tc>
      </w:tr>
      <w:tr w:rsidR="001A16ED" w:rsidRPr="00C324A8" w14:paraId="1C0B29DE" w14:textId="77777777" w:rsidTr="00C70164">
        <w:trPr>
          <w:cantSplit/>
          <w:trHeight w:val="23"/>
          <w:jc w:val="center"/>
        </w:trPr>
        <w:tc>
          <w:tcPr>
            <w:tcW w:w="7230" w:type="dxa"/>
          </w:tcPr>
          <w:p w14:paraId="115632FF"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2EF292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B3A5125" w14:textId="77777777" w:rsidTr="00C70164">
        <w:trPr>
          <w:cantSplit/>
          <w:trHeight w:val="23"/>
          <w:jc w:val="center"/>
        </w:trPr>
        <w:tc>
          <w:tcPr>
            <w:tcW w:w="10031" w:type="dxa"/>
            <w:gridSpan w:val="2"/>
          </w:tcPr>
          <w:p w14:paraId="7351FBEB" w14:textId="77777777" w:rsidR="001A16ED" w:rsidRPr="00D96B4B" w:rsidRDefault="001A16ED" w:rsidP="000B596F">
            <w:pPr>
              <w:tabs>
                <w:tab w:val="left" w:pos="993"/>
              </w:tabs>
              <w:rPr>
                <w:rFonts w:ascii="Verdana" w:hAnsi="Verdana"/>
                <w:b/>
                <w:szCs w:val="24"/>
              </w:rPr>
            </w:pPr>
          </w:p>
        </w:tc>
      </w:tr>
      <w:tr w:rsidR="001A16ED" w:rsidRPr="00C324A8" w14:paraId="186F3070" w14:textId="77777777" w:rsidTr="00C70164">
        <w:trPr>
          <w:cantSplit/>
          <w:trHeight w:val="23"/>
          <w:jc w:val="center"/>
        </w:trPr>
        <w:tc>
          <w:tcPr>
            <w:tcW w:w="10031" w:type="dxa"/>
            <w:gridSpan w:val="2"/>
          </w:tcPr>
          <w:p w14:paraId="7747CC22" w14:textId="77777777" w:rsidR="001A16ED" w:rsidRDefault="001A16ED" w:rsidP="000B596F">
            <w:pPr>
              <w:pStyle w:val="Source"/>
            </w:pPr>
            <w:r>
              <w:t>Member States of the Inter-American Telecommunication Commission (CITEL)</w:t>
            </w:r>
          </w:p>
        </w:tc>
      </w:tr>
      <w:tr w:rsidR="001A16ED" w:rsidRPr="00C324A8" w14:paraId="69C2E661" w14:textId="77777777" w:rsidTr="00C70164">
        <w:trPr>
          <w:cantSplit/>
          <w:trHeight w:val="23"/>
          <w:jc w:val="center"/>
        </w:trPr>
        <w:tc>
          <w:tcPr>
            <w:tcW w:w="10031" w:type="dxa"/>
            <w:gridSpan w:val="2"/>
          </w:tcPr>
          <w:p w14:paraId="7CA1E45E" w14:textId="77777777" w:rsidR="001A16ED" w:rsidRDefault="001A16ED" w:rsidP="000B596F">
            <w:pPr>
              <w:pStyle w:val="Title1"/>
            </w:pPr>
            <w:r>
              <w:t xml:space="preserve">Proposal for </w:t>
            </w:r>
            <w:r w:rsidRPr="00440C26">
              <w:rPr>
                <w:u w:val="single"/>
              </w:rPr>
              <w:t>NOC</w:t>
            </w:r>
            <w:r>
              <w:t xml:space="preserve"> (No Change) to Resolution 219</w:t>
            </w:r>
          </w:p>
        </w:tc>
      </w:tr>
      <w:tr w:rsidR="001A16ED" w:rsidRPr="00C324A8" w14:paraId="0D7AD314" w14:textId="77777777" w:rsidTr="00C70164">
        <w:trPr>
          <w:cantSplit/>
          <w:trHeight w:val="23"/>
          <w:jc w:val="center"/>
        </w:trPr>
        <w:tc>
          <w:tcPr>
            <w:tcW w:w="10031" w:type="dxa"/>
            <w:gridSpan w:val="2"/>
          </w:tcPr>
          <w:p w14:paraId="750CF75E" w14:textId="77777777" w:rsidR="001A16ED" w:rsidRDefault="001A16ED" w:rsidP="000B596F">
            <w:pPr>
              <w:pStyle w:val="Title2"/>
            </w:pPr>
          </w:p>
        </w:tc>
      </w:tr>
      <w:tr w:rsidR="001A16ED" w:rsidRPr="00C324A8" w14:paraId="7451A1C3" w14:textId="77777777" w:rsidTr="00C70164">
        <w:trPr>
          <w:cantSplit/>
          <w:trHeight w:val="23"/>
          <w:jc w:val="center"/>
        </w:trPr>
        <w:tc>
          <w:tcPr>
            <w:tcW w:w="10031" w:type="dxa"/>
            <w:gridSpan w:val="2"/>
          </w:tcPr>
          <w:p w14:paraId="3C00588B" w14:textId="77777777" w:rsidR="001A16ED" w:rsidRPr="00440C26" w:rsidRDefault="001A16ED" w:rsidP="000B596F">
            <w:pPr>
              <w:pStyle w:val="Agendaitem"/>
              <w:rPr>
                <w:lang w:val="en-GB"/>
              </w:rPr>
            </w:pPr>
          </w:p>
        </w:tc>
      </w:tr>
    </w:tbl>
    <w:bookmarkEnd w:id="6"/>
    <w:bookmarkEnd w:id="7"/>
    <w:p w14:paraId="1D65CD70" w14:textId="77777777" w:rsidR="00BC2169" w:rsidRPr="00BC2169" w:rsidRDefault="00BC2169" w:rsidP="00BC2169">
      <w:pPr>
        <w:rPr>
          <w:b/>
          <w:bCs/>
        </w:rPr>
      </w:pPr>
      <w:r w:rsidRPr="00BC2169">
        <w:rPr>
          <w:b/>
          <w:bCs/>
        </w:rPr>
        <w:t xml:space="preserve">Abstract: </w:t>
      </w:r>
    </w:p>
    <w:p w14:paraId="6586FD07" w14:textId="6C182CED" w:rsidR="00BC2169" w:rsidRDefault="00BC2169" w:rsidP="00BC2169">
      <w:r>
        <w:t>CITEL proposes no change (</w:t>
      </w:r>
      <w:r w:rsidRPr="00BC2169">
        <w:rPr>
          <w:u w:val="single"/>
        </w:rPr>
        <w:t>NOC</w:t>
      </w:r>
      <w:r>
        <w:t>) to Plenipotentiary Resolution 219 (Bucharest, 2022), for the reasons outlined below.</w:t>
      </w:r>
    </w:p>
    <w:p w14:paraId="7AB7AACD" w14:textId="06A5F05B" w:rsidR="001A16ED" w:rsidRDefault="00BC2169" w:rsidP="00BC2169">
      <w:r>
        <w:t>The ITU is currently working to implement Plenipotentiary Resolution 219 (Bucharest, 2022) and Resolution ITU-R 74, Activities related to the sustainable use of radio-frequency spectrum and associated satellite-orbit resources used by space services, adopted by RA-23 in response to Resolution 219 and scheduled to be reported to RA-27. Given that this work is currently underway and will not be completed until 2027, any changes to Resolution 219 would be premature.</w:t>
      </w:r>
    </w:p>
    <w:p w14:paraId="73206924" w14:textId="77777777" w:rsidR="0008540E" w:rsidRPr="0008540E" w:rsidRDefault="001A16ED" w:rsidP="00004F8B">
      <w:r>
        <w:br w:type="page"/>
      </w:r>
    </w:p>
    <w:p w14:paraId="3D6E6EDB" w14:textId="77777777" w:rsidR="00650BF3" w:rsidRDefault="00000000">
      <w:pPr>
        <w:pStyle w:val="Proposal"/>
      </w:pPr>
      <w:r>
        <w:rPr>
          <w:u w:val="single"/>
        </w:rPr>
        <w:lastRenderedPageBreak/>
        <w:t>NOC</w:t>
      </w:r>
      <w:r>
        <w:tab/>
        <w:t>IAP/81A5/1</w:t>
      </w:r>
    </w:p>
    <w:p w14:paraId="509FAD3C" w14:textId="77777777" w:rsidR="00000000" w:rsidRPr="00B66444" w:rsidRDefault="00000000" w:rsidP="002D6687">
      <w:pPr>
        <w:pStyle w:val="ResNo"/>
      </w:pPr>
      <w:r w:rsidRPr="00B66444">
        <w:t>RESOLUTION</w:t>
      </w:r>
      <w:r w:rsidRPr="00B66444">
        <w:t xml:space="preserve"> </w:t>
      </w:r>
      <w:r w:rsidRPr="00B66444">
        <w:rPr>
          <w:rStyle w:val="href"/>
        </w:rPr>
        <w:t>219</w:t>
      </w:r>
      <w:r w:rsidRPr="00B66444">
        <w:t xml:space="preserve"> (BUCHAREST, 2022)</w:t>
      </w:r>
    </w:p>
    <w:p w14:paraId="18C5C34C" w14:textId="77777777" w:rsidR="00000000" w:rsidRPr="00B66444" w:rsidRDefault="00000000" w:rsidP="007F4EDE">
      <w:pPr>
        <w:pStyle w:val="Restitle"/>
      </w:pPr>
      <w:r w:rsidRPr="00B66444">
        <w:t>Sustainability of the radio-frequency spectrum and</w:t>
      </w:r>
      <w:r w:rsidRPr="00B66444">
        <w:br/>
        <w:t>associated satellite-orbit resources used by space services</w:t>
      </w:r>
    </w:p>
    <w:p w14:paraId="75E1EEAE" w14:textId="77777777" w:rsidR="00000000" w:rsidRPr="00B66444" w:rsidRDefault="00000000" w:rsidP="007F4EDE">
      <w:pPr>
        <w:pStyle w:val="Normalaftertitle"/>
      </w:pPr>
      <w:r w:rsidRPr="00B66444">
        <w:t>The Plenipotentiary Conference of the International Telecommunication Union (Bucharest, 2022),</w:t>
      </w:r>
    </w:p>
    <w:p w14:paraId="77856C12" w14:textId="4325D5EF" w:rsidR="00621BD0" w:rsidRPr="00621BD0" w:rsidRDefault="00000000" w:rsidP="00621BD0">
      <w:pPr>
        <w:pStyle w:val="Reasons"/>
        <w:rPr>
          <w:lang w:val="en-US"/>
        </w:rPr>
      </w:pPr>
      <w:r>
        <w:rPr>
          <w:b/>
        </w:rPr>
        <w:t>Reasons:</w:t>
      </w:r>
      <w:r>
        <w:tab/>
      </w:r>
      <w:r w:rsidR="00621BD0" w:rsidRPr="00621BD0">
        <w:t>Resolution 219 (Bucharest, 2022) </w:t>
      </w:r>
      <w:r w:rsidR="00621BD0" w:rsidRPr="00621BD0">
        <w:rPr>
          <w:i/>
          <w:iCs/>
        </w:rPr>
        <w:t>resolves</w:t>
      </w:r>
    </w:p>
    <w:p w14:paraId="2CFE0C6E" w14:textId="73EF0DC6" w:rsidR="00621BD0" w:rsidRPr="00621BD0" w:rsidRDefault="00C624C1" w:rsidP="00C624C1">
      <w:pPr>
        <w:pStyle w:val="Reasons"/>
      </w:pPr>
      <w:r>
        <w:t>1</w:t>
      </w:r>
      <w:r>
        <w:tab/>
      </w:r>
      <w:r w:rsidR="00621BD0" w:rsidRPr="00621BD0">
        <w:t>to instruct the Radiocommunication Assembly, as a matter of urgency, to perform the necessary studies through relevant ITU Radiocommunication Sector (ITU-R) study groups on the issue of the increasing use of radio-frequency spectrum and associated orbit resources in non-GSO orbits and the long-term sustainability of these resources, as well as on equitable access to, and rational and compatible use of, the GSO and non-GSO orbit and spectrum resources, consistent with the objectives of Article 44 of the Constitution;</w:t>
      </w:r>
    </w:p>
    <w:p w14:paraId="233294C3" w14:textId="77777777" w:rsidR="00621BD0" w:rsidRPr="00621BD0" w:rsidRDefault="00621BD0" w:rsidP="00621BD0">
      <w:pPr>
        <w:pStyle w:val="Reasons"/>
        <w:rPr>
          <w:lang w:val="en-US"/>
        </w:rPr>
      </w:pPr>
      <w:r w:rsidRPr="00621BD0">
        <w:t>2 </w:t>
      </w:r>
      <w:r w:rsidRPr="00621BD0">
        <w:rPr>
          <w:lang w:val="en-US"/>
        </w:rPr>
        <w:tab/>
      </w:r>
      <w:r w:rsidRPr="00621BD0">
        <w:t>that the results of the abovementioned studies should be submitted by the Director of BR to the subsequent world radiocommunication conference (WRC) for its consideration and any necessary action, as appropriate,</w:t>
      </w:r>
    </w:p>
    <w:p w14:paraId="1BB71E2C" w14:textId="4104922D" w:rsidR="00621BD0" w:rsidRPr="00621BD0" w:rsidRDefault="00621BD0" w:rsidP="00621BD0">
      <w:pPr>
        <w:pStyle w:val="Reasons"/>
      </w:pPr>
      <w:r w:rsidRPr="00621BD0">
        <w:rPr>
          <w:lang w:val="en-US"/>
        </w:rPr>
        <w:t>In 2023, the Radiocommunication Assembly adopted Resolution ITU-R 74, </w:t>
      </w:r>
      <w:r w:rsidRPr="00621BD0">
        <w:rPr>
          <w:i/>
          <w:iCs/>
          <w:lang w:val="en-US"/>
        </w:rPr>
        <w:t>Activities related to the sustainable use of radio-frequency spectrum and associated satellite-orbit resources used by space services</w:t>
      </w:r>
      <w:r w:rsidRPr="00621BD0">
        <w:rPr>
          <w:lang w:val="en-US"/>
        </w:rPr>
        <w:t>, </w:t>
      </w:r>
      <w:r w:rsidRPr="00621BD0">
        <w:t>in response to the instructions of Resolution 219 (Bucharest, 2022).</w:t>
      </w:r>
      <w:r w:rsidR="00E72799">
        <w:t xml:space="preserve">  </w:t>
      </w:r>
      <w:r w:rsidRPr="00621BD0">
        <w:rPr>
          <w:lang w:val="en-US"/>
        </w:rPr>
        <w:t>Resolution ITU-R 74</w:t>
      </w:r>
      <w:r w:rsidRPr="00621BD0">
        <w:t> invited the ITU Radiocommunication Sector to continue technical activities in this area, including the development of a Handbook on best practices and a Recommendation on safe and efficient deorbit and disposal strategies, and instructed the Director of the Radiocommunication Bureau to </w:t>
      </w:r>
      <w:hyperlink r:id="rId13" w:tgtFrame="_blank" w:history="1">
        <w:r w:rsidRPr="00621BD0">
          <w:rPr>
            <w:rStyle w:val="Hyperlink"/>
          </w:rPr>
          <w:t>report</w:t>
        </w:r>
      </w:hyperlink>
      <w:r w:rsidRPr="00621BD0">
        <w:t> to the Radiocommunication Advisory Group and to the 2027 Radiocommunication Assembly, to create a relevant </w:t>
      </w:r>
      <w:hyperlink r:id="rId14" w:tgtFrame="_blank" w:history="1">
        <w:r w:rsidRPr="00621BD0">
          <w:rPr>
            <w:rStyle w:val="Hyperlink"/>
          </w:rPr>
          <w:t>website</w:t>
        </w:r>
      </w:hyperlink>
      <w:r w:rsidRPr="00621BD0">
        <w:t>, and collaborate with other UN organizations.</w:t>
      </w:r>
      <w:r w:rsidR="00E72799">
        <w:t xml:space="preserve">  </w:t>
      </w:r>
      <w:r w:rsidRPr="00621BD0">
        <w:t>All the requested activities are underway, and the Director of the Radiocommunication Bureau will report to the Radiocommunication Assembly and World Radiocommunication Conference in October 2027.  </w:t>
      </w:r>
    </w:p>
    <w:p w14:paraId="778E92A0" w14:textId="27F24237" w:rsidR="00650BF3" w:rsidRDefault="00621BD0" w:rsidP="00621BD0">
      <w:pPr>
        <w:pStyle w:val="Reasons"/>
      </w:pPr>
      <w:r w:rsidRPr="00621BD0">
        <w:t>Given the progress made and the timing, it is both unnecessary and premature to modify Plenipotentiary Resolution 219 (Bucharest, 2022).</w:t>
      </w:r>
    </w:p>
    <w:p w14:paraId="7E910455" w14:textId="055A0A06" w:rsidR="002D62BE" w:rsidRDefault="002D62BE" w:rsidP="002D62BE">
      <w:pPr>
        <w:jc w:val="center"/>
      </w:pPr>
      <w:r>
        <w:t>________________</w:t>
      </w:r>
    </w:p>
    <w:sectPr w:rsidR="002D62BE">
      <w:headerReference w:type="even" r:id="rId15"/>
      <w:headerReference w:type="default" r:id="rId16"/>
      <w:footerReference w:type="even" r:id="rId17"/>
      <w:footerReference w:type="default" r:id="rId18"/>
      <w:headerReference w:type="first" r:id="rId19"/>
      <w:footerReference w:type="first" r:id="rId20"/>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BEE24" w14:textId="77777777" w:rsidR="00EF0013" w:rsidRDefault="00EF0013">
      <w:r>
        <w:separator/>
      </w:r>
    </w:p>
  </w:endnote>
  <w:endnote w:type="continuationSeparator" w:id="0">
    <w:p w14:paraId="19297035" w14:textId="77777777" w:rsidR="00EF0013" w:rsidRDefault="00EF0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590C8"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F1391"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4FB4"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8E6AE" w14:textId="77777777" w:rsidR="00EF0013" w:rsidRDefault="00EF0013">
      <w:r>
        <w:t>____________________</w:t>
      </w:r>
    </w:p>
  </w:footnote>
  <w:footnote w:type="continuationSeparator" w:id="0">
    <w:p w14:paraId="702498C9" w14:textId="77777777" w:rsidR="00EF0013" w:rsidRDefault="00EF0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D41F2"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EC1B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7DBA019C" w14:textId="77777777" w:rsidR="00CE1B90" w:rsidRDefault="00CE1B90" w:rsidP="004F7925">
    <w:pPr>
      <w:pStyle w:val="Header"/>
    </w:pPr>
    <w:r>
      <w:t>PP</w:t>
    </w:r>
    <w:r w:rsidR="000235EC">
      <w:t>2</w:t>
    </w:r>
    <w:r w:rsidR="00EF3B7A">
      <w:t>6</w:t>
    </w:r>
    <w:r>
      <w:t>/81(Add.5)-E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7AC1E"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55113"/>
    <w:multiLevelType w:val="hybridMultilevel"/>
    <w:tmpl w:val="75F4B5FC"/>
    <w:lvl w:ilvl="0" w:tplc="612C5C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7103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1CB9"/>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D62BE"/>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40C26"/>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1BD0"/>
    <w:rsid w:val="00627DF4"/>
    <w:rsid w:val="006404B0"/>
    <w:rsid w:val="00650BF3"/>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2169"/>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24C1"/>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72799"/>
    <w:rsid w:val="00E844D5"/>
    <w:rsid w:val="00E86536"/>
    <w:rsid w:val="00E871C2"/>
    <w:rsid w:val="00EA1BAA"/>
    <w:rsid w:val="00ED401C"/>
    <w:rsid w:val="00EE333B"/>
    <w:rsid w:val="00EF0013"/>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E72D62"/>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itu.int/md/R23-RAG-C-0058/en" TargetMode="External"/><Relationship Id="rId18" Type="http://schemas.openxmlformats.org/officeDocument/2006/relationships/footer" Target="footer2.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2.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www.itu.int/space-sustainability/"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761c0621-bebd-4d9e-a6db-ed9fa76d51a8">DPM</DPM_x0020_Author>
    <DPM_x0020_File_x0020_name xmlns="761c0621-bebd-4d9e-a6db-ed9fa76d51a8">S26-PP-C-0081!A5!MSW-E</DPM_x0020_File_x0020_name>
    <DPM_x0020_Version xmlns="761c0621-bebd-4d9e-a6db-ed9fa76d51a8">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61c0621-bebd-4d9e-a6db-ed9fa76d51a8" targetNamespace="http://schemas.microsoft.com/office/2006/metadata/properties" ma:root="true" ma:fieldsID="d41af5c836d734370eb92e7ee5f83852" ns2:_="" ns3:_="">
    <xsd:import namespace="996b2e75-67fd-4955-a3b0-5ab9934cb50b"/>
    <xsd:import namespace="761c0621-bebd-4d9e-a6db-ed9fa76d51a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61c0621-bebd-4d9e-a6db-ed9fa76d51a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61c0621-bebd-4d9e-a6db-ed9fa76d51a8"/>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61c0621-bebd-4d9e-a6db-ed9fa76d51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390</Words>
  <Characters>2712</Characters>
  <Application>Microsoft Office Word</Application>
  <DocSecurity>0</DocSecurity>
  <Lines>169</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3019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S26-PP-C-0081!A5!MSW-E</dc:title>
  <dc:subject>ITU Plenipotentiary Conference (PP-26)</dc:subject>
  <dc:creator>Documents Proposals Manager (DPM)</dc:creator>
  <cp:keywords>DPM_v2026.8.25.1_prod</cp:keywords>
  <cp:lastModifiedBy>MCB</cp:lastModifiedBy>
  <cp:revision>7</cp:revision>
  <dcterms:created xsi:type="dcterms:W3CDTF">2026-10-19T12:33:00Z</dcterms:created>
  <dcterms:modified xsi:type="dcterms:W3CDTF">2026-10-19T12:37:00Z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