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B5AD045" w14:textId="77777777" w:rsidTr="00C70164">
        <w:trPr>
          <w:cantSplit/>
          <w:jc w:val="center"/>
        </w:trPr>
        <w:tc>
          <w:tcPr>
            <w:tcW w:w="10031" w:type="dxa"/>
            <w:gridSpan w:val="2"/>
            <w:tcMar>
              <w:left w:w="0" w:type="dxa"/>
              <w:right w:w="0" w:type="dxa"/>
            </w:tcMar>
            <w:vAlign w:val="center"/>
          </w:tcPr>
          <w:p w14:paraId="3B4AB050"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4F2703E" wp14:editId="33C8C048">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6ADF794" w14:textId="77777777" w:rsidTr="00C70164">
        <w:trPr>
          <w:cantSplit/>
          <w:trHeight w:val="283"/>
          <w:jc w:val="center"/>
        </w:trPr>
        <w:tc>
          <w:tcPr>
            <w:tcW w:w="10031" w:type="dxa"/>
            <w:gridSpan w:val="2"/>
            <w:tcBorders>
              <w:bottom w:val="single" w:sz="12" w:space="0" w:color="71716F"/>
            </w:tcBorders>
          </w:tcPr>
          <w:p w14:paraId="25F4AD6D"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C68682B" w14:textId="77777777" w:rsidTr="00C70164">
        <w:trPr>
          <w:cantSplit/>
          <w:trHeight w:val="255"/>
          <w:jc w:val="center"/>
        </w:trPr>
        <w:tc>
          <w:tcPr>
            <w:tcW w:w="7230" w:type="dxa"/>
            <w:tcBorders>
              <w:top w:val="single" w:sz="12" w:space="0" w:color="71716F"/>
            </w:tcBorders>
          </w:tcPr>
          <w:p w14:paraId="4AFFBF75"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060CB69" w14:textId="77777777" w:rsidR="001A16ED" w:rsidRPr="00D96B4B" w:rsidRDefault="001A16ED" w:rsidP="000B596F">
            <w:pPr>
              <w:spacing w:before="0"/>
              <w:rPr>
                <w:rFonts w:cstheme="minorHAnsi"/>
                <w:sz w:val="20"/>
              </w:rPr>
            </w:pPr>
          </w:p>
        </w:tc>
      </w:tr>
      <w:tr w:rsidR="001A16ED" w:rsidRPr="00C324A8" w14:paraId="5E9FF86E" w14:textId="77777777" w:rsidTr="00C70164">
        <w:trPr>
          <w:cantSplit/>
          <w:trHeight w:val="23"/>
          <w:jc w:val="center"/>
        </w:trPr>
        <w:tc>
          <w:tcPr>
            <w:tcW w:w="7230" w:type="dxa"/>
          </w:tcPr>
          <w:p w14:paraId="3C70F81D"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4EB36BE" w14:textId="77777777" w:rsidR="001A16ED" w:rsidRPr="00F44B1A" w:rsidRDefault="001A16ED" w:rsidP="000B596F">
            <w:pPr>
              <w:tabs>
                <w:tab w:val="left" w:pos="851"/>
              </w:tabs>
              <w:spacing w:before="0"/>
              <w:rPr>
                <w:rFonts w:cstheme="minorHAnsi"/>
                <w:b/>
                <w:szCs w:val="24"/>
              </w:rPr>
            </w:pPr>
            <w:r>
              <w:rPr>
                <w:rFonts w:cstheme="minorHAnsi"/>
                <w:b/>
                <w:szCs w:val="24"/>
              </w:rPr>
              <w:t>Addendum 31 to</w:t>
            </w:r>
            <w:r>
              <w:rPr>
                <w:rFonts w:cstheme="minorHAnsi"/>
                <w:b/>
                <w:szCs w:val="24"/>
              </w:rPr>
              <w:br/>
              <w:t>Document 81</w:t>
            </w:r>
            <w:r w:rsidR="00F44B1A" w:rsidRPr="00F44B1A">
              <w:rPr>
                <w:rFonts w:cstheme="minorHAnsi"/>
                <w:b/>
                <w:szCs w:val="24"/>
              </w:rPr>
              <w:t>-E</w:t>
            </w:r>
          </w:p>
        </w:tc>
      </w:tr>
      <w:tr w:rsidR="001A16ED" w:rsidRPr="00C324A8" w14:paraId="52BC3C65" w14:textId="77777777" w:rsidTr="00C70164">
        <w:trPr>
          <w:cantSplit/>
          <w:trHeight w:val="23"/>
          <w:jc w:val="center"/>
        </w:trPr>
        <w:tc>
          <w:tcPr>
            <w:tcW w:w="7230" w:type="dxa"/>
          </w:tcPr>
          <w:p w14:paraId="3A0A72E5"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DE69A5A"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2B25ED6E" w14:textId="77777777" w:rsidTr="00C70164">
        <w:trPr>
          <w:cantSplit/>
          <w:trHeight w:val="23"/>
          <w:jc w:val="center"/>
        </w:trPr>
        <w:tc>
          <w:tcPr>
            <w:tcW w:w="7230" w:type="dxa"/>
          </w:tcPr>
          <w:p w14:paraId="1A65D665"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FDEA32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05760FF" w14:textId="77777777" w:rsidTr="00C70164">
        <w:trPr>
          <w:cantSplit/>
          <w:trHeight w:val="23"/>
          <w:jc w:val="center"/>
        </w:trPr>
        <w:tc>
          <w:tcPr>
            <w:tcW w:w="10031" w:type="dxa"/>
            <w:gridSpan w:val="2"/>
          </w:tcPr>
          <w:p w14:paraId="69125BC4" w14:textId="77777777" w:rsidR="001A16ED" w:rsidRPr="00D96B4B" w:rsidRDefault="001A16ED" w:rsidP="000B596F">
            <w:pPr>
              <w:tabs>
                <w:tab w:val="left" w:pos="993"/>
              </w:tabs>
              <w:rPr>
                <w:rFonts w:ascii="Verdana" w:hAnsi="Verdana"/>
                <w:b/>
                <w:szCs w:val="24"/>
              </w:rPr>
            </w:pPr>
          </w:p>
        </w:tc>
      </w:tr>
      <w:tr w:rsidR="001A16ED" w:rsidRPr="00C324A8" w14:paraId="7358FA1A" w14:textId="77777777" w:rsidTr="00C70164">
        <w:trPr>
          <w:cantSplit/>
          <w:trHeight w:val="23"/>
          <w:jc w:val="center"/>
        </w:trPr>
        <w:tc>
          <w:tcPr>
            <w:tcW w:w="10031" w:type="dxa"/>
            <w:gridSpan w:val="2"/>
          </w:tcPr>
          <w:p w14:paraId="3330D49B" w14:textId="77777777" w:rsidR="001A16ED" w:rsidRDefault="001A16ED" w:rsidP="000B596F">
            <w:pPr>
              <w:pStyle w:val="Source"/>
            </w:pPr>
            <w:r>
              <w:t>Member States of the Inter-American Telecommunication Commission (CITEL)</w:t>
            </w:r>
          </w:p>
        </w:tc>
      </w:tr>
      <w:tr w:rsidR="001A16ED" w:rsidRPr="00C324A8" w14:paraId="35D299CD" w14:textId="77777777" w:rsidTr="00C70164">
        <w:trPr>
          <w:cantSplit/>
          <w:trHeight w:val="23"/>
          <w:jc w:val="center"/>
        </w:trPr>
        <w:tc>
          <w:tcPr>
            <w:tcW w:w="10031" w:type="dxa"/>
            <w:gridSpan w:val="2"/>
          </w:tcPr>
          <w:p w14:paraId="377F9DB9" w14:textId="77777777" w:rsidR="001A16ED" w:rsidRDefault="001A16ED" w:rsidP="000B596F">
            <w:pPr>
              <w:pStyle w:val="Title1"/>
            </w:pPr>
            <w:r>
              <w:t>DRAFT NEW RESOLUTION: MODERNIZING THE ITU RADIOCOMMUNICATION SECTOR AND PROMOTING SPECTRUM EFFICIENCY</w:t>
            </w:r>
          </w:p>
        </w:tc>
      </w:tr>
      <w:tr w:rsidR="001A16ED" w:rsidRPr="00C324A8" w14:paraId="52198593" w14:textId="77777777" w:rsidTr="00C70164">
        <w:trPr>
          <w:cantSplit/>
          <w:trHeight w:val="23"/>
          <w:jc w:val="center"/>
        </w:trPr>
        <w:tc>
          <w:tcPr>
            <w:tcW w:w="10031" w:type="dxa"/>
            <w:gridSpan w:val="2"/>
          </w:tcPr>
          <w:p w14:paraId="6B630DE9" w14:textId="77777777" w:rsidR="001A16ED" w:rsidRDefault="001A16ED" w:rsidP="000B596F">
            <w:pPr>
              <w:pStyle w:val="Title2"/>
            </w:pPr>
          </w:p>
        </w:tc>
      </w:tr>
      <w:tr w:rsidR="001A16ED" w:rsidRPr="00C324A8" w14:paraId="2EB82B4C" w14:textId="77777777" w:rsidTr="00C70164">
        <w:trPr>
          <w:cantSplit/>
          <w:trHeight w:val="23"/>
          <w:jc w:val="center"/>
        </w:trPr>
        <w:tc>
          <w:tcPr>
            <w:tcW w:w="10031" w:type="dxa"/>
            <w:gridSpan w:val="2"/>
          </w:tcPr>
          <w:p w14:paraId="382641D4" w14:textId="77777777" w:rsidR="001A16ED" w:rsidRPr="00C41D03" w:rsidRDefault="001A16ED" w:rsidP="000B596F">
            <w:pPr>
              <w:pStyle w:val="Agendaitem"/>
              <w:rPr>
                <w:lang w:val="en-GB"/>
              </w:rPr>
            </w:pPr>
          </w:p>
        </w:tc>
      </w:tr>
      <w:bookmarkEnd w:id="6"/>
      <w:bookmarkEnd w:id="7"/>
    </w:tbl>
    <w:p w14:paraId="6A61CECF" w14:textId="77777777" w:rsidR="001A16ED" w:rsidRDefault="001A16ED" w:rsidP="00AB2D04"/>
    <w:p w14:paraId="4547D0FD" w14:textId="77777777" w:rsidR="0008540E" w:rsidRPr="0008540E" w:rsidRDefault="001A16ED" w:rsidP="00004F8B">
      <w:r>
        <w:br w:type="page"/>
      </w:r>
    </w:p>
    <w:p w14:paraId="6F294210" w14:textId="77777777" w:rsidR="002A084D" w:rsidRDefault="00000000">
      <w:pPr>
        <w:pStyle w:val="Proposal"/>
      </w:pPr>
      <w:r>
        <w:lastRenderedPageBreak/>
        <w:t>ADD</w:t>
      </w:r>
      <w:r>
        <w:tab/>
        <w:t>IAP/81A31/1</w:t>
      </w:r>
    </w:p>
    <w:p w14:paraId="1CD85CF2" w14:textId="77777777" w:rsidR="002A084D" w:rsidRDefault="00000000">
      <w:pPr>
        <w:pStyle w:val="ResNo"/>
      </w:pPr>
      <w:r>
        <w:t>Draft New Resolution [IAP-2]</w:t>
      </w:r>
    </w:p>
    <w:p w14:paraId="33727094" w14:textId="16297342" w:rsidR="002A084D" w:rsidRDefault="00C41D03">
      <w:pPr>
        <w:pStyle w:val="Restitle"/>
      </w:pPr>
      <w:r w:rsidRPr="00C41D03">
        <w:t xml:space="preserve">Modernizing the ITU Radiocommunication Sector </w:t>
      </w:r>
      <w:r>
        <w:br/>
      </w:r>
      <w:r w:rsidRPr="00C41D03">
        <w:t xml:space="preserve">and </w:t>
      </w:r>
      <w:r w:rsidRPr="00C41D03">
        <w:t>promoting spectrum efficiency</w:t>
      </w:r>
    </w:p>
    <w:p w14:paraId="3EB4842B" w14:textId="77777777" w:rsidR="00C41D03" w:rsidRPr="00A67DC1" w:rsidRDefault="00C41D03" w:rsidP="00C41D03">
      <w:pPr>
        <w:tabs>
          <w:tab w:val="clear" w:pos="567"/>
          <w:tab w:val="left" w:pos="720"/>
        </w:tabs>
        <w:jc w:val="both"/>
        <w:rPr>
          <w:rFonts w:asciiTheme="minorHAnsi" w:hAnsiTheme="minorHAnsi" w:cstheme="minorHAnsi"/>
          <w:szCs w:val="24"/>
        </w:rPr>
      </w:pPr>
      <w:r w:rsidRPr="00A67DC1">
        <w:rPr>
          <w:rFonts w:asciiTheme="minorHAnsi" w:hAnsiTheme="minorHAnsi" w:cstheme="minorHAnsi"/>
          <w:szCs w:val="24"/>
        </w:rPr>
        <w:t>The Plenipotentiary Conference of the International Telecommunication Union (Doha, 2026),</w:t>
      </w:r>
    </w:p>
    <w:p w14:paraId="2E3F45E8" w14:textId="7E4B2DF8" w:rsidR="00C41D03" w:rsidRPr="00A67DC1" w:rsidRDefault="00C41D03" w:rsidP="00055251">
      <w:pPr>
        <w:pStyle w:val="Call"/>
      </w:pPr>
      <w:r w:rsidRPr="00A67DC1">
        <w:t>recalling</w:t>
      </w:r>
    </w:p>
    <w:p w14:paraId="4C69986B" w14:textId="77777777" w:rsidR="00C41D03" w:rsidRPr="00A67DC1" w:rsidRDefault="00C41D03" w:rsidP="00055251">
      <w:r w:rsidRPr="00AA4869">
        <w:rPr>
          <w:i/>
          <w:iCs/>
        </w:rPr>
        <w:t>a)</w:t>
      </w:r>
      <w:r w:rsidRPr="00A67DC1">
        <w:tab/>
        <w:t>Article 1 of the ITU Constitution, which calls on the Union to promote the extension of the benefits of new telecommunication technologies to all the world’s inhabitants;</w:t>
      </w:r>
    </w:p>
    <w:p w14:paraId="0A09111F" w14:textId="09350276" w:rsidR="00C41D03" w:rsidRPr="00A67DC1" w:rsidRDefault="00C41D03" w:rsidP="00055251">
      <w:pPr>
        <w:rPr>
          <w:rFonts w:asciiTheme="minorHAnsi" w:hAnsiTheme="minorHAnsi" w:cstheme="minorHAnsi"/>
          <w:szCs w:val="24"/>
        </w:rPr>
      </w:pPr>
      <w:r w:rsidRPr="00AA4869">
        <w:rPr>
          <w:rFonts w:asciiTheme="minorHAnsi" w:hAnsiTheme="minorHAnsi" w:cstheme="minorHAnsi"/>
          <w:i/>
          <w:iCs/>
          <w:szCs w:val="24"/>
        </w:rPr>
        <w:t>b)</w:t>
      </w:r>
      <w:r w:rsidRPr="00A67DC1">
        <w:rPr>
          <w:rFonts w:asciiTheme="minorHAnsi" w:hAnsiTheme="minorHAnsi" w:cstheme="minorHAnsi"/>
          <w:szCs w:val="24"/>
        </w:rPr>
        <w:tab/>
        <w:t>Resolution 71 (Rev. Doha, 202</w:t>
      </w:r>
      <w:r w:rsidR="000E5CD6">
        <w:rPr>
          <w:rFonts w:asciiTheme="minorHAnsi" w:hAnsiTheme="minorHAnsi" w:cstheme="minorHAnsi"/>
          <w:szCs w:val="24"/>
        </w:rPr>
        <w:t>6</w:t>
      </w:r>
      <w:r w:rsidRPr="00A67DC1">
        <w:rPr>
          <w:rFonts w:asciiTheme="minorHAnsi" w:hAnsiTheme="minorHAnsi" w:cstheme="minorHAnsi"/>
          <w:szCs w:val="24"/>
        </w:rPr>
        <w:t>) of the Plenipotentiary Conference</w:t>
      </w:r>
      <w:r w:rsidR="000E5CD6">
        <w:rPr>
          <w:rFonts w:asciiTheme="minorHAnsi" w:hAnsiTheme="minorHAnsi" w:cstheme="minorHAnsi"/>
          <w:szCs w:val="24"/>
        </w:rPr>
        <w:t>,</w:t>
      </w:r>
      <w:r w:rsidRPr="00A67DC1">
        <w:rPr>
          <w:rFonts w:asciiTheme="minorHAnsi" w:hAnsiTheme="minorHAnsi" w:cstheme="minorHAnsi"/>
          <w:szCs w:val="24"/>
        </w:rPr>
        <w:t xml:space="preserve"> on the strategic plan for the Union for 2028-2031,</w:t>
      </w:r>
    </w:p>
    <w:p w14:paraId="18E29A58" w14:textId="252F90EF" w:rsidR="00C41D03" w:rsidRPr="00A67DC1" w:rsidRDefault="00C41D03" w:rsidP="00055251">
      <w:pPr>
        <w:pStyle w:val="Call"/>
      </w:pPr>
      <w:r w:rsidRPr="00A67DC1">
        <w:t>considering</w:t>
      </w:r>
    </w:p>
    <w:p w14:paraId="4847F1C4" w14:textId="77777777" w:rsidR="00C41D03" w:rsidRPr="00A67DC1" w:rsidRDefault="00C41D03" w:rsidP="00055251">
      <w:pPr>
        <w:rPr>
          <w:rFonts w:asciiTheme="minorHAnsi" w:hAnsiTheme="minorHAnsi" w:cstheme="minorHAnsi"/>
          <w:szCs w:val="24"/>
        </w:rPr>
      </w:pPr>
      <w:r w:rsidRPr="00AA4869">
        <w:rPr>
          <w:rFonts w:asciiTheme="minorHAnsi" w:hAnsiTheme="minorHAnsi" w:cstheme="minorHAnsi"/>
          <w:i/>
          <w:iCs/>
          <w:szCs w:val="24"/>
        </w:rPr>
        <w:t>a)</w:t>
      </w:r>
      <w:r w:rsidRPr="00A67DC1">
        <w:rPr>
          <w:rFonts w:asciiTheme="minorHAnsi" w:hAnsiTheme="minorHAnsi" w:cstheme="minorHAnsi"/>
          <w:szCs w:val="24"/>
        </w:rPr>
        <w:tab/>
        <w:t xml:space="preserve">that advanced satellite technology has provided more efficient spacing along the geosynchronous orbital arc and non-geosynchronous satellite systems have enabled a plethora of varying elliptical orbits and altitudinal planes; </w:t>
      </w:r>
    </w:p>
    <w:p w14:paraId="0B12D734" w14:textId="18877416" w:rsidR="00C41D03" w:rsidRPr="00A67DC1" w:rsidRDefault="00C41D03" w:rsidP="00055251">
      <w:pPr>
        <w:rPr>
          <w:rFonts w:asciiTheme="minorHAnsi" w:hAnsiTheme="minorHAnsi" w:cstheme="minorHAnsi"/>
          <w:szCs w:val="24"/>
        </w:rPr>
      </w:pPr>
      <w:r w:rsidRPr="00AA4869">
        <w:rPr>
          <w:rFonts w:asciiTheme="minorHAnsi" w:hAnsiTheme="minorHAnsi" w:cstheme="minorHAnsi"/>
          <w:i/>
          <w:iCs/>
          <w:szCs w:val="24"/>
        </w:rPr>
        <w:t>b)</w:t>
      </w:r>
      <w:r w:rsidRPr="00A67DC1">
        <w:rPr>
          <w:rFonts w:asciiTheme="minorHAnsi" w:hAnsiTheme="minorHAnsi" w:cstheme="minorHAnsi"/>
          <w:szCs w:val="24"/>
        </w:rPr>
        <w:tab/>
        <w:t>that radio</w:t>
      </w:r>
      <w:r w:rsidR="00C65DF5">
        <w:rPr>
          <w:rFonts w:asciiTheme="minorHAnsi" w:hAnsiTheme="minorHAnsi" w:cstheme="minorHAnsi"/>
          <w:szCs w:val="24"/>
        </w:rPr>
        <w:t xml:space="preserve"> </w:t>
      </w:r>
      <w:r w:rsidRPr="00A67DC1">
        <w:rPr>
          <w:rFonts w:asciiTheme="minorHAnsi" w:hAnsiTheme="minorHAnsi" w:cstheme="minorHAnsi"/>
          <w:szCs w:val="24"/>
        </w:rPr>
        <w:t>frequency spectrum is a limited natural resource requiring rational, efficient and economical use in accordance with the ITU Constitution, Convention and Radio Regulations;</w:t>
      </w:r>
    </w:p>
    <w:p w14:paraId="6CD6A80D" w14:textId="64AC6E73" w:rsidR="00C41D03" w:rsidRPr="00A67DC1" w:rsidRDefault="00C41D03" w:rsidP="00055251">
      <w:pPr>
        <w:rPr>
          <w:rFonts w:asciiTheme="minorHAnsi" w:hAnsiTheme="minorHAnsi" w:cstheme="minorHAnsi"/>
          <w:szCs w:val="24"/>
          <w:lang w:val="en"/>
        </w:rPr>
      </w:pPr>
      <w:r w:rsidRPr="00AA4869">
        <w:rPr>
          <w:rFonts w:asciiTheme="minorHAnsi" w:hAnsiTheme="minorHAnsi" w:cstheme="minorHAnsi"/>
          <w:i/>
          <w:iCs/>
          <w:szCs w:val="24"/>
          <w:lang w:val="en"/>
        </w:rPr>
        <w:t>c)</w:t>
      </w:r>
      <w:r w:rsidRPr="00A67DC1">
        <w:rPr>
          <w:rFonts w:asciiTheme="minorHAnsi" w:hAnsiTheme="minorHAnsi" w:cstheme="minorHAnsi"/>
          <w:szCs w:val="24"/>
          <w:lang w:val="en"/>
        </w:rPr>
        <w:tab/>
        <w:t xml:space="preserve">that radiocommunication services are fundamental to economic development, national security, public safety, disaster risk reduction, scientific research and </w:t>
      </w:r>
      <w:r w:rsidR="00C65DF5" w:rsidRPr="00A67DC1">
        <w:rPr>
          <w:rFonts w:asciiTheme="minorHAnsi" w:hAnsiTheme="minorHAnsi" w:cstheme="minorHAnsi"/>
          <w:szCs w:val="24"/>
          <w:lang w:val="en"/>
        </w:rPr>
        <w:t xml:space="preserve">Earth </w:t>
      </w:r>
      <w:r w:rsidRPr="00A67DC1">
        <w:rPr>
          <w:rFonts w:asciiTheme="minorHAnsi" w:hAnsiTheme="minorHAnsi" w:cstheme="minorHAnsi"/>
          <w:szCs w:val="24"/>
          <w:lang w:val="en"/>
        </w:rPr>
        <w:t>observation;</w:t>
      </w:r>
    </w:p>
    <w:p w14:paraId="01F9E37A" w14:textId="4CF7B047" w:rsidR="00C41D03" w:rsidRPr="00A67DC1" w:rsidRDefault="00C41D03" w:rsidP="00055251">
      <w:pPr>
        <w:rPr>
          <w:rFonts w:asciiTheme="minorHAnsi" w:hAnsiTheme="minorHAnsi" w:cstheme="minorHAnsi"/>
          <w:szCs w:val="24"/>
          <w:lang w:val="en"/>
        </w:rPr>
      </w:pPr>
      <w:r w:rsidRPr="00AA4869">
        <w:rPr>
          <w:rFonts w:asciiTheme="minorHAnsi" w:hAnsiTheme="minorHAnsi" w:cstheme="minorHAnsi"/>
          <w:i/>
          <w:iCs/>
          <w:szCs w:val="24"/>
          <w:lang w:val="en"/>
        </w:rPr>
        <w:t>d)</w:t>
      </w:r>
      <w:r w:rsidRPr="00A67DC1">
        <w:rPr>
          <w:rFonts w:asciiTheme="minorHAnsi" w:hAnsiTheme="minorHAnsi" w:cstheme="minorHAnsi"/>
          <w:szCs w:val="24"/>
          <w:lang w:val="en"/>
        </w:rPr>
        <w:tab/>
        <w:t>that demand for spectrum continues to increase due to the deployment of satellite systems, mobile and fixed broadband, space exploration and scientific purposes, and emerging radiocommunication applications</w:t>
      </w:r>
      <w:r w:rsidR="00E263F5">
        <w:rPr>
          <w:rFonts w:asciiTheme="minorHAnsi" w:hAnsiTheme="minorHAnsi" w:cstheme="minorHAnsi"/>
          <w:szCs w:val="24"/>
          <w:lang w:val="en"/>
        </w:rPr>
        <w:t>;</w:t>
      </w:r>
    </w:p>
    <w:p w14:paraId="6A987065" w14:textId="77C62FFF" w:rsidR="00C41D03" w:rsidRPr="00A67DC1" w:rsidRDefault="00C41D03" w:rsidP="00055251">
      <w:pPr>
        <w:rPr>
          <w:rFonts w:asciiTheme="minorHAnsi" w:hAnsiTheme="minorHAnsi" w:cstheme="minorHAnsi"/>
          <w:szCs w:val="24"/>
        </w:rPr>
      </w:pPr>
      <w:r w:rsidRPr="00AA4869">
        <w:rPr>
          <w:rFonts w:asciiTheme="minorHAnsi" w:hAnsiTheme="minorHAnsi" w:cstheme="minorHAnsi"/>
          <w:i/>
          <w:iCs/>
          <w:szCs w:val="24"/>
        </w:rPr>
        <w:t>e)</w:t>
      </w:r>
      <w:r w:rsidRPr="00A67DC1">
        <w:rPr>
          <w:rFonts w:asciiTheme="minorHAnsi" w:hAnsiTheme="minorHAnsi" w:cstheme="minorHAnsi"/>
          <w:szCs w:val="24"/>
        </w:rPr>
        <w:tab/>
        <w:t xml:space="preserve">that the </w:t>
      </w:r>
      <w:r w:rsidR="00C65DF5" w:rsidRPr="00C41D03">
        <w:t xml:space="preserve">ITU Radiocommunication Sector </w:t>
      </w:r>
      <w:r w:rsidR="00C65DF5">
        <w:t>(</w:t>
      </w:r>
      <w:r w:rsidRPr="00A67DC1">
        <w:rPr>
          <w:rFonts w:asciiTheme="minorHAnsi" w:hAnsiTheme="minorHAnsi" w:cstheme="minorHAnsi"/>
          <w:szCs w:val="24"/>
        </w:rPr>
        <w:t>ITU-R</w:t>
      </w:r>
      <w:r w:rsidR="00C65DF5">
        <w:rPr>
          <w:rFonts w:asciiTheme="minorHAnsi" w:hAnsiTheme="minorHAnsi" w:cstheme="minorHAnsi"/>
          <w:szCs w:val="24"/>
        </w:rPr>
        <w:t>)</w:t>
      </w:r>
      <w:r w:rsidRPr="00A67DC1">
        <w:rPr>
          <w:rFonts w:asciiTheme="minorHAnsi" w:hAnsiTheme="minorHAnsi" w:cstheme="minorHAnsi"/>
          <w:szCs w:val="24"/>
        </w:rPr>
        <w:t xml:space="preserve"> needs to become radically more efficient in conducting its studies </w:t>
      </w:r>
      <w:proofErr w:type="gramStart"/>
      <w:r w:rsidRPr="00A67DC1">
        <w:rPr>
          <w:rFonts w:asciiTheme="minorHAnsi" w:hAnsiTheme="minorHAnsi" w:cstheme="minorHAnsi"/>
          <w:szCs w:val="24"/>
        </w:rPr>
        <w:t>in order to</w:t>
      </w:r>
      <w:proofErr w:type="gramEnd"/>
      <w:r w:rsidRPr="00A67DC1">
        <w:rPr>
          <w:rFonts w:asciiTheme="minorHAnsi" w:hAnsiTheme="minorHAnsi" w:cstheme="minorHAnsi"/>
          <w:szCs w:val="24"/>
        </w:rPr>
        <w:t xml:space="preserve"> keep pace with technological advancements;</w:t>
      </w:r>
    </w:p>
    <w:p w14:paraId="751CD1EB" w14:textId="77777777" w:rsidR="00C41D03" w:rsidRPr="00A67DC1" w:rsidRDefault="00C41D03" w:rsidP="00055251">
      <w:pPr>
        <w:rPr>
          <w:rFonts w:asciiTheme="minorHAnsi" w:hAnsiTheme="minorHAnsi" w:cstheme="minorHAnsi"/>
          <w:szCs w:val="24"/>
        </w:rPr>
      </w:pPr>
      <w:r w:rsidRPr="00AA4869">
        <w:rPr>
          <w:rFonts w:asciiTheme="minorHAnsi" w:hAnsiTheme="minorHAnsi" w:cstheme="minorHAnsi"/>
          <w:i/>
          <w:iCs/>
          <w:szCs w:val="24"/>
        </w:rPr>
        <w:t>f)</w:t>
      </w:r>
      <w:r w:rsidRPr="00A67DC1">
        <w:rPr>
          <w:rFonts w:asciiTheme="minorHAnsi" w:hAnsiTheme="minorHAnsi" w:cstheme="minorHAnsi"/>
          <w:szCs w:val="24"/>
        </w:rPr>
        <w:tab/>
        <w:t>that the workload of each ITU-R study group during a WRC study cycle is directly influenced by the complexity and quantity of WRC agenda items;</w:t>
      </w:r>
    </w:p>
    <w:p w14:paraId="6DAE258C" w14:textId="186343D2" w:rsidR="00C41D03" w:rsidRPr="00A67DC1" w:rsidRDefault="00C41D03" w:rsidP="00055251">
      <w:pPr>
        <w:rPr>
          <w:rFonts w:asciiTheme="minorHAnsi" w:hAnsiTheme="minorHAnsi" w:cstheme="minorHAnsi"/>
          <w:szCs w:val="24"/>
        </w:rPr>
      </w:pPr>
      <w:r w:rsidRPr="00AA4869">
        <w:rPr>
          <w:rFonts w:asciiTheme="minorHAnsi" w:hAnsiTheme="minorHAnsi" w:cstheme="minorHAnsi"/>
          <w:i/>
          <w:iCs/>
          <w:szCs w:val="24"/>
        </w:rPr>
        <w:t>g)</w:t>
      </w:r>
      <w:r w:rsidRPr="00A67DC1">
        <w:rPr>
          <w:rFonts w:asciiTheme="minorHAnsi" w:hAnsiTheme="minorHAnsi" w:cstheme="minorHAnsi"/>
          <w:szCs w:val="24"/>
        </w:rPr>
        <w:tab/>
        <w:t xml:space="preserve">that the workload further includes development of questions, reports, recommendations and handbooks unrelated to WRC activities that are not bound by the WRC study cycle, </w:t>
      </w:r>
    </w:p>
    <w:p w14:paraId="4CE34B64" w14:textId="2CD7F4D2" w:rsidR="00C41D03" w:rsidRPr="00A67DC1" w:rsidRDefault="00C41D03" w:rsidP="00055251">
      <w:pPr>
        <w:pStyle w:val="Call"/>
      </w:pPr>
      <w:r w:rsidRPr="00A67DC1">
        <w:t>noting</w:t>
      </w:r>
    </w:p>
    <w:p w14:paraId="46D02BF2" w14:textId="4B1F6D5C" w:rsidR="00C41D03" w:rsidRPr="00A67DC1" w:rsidRDefault="00C41D03" w:rsidP="00055251">
      <w:pPr>
        <w:rPr>
          <w:rFonts w:asciiTheme="minorHAnsi" w:hAnsiTheme="minorHAnsi" w:cstheme="minorHAnsi"/>
          <w:szCs w:val="24"/>
        </w:rPr>
      </w:pPr>
      <w:r w:rsidRPr="00AA4869">
        <w:rPr>
          <w:rFonts w:asciiTheme="minorHAnsi" w:hAnsiTheme="minorHAnsi" w:cstheme="minorHAnsi"/>
          <w:i/>
          <w:iCs/>
          <w:szCs w:val="24"/>
        </w:rPr>
        <w:t>a)</w:t>
      </w:r>
      <w:r w:rsidRPr="00A67DC1">
        <w:rPr>
          <w:rFonts w:asciiTheme="minorHAnsi" w:hAnsiTheme="minorHAnsi" w:cstheme="minorHAnsi"/>
          <w:szCs w:val="24"/>
        </w:rPr>
        <w:tab/>
        <w:t>that new and emerging technical methods for interference analysis and propagation (e.g. data</w:t>
      </w:r>
      <w:r w:rsidRPr="00A67DC1">
        <w:rPr>
          <w:rFonts w:ascii="Cambria Math" w:hAnsi="Cambria Math" w:cs="Cambria Math"/>
          <w:szCs w:val="24"/>
        </w:rPr>
        <w:t>‑</w:t>
      </w:r>
      <w:r w:rsidRPr="00A67DC1">
        <w:rPr>
          <w:rFonts w:asciiTheme="minorHAnsi" w:hAnsiTheme="minorHAnsi" w:cstheme="minorHAnsi"/>
          <w:szCs w:val="24"/>
        </w:rPr>
        <w:t>driven and machine</w:t>
      </w:r>
      <w:r w:rsidRPr="00A67DC1">
        <w:rPr>
          <w:rFonts w:ascii="Cambria Math" w:hAnsi="Cambria Math" w:cs="Cambria Math"/>
          <w:szCs w:val="24"/>
        </w:rPr>
        <w:t>‑</w:t>
      </w:r>
      <w:r w:rsidRPr="00A67DC1">
        <w:rPr>
          <w:rFonts w:asciiTheme="minorHAnsi" w:hAnsiTheme="minorHAnsi" w:cstheme="minorHAnsi"/>
          <w:szCs w:val="24"/>
        </w:rPr>
        <w:t>learning</w:t>
      </w:r>
      <w:r w:rsidRPr="00A67DC1">
        <w:rPr>
          <w:rFonts w:ascii="Cambria Math" w:hAnsi="Cambria Math" w:cs="Cambria Math"/>
          <w:szCs w:val="24"/>
        </w:rPr>
        <w:t>‑</w:t>
      </w:r>
      <w:r w:rsidRPr="00A67DC1">
        <w:rPr>
          <w:rFonts w:asciiTheme="minorHAnsi" w:hAnsiTheme="minorHAnsi" w:cstheme="minorHAnsi"/>
          <w:szCs w:val="24"/>
        </w:rPr>
        <w:t>assisted approaches) are being explored within ITU</w:t>
      </w:r>
      <w:r w:rsidRPr="00A67DC1">
        <w:rPr>
          <w:rFonts w:ascii="Cambria Math" w:hAnsi="Cambria Math" w:cs="Cambria Math"/>
          <w:szCs w:val="24"/>
        </w:rPr>
        <w:t>‑</w:t>
      </w:r>
      <w:r w:rsidRPr="00A67DC1">
        <w:rPr>
          <w:rFonts w:asciiTheme="minorHAnsi" w:hAnsiTheme="minorHAnsi" w:cstheme="minorHAnsi"/>
          <w:szCs w:val="24"/>
        </w:rPr>
        <w:t>R;</w:t>
      </w:r>
    </w:p>
    <w:p w14:paraId="3B32BCFA" w14:textId="77777777" w:rsidR="00C41D03" w:rsidRPr="00A67DC1" w:rsidRDefault="00C41D03" w:rsidP="00055251">
      <w:pPr>
        <w:rPr>
          <w:rFonts w:asciiTheme="minorHAnsi" w:hAnsiTheme="minorHAnsi" w:cstheme="minorHAnsi"/>
          <w:szCs w:val="24"/>
        </w:rPr>
      </w:pPr>
      <w:r w:rsidRPr="00AA4869">
        <w:rPr>
          <w:rFonts w:asciiTheme="minorHAnsi" w:hAnsiTheme="minorHAnsi" w:cstheme="minorHAnsi"/>
          <w:i/>
          <w:iCs/>
          <w:szCs w:val="24"/>
        </w:rPr>
        <w:t>b)</w:t>
      </w:r>
      <w:r w:rsidRPr="00A67DC1">
        <w:rPr>
          <w:rFonts w:asciiTheme="minorHAnsi" w:hAnsiTheme="minorHAnsi" w:cstheme="minorHAnsi"/>
          <w:szCs w:val="24"/>
        </w:rPr>
        <w:tab/>
        <w:t xml:space="preserve">that the evolution of advanced frequency reuse, more narrow spot beam technology and ground station antennas have facilitated closer space station spacing along the </w:t>
      </w:r>
      <w:r w:rsidRPr="00055251">
        <w:t>geostationary</w:t>
      </w:r>
      <w:r w:rsidRPr="00A67DC1">
        <w:rPr>
          <w:rFonts w:asciiTheme="minorHAnsi" w:hAnsiTheme="minorHAnsi" w:cstheme="minorHAnsi"/>
          <w:szCs w:val="24"/>
        </w:rPr>
        <w:t xml:space="preserve"> arc;</w:t>
      </w:r>
    </w:p>
    <w:p w14:paraId="2488A966" w14:textId="77777777" w:rsidR="00C41D03" w:rsidRPr="00A67DC1" w:rsidRDefault="00C41D03" w:rsidP="00055251">
      <w:pPr>
        <w:rPr>
          <w:rFonts w:asciiTheme="minorHAnsi" w:hAnsiTheme="minorHAnsi" w:cstheme="minorHAnsi"/>
          <w:szCs w:val="24"/>
        </w:rPr>
      </w:pPr>
      <w:r w:rsidRPr="00AA4869">
        <w:rPr>
          <w:rFonts w:asciiTheme="minorHAnsi" w:hAnsiTheme="minorHAnsi" w:cstheme="minorHAnsi"/>
          <w:i/>
          <w:iCs/>
          <w:szCs w:val="24"/>
        </w:rPr>
        <w:t>c)</w:t>
      </w:r>
      <w:r w:rsidRPr="00A67DC1">
        <w:rPr>
          <w:rFonts w:asciiTheme="minorHAnsi" w:hAnsiTheme="minorHAnsi" w:cstheme="minorHAnsi"/>
          <w:szCs w:val="24"/>
        </w:rPr>
        <w:tab/>
        <w:t>that effective and efficient working methods and work programmes are key enablers for a fit for purpose ITU-R and more efficient use of radio spectrum;</w:t>
      </w:r>
    </w:p>
    <w:p w14:paraId="29D77B15" w14:textId="77777777" w:rsidR="00C41D03" w:rsidRPr="00A67DC1" w:rsidRDefault="00C41D03" w:rsidP="00055251">
      <w:pPr>
        <w:rPr>
          <w:rFonts w:asciiTheme="minorHAnsi" w:hAnsiTheme="minorHAnsi" w:cstheme="minorHAnsi"/>
          <w:szCs w:val="24"/>
        </w:rPr>
      </w:pPr>
      <w:r w:rsidRPr="00AA4869">
        <w:rPr>
          <w:rFonts w:asciiTheme="minorHAnsi" w:hAnsiTheme="minorHAnsi" w:cstheme="minorHAnsi"/>
          <w:i/>
          <w:iCs/>
          <w:szCs w:val="24"/>
        </w:rPr>
        <w:lastRenderedPageBreak/>
        <w:t>d)</w:t>
      </w:r>
      <w:r w:rsidRPr="00A67DC1">
        <w:rPr>
          <w:rFonts w:asciiTheme="minorHAnsi" w:hAnsiTheme="minorHAnsi" w:cstheme="minorHAnsi"/>
          <w:szCs w:val="24"/>
        </w:rPr>
        <w:tab/>
        <w:t xml:space="preserve">that revising or removing outdated provisions of the Radio Regulations is central to the mandate of the ITU </w:t>
      </w:r>
      <w:proofErr w:type="gramStart"/>
      <w:r w:rsidRPr="00A67DC1">
        <w:rPr>
          <w:rFonts w:asciiTheme="minorHAnsi" w:hAnsiTheme="minorHAnsi" w:cstheme="minorHAnsi"/>
          <w:szCs w:val="24"/>
        </w:rPr>
        <w:t>in order to</w:t>
      </w:r>
      <w:proofErr w:type="gramEnd"/>
      <w:r w:rsidRPr="00A67DC1">
        <w:rPr>
          <w:rFonts w:asciiTheme="minorHAnsi" w:hAnsiTheme="minorHAnsi" w:cstheme="minorHAnsi"/>
          <w:szCs w:val="24"/>
        </w:rPr>
        <w:t xml:space="preserve"> increase spectrum efficiency and access to spectrum by new services;</w:t>
      </w:r>
    </w:p>
    <w:p w14:paraId="4A99A3FA" w14:textId="77777777" w:rsidR="00C41D03" w:rsidRPr="00A67DC1" w:rsidRDefault="00C41D03" w:rsidP="00055251">
      <w:pPr>
        <w:rPr>
          <w:rFonts w:asciiTheme="minorHAnsi" w:hAnsiTheme="minorHAnsi" w:cstheme="minorHAnsi"/>
          <w:szCs w:val="24"/>
        </w:rPr>
      </w:pPr>
      <w:r w:rsidRPr="00AA4869">
        <w:rPr>
          <w:rFonts w:asciiTheme="minorHAnsi" w:hAnsiTheme="minorHAnsi" w:cstheme="minorHAnsi"/>
          <w:i/>
          <w:iCs/>
          <w:szCs w:val="24"/>
        </w:rPr>
        <w:t>e)</w:t>
      </w:r>
      <w:r w:rsidRPr="00A67DC1">
        <w:rPr>
          <w:rFonts w:asciiTheme="minorHAnsi" w:hAnsiTheme="minorHAnsi" w:cstheme="minorHAnsi"/>
          <w:szCs w:val="24"/>
        </w:rPr>
        <w:tab/>
        <w:t>that more efficient, economical, and effective use of the radio spectrum will promote increased availability of spectrum resources for new and innovative technologies to connect the unconnected while also allowing for protection of existing services</w:t>
      </w:r>
      <w:r>
        <w:rPr>
          <w:rFonts w:asciiTheme="minorHAnsi" w:hAnsiTheme="minorHAnsi" w:cstheme="minorHAnsi"/>
          <w:szCs w:val="24"/>
        </w:rPr>
        <w:t>,</w:t>
      </w:r>
    </w:p>
    <w:p w14:paraId="03349560" w14:textId="73D7E784" w:rsidR="00C41D03" w:rsidRPr="00A67DC1" w:rsidRDefault="00C41D03" w:rsidP="00055251">
      <w:pPr>
        <w:pStyle w:val="Call"/>
      </w:pPr>
      <w:r w:rsidRPr="00A67DC1">
        <w:t>recognizing</w:t>
      </w:r>
    </w:p>
    <w:p w14:paraId="13533867" w14:textId="4350A71E" w:rsidR="00C41D03" w:rsidRPr="00A67DC1" w:rsidRDefault="00C41D03" w:rsidP="00055251">
      <w:pPr>
        <w:rPr>
          <w:rFonts w:asciiTheme="minorHAnsi" w:hAnsiTheme="minorHAnsi" w:cstheme="minorHAnsi"/>
          <w:szCs w:val="24"/>
        </w:rPr>
      </w:pPr>
      <w:r w:rsidRPr="00AA4869">
        <w:rPr>
          <w:rFonts w:asciiTheme="minorHAnsi" w:hAnsiTheme="minorHAnsi" w:cstheme="minorHAnsi"/>
          <w:i/>
          <w:iCs/>
          <w:szCs w:val="24"/>
        </w:rPr>
        <w:t>a)</w:t>
      </w:r>
      <w:r w:rsidRPr="00A67DC1">
        <w:rPr>
          <w:rFonts w:asciiTheme="minorHAnsi" w:hAnsiTheme="minorHAnsi" w:cstheme="minorHAnsi"/>
          <w:szCs w:val="24"/>
        </w:rPr>
        <w:tab/>
        <w:t>that lengthy study cycles and over</w:t>
      </w:r>
      <w:r w:rsidRPr="00A67DC1">
        <w:rPr>
          <w:rFonts w:ascii="Cambria Math" w:hAnsi="Cambria Math" w:cs="Cambria Math"/>
          <w:szCs w:val="24"/>
        </w:rPr>
        <w:t>‑</w:t>
      </w:r>
      <w:r w:rsidRPr="00A67DC1">
        <w:rPr>
          <w:rFonts w:asciiTheme="minorHAnsi" w:hAnsiTheme="minorHAnsi" w:cstheme="minorHAnsi"/>
          <w:szCs w:val="24"/>
        </w:rPr>
        <w:t>prescriptive regulatory provisions slow the introduction of innovative radiocommunication services</w:t>
      </w:r>
      <w:r>
        <w:rPr>
          <w:rFonts w:asciiTheme="minorHAnsi" w:hAnsiTheme="minorHAnsi" w:cstheme="minorHAnsi"/>
          <w:szCs w:val="24"/>
        </w:rPr>
        <w:t>;</w:t>
      </w:r>
      <w:r w:rsidRPr="00A67DC1">
        <w:rPr>
          <w:rFonts w:asciiTheme="minorHAnsi" w:hAnsiTheme="minorHAnsi" w:cstheme="minorHAnsi"/>
          <w:szCs w:val="24"/>
        </w:rPr>
        <w:t xml:space="preserve"> </w:t>
      </w:r>
    </w:p>
    <w:p w14:paraId="7AA7878E" w14:textId="77777777" w:rsidR="00C41D03" w:rsidRPr="00A67DC1" w:rsidRDefault="00C41D03" w:rsidP="00055251">
      <w:pPr>
        <w:rPr>
          <w:rFonts w:asciiTheme="minorHAnsi" w:hAnsiTheme="minorHAnsi" w:cstheme="minorHAnsi"/>
          <w:szCs w:val="24"/>
        </w:rPr>
      </w:pPr>
      <w:r w:rsidRPr="00B820EB">
        <w:rPr>
          <w:rFonts w:asciiTheme="minorHAnsi" w:hAnsiTheme="minorHAnsi" w:cstheme="minorHAnsi"/>
          <w:i/>
          <w:iCs/>
          <w:szCs w:val="24"/>
        </w:rPr>
        <w:t>b)</w:t>
      </w:r>
      <w:r w:rsidRPr="00A67DC1">
        <w:rPr>
          <w:rFonts w:asciiTheme="minorHAnsi" w:hAnsiTheme="minorHAnsi" w:cstheme="minorHAnsi"/>
          <w:szCs w:val="24"/>
        </w:rPr>
        <w:tab/>
        <w:t>that simpler, physics</w:t>
      </w:r>
      <w:r w:rsidRPr="00A67DC1">
        <w:rPr>
          <w:rFonts w:ascii="Cambria Math" w:hAnsi="Cambria Math" w:cs="Cambria Math"/>
          <w:szCs w:val="24"/>
        </w:rPr>
        <w:t>‑</w:t>
      </w:r>
      <w:r w:rsidRPr="00A67DC1">
        <w:rPr>
          <w:rFonts w:asciiTheme="minorHAnsi" w:hAnsiTheme="minorHAnsi" w:cstheme="minorHAnsi"/>
          <w:szCs w:val="24"/>
        </w:rPr>
        <w:t>based protection criteria combined with addressing interference through coordination can support efficient sharing and faster deployment of technologies that advance universal connectivity and sustainable digital transformation;</w:t>
      </w:r>
    </w:p>
    <w:p w14:paraId="08085604" w14:textId="055AFC1C" w:rsidR="00C41D03" w:rsidRPr="00A67DC1" w:rsidRDefault="00C41D03" w:rsidP="00055251">
      <w:pPr>
        <w:rPr>
          <w:rFonts w:asciiTheme="minorHAnsi" w:hAnsiTheme="minorHAnsi" w:cstheme="minorHAnsi"/>
          <w:szCs w:val="24"/>
        </w:rPr>
      </w:pPr>
      <w:r w:rsidRPr="00B820EB">
        <w:rPr>
          <w:rFonts w:asciiTheme="minorHAnsi" w:hAnsiTheme="minorHAnsi" w:cstheme="minorHAnsi"/>
          <w:i/>
          <w:iCs/>
          <w:szCs w:val="24"/>
        </w:rPr>
        <w:t>c)</w:t>
      </w:r>
      <w:r w:rsidRPr="00A67DC1">
        <w:rPr>
          <w:rFonts w:asciiTheme="minorHAnsi" w:hAnsiTheme="minorHAnsi" w:cstheme="minorHAnsi"/>
          <w:szCs w:val="24"/>
        </w:rPr>
        <w:tab/>
        <w:t>that efforts to modernize the work of the ITU-R should serve to improve the efficiency, timeliness, and technical integrity of studies and regulatory provisions with a focus on increasing opportunities for new and emerging commercial radiocommunication services, without prejudice to regulatory protections afforded to scientific services, passive services, safety</w:t>
      </w:r>
      <w:r w:rsidRPr="00A67DC1">
        <w:rPr>
          <w:rFonts w:ascii="Cambria Math" w:hAnsi="Cambria Math" w:cs="Cambria Math"/>
          <w:szCs w:val="24"/>
        </w:rPr>
        <w:t>‑</w:t>
      </w:r>
      <w:r w:rsidRPr="00A67DC1">
        <w:rPr>
          <w:rFonts w:asciiTheme="minorHAnsi" w:hAnsiTheme="minorHAnsi" w:cstheme="minorHAnsi"/>
          <w:szCs w:val="24"/>
        </w:rPr>
        <w:t>of</w:t>
      </w:r>
      <w:r w:rsidRPr="00A67DC1">
        <w:rPr>
          <w:rFonts w:ascii="Cambria Math" w:hAnsi="Cambria Math" w:cs="Cambria Math"/>
          <w:szCs w:val="24"/>
        </w:rPr>
        <w:t>‑</w:t>
      </w:r>
      <w:r w:rsidRPr="00A67DC1">
        <w:rPr>
          <w:rFonts w:asciiTheme="minorHAnsi" w:hAnsiTheme="minorHAnsi" w:cstheme="minorHAnsi"/>
          <w:szCs w:val="24"/>
        </w:rPr>
        <w:t>life and national</w:t>
      </w:r>
      <w:r w:rsidRPr="00A67DC1">
        <w:rPr>
          <w:rFonts w:ascii="Cambria Math" w:hAnsi="Cambria Math" w:cs="Cambria Math"/>
          <w:szCs w:val="24"/>
        </w:rPr>
        <w:t>‑</w:t>
      </w:r>
      <w:r w:rsidRPr="00A67DC1">
        <w:rPr>
          <w:rFonts w:asciiTheme="minorHAnsi" w:hAnsiTheme="minorHAnsi" w:cstheme="minorHAnsi"/>
          <w:szCs w:val="24"/>
        </w:rPr>
        <w:t>security</w:t>
      </w:r>
      <w:r w:rsidRPr="00A67DC1">
        <w:rPr>
          <w:rFonts w:ascii="Cambria Math" w:hAnsi="Cambria Math" w:cs="Cambria Math"/>
          <w:szCs w:val="24"/>
        </w:rPr>
        <w:t>‑</w:t>
      </w:r>
      <w:r w:rsidRPr="00A67DC1">
        <w:rPr>
          <w:rFonts w:asciiTheme="minorHAnsi" w:hAnsiTheme="minorHAnsi" w:cstheme="minorHAnsi"/>
          <w:szCs w:val="24"/>
        </w:rPr>
        <w:t>related radiocommunication services</w:t>
      </w:r>
      <w:r>
        <w:rPr>
          <w:rFonts w:asciiTheme="minorHAnsi" w:hAnsiTheme="minorHAnsi" w:cstheme="minorHAnsi"/>
          <w:szCs w:val="24"/>
        </w:rPr>
        <w:t>;</w:t>
      </w:r>
    </w:p>
    <w:p w14:paraId="42D87BA5" w14:textId="0E867459" w:rsidR="00C41D03" w:rsidRPr="00A67DC1" w:rsidRDefault="00C41D03" w:rsidP="00055251">
      <w:pPr>
        <w:rPr>
          <w:rFonts w:asciiTheme="minorHAnsi" w:hAnsiTheme="minorHAnsi" w:cstheme="minorHAnsi"/>
          <w:szCs w:val="24"/>
        </w:rPr>
      </w:pPr>
      <w:r w:rsidRPr="00B820EB">
        <w:rPr>
          <w:rFonts w:asciiTheme="minorHAnsi" w:hAnsiTheme="minorHAnsi" w:cstheme="minorHAnsi"/>
          <w:i/>
          <w:iCs/>
          <w:szCs w:val="24"/>
        </w:rPr>
        <w:t>d)</w:t>
      </w:r>
      <w:r w:rsidRPr="00A67DC1">
        <w:rPr>
          <w:rFonts w:asciiTheme="minorHAnsi" w:hAnsiTheme="minorHAnsi" w:cstheme="minorHAnsi"/>
          <w:szCs w:val="24"/>
        </w:rPr>
        <w:tab/>
        <w:t xml:space="preserve">that regulatory provisions for radiocommunications should be technologically neutral so that they do not quickly become out of date and revised or replaced when they do; </w:t>
      </w:r>
    </w:p>
    <w:p w14:paraId="060C3885" w14:textId="0433F6EB" w:rsidR="00C41D03" w:rsidRPr="00A67DC1" w:rsidRDefault="00C41D03" w:rsidP="00055251">
      <w:pPr>
        <w:rPr>
          <w:rFonts w:asciiTheme="minorHAnsi" w:hAnsiTheme="minorHAnsi" w:cstheme="minorHAnsi"/>
          <w:szCs w:val="24"/>
        </w:rPr>
      </w:pPr>
      <w:r w:rsidRPr="00B820EB">
        <w:rPr>
          <w:rFonts w:asciiTheme="minorHAnsi" w:hAnsiTheme="minorHAnsi" w:cstheme="minorHAnsi"/>
          <w:i/>
          <w:iCs/>
          <w:szCs w:val="24"/>
        </w:rPr>
        <w:t>e)</w:t>
      </w:r>
      <w:r w:rsidRPr="00A67DC1">
        <w:rPr>
          <w:rFonts w:asciiTheme="minorHAnsi" w:hAnsiTheme="minorHAnsi" w:cstheme="minorHAnsi"/>
          <w:szCs w:val="24"/>
        </w:rPr>
        <w:tab/>
        <w:t>that many such regulatory provisions with the Radio Regulations are, in fact, out of date and in need of technical revision, replacement or deletion</w:t>
      </w:r>
      <w:r>
        <w:rPr>
          <w:rFonts w:asciiTheme="minorHAnsi" w:hAnsiTheme="minorHAnsi" w:cstheme="minorHAnsi"/>
          <w:szCs w:val="24"/>
        </w:rPr>
        <w:t>,</w:t>
      </w:r>
    </w:p>
    <w:p w14:paraId="1DE0F60C" w14:textId="3CD99AE1" w:rsidR="00C41D03" w:rsidRPr="00A67DC1" w:rsidRDefault="00C41D03" w:rsidP="00055251">
      <w:pPr>
        <w:pStyle w:val="Call"/>
      </w:pPr>
      <w:r w:rsidRPr="00A67DC1">
        <w:t>resolves</w:t>
      </w:r>
    </w:p>
    <w:p w14:paraId="5A4BF8E2" w14:textId="77777777" w:rsidR="00C41D03" w:rsidRPr="00A67DC1" w:rsidRDefault="00C41D03" w:rsidP="00093EA6">
      <w:r w:rsidRPr="00A67DC1">
        <w:t>1</w:t>
      </w:r>
      <w:r w:rsidRPr="00A67DC1">
        <w:tab/>
        <w:t>to instruct the ITU-R to conduct a comprehensive, expedited review of interference protection criteria used across radiocommunication services and, where appropriate, to update those criteria to update those criteria to be physics-based and service-appropriate;</w:t>
      </w:r>
    </w:p>
    <w:p w14:paraId="2F97DDBB" w14:textId="77777777" w:rsidR="00C41D03" w:rsidRPr="00A67DC1" w:rsidRDefault="00C41D03" w:rsidP="00093EA6">
      <w:r w:rsidRPr="00A67DC1">
        <w:t>2</w:t>
      </w:r>
      <w:r w:rsidRPr="00A67DC1">
        <w:tab/>
        <w:t>to strengthen the capability of the ITU-R to keep pace with the rapid development of new radiocommunication technologies;</w:t>
      </w:r>
    </w:p>
    <w:p w14:paraId="70220A6D" w14:textId="77777777" w:rsidR="00C41D03" w:rsidRPr="00A67DC1" w:rsidRDefault="00C41D03" w:rsidP="00093EA6">
      <w:r w:rsidRPr="00A67DC1">
        <w:t>3</w:t>
      </w:r>
      <w:r w:rsidRPr="00A67DC1">
        <w:tab/>
        <w:t>to modernize the technical foundation for ITU-R sharing and compatibility studies so that they are evidence-based and grounded in physics;</w:t>
      </w:r>
    </w:p>
    <w:p w14:paraId="64F6D9FA" w14:textId="77777777" w:rsidR="00C41D03" w:rsidRPr="00A67DC1" w:rsidRDefault="00C41D03" w:rsidP="00093EA6">
      <w:r w:rsidRPr="00A67DC1">
        <w:t>4</w:t>
      </w:r>
      <w:r w:rsidRPr="00A67DC1">
        <w:tab/>
        <w:t>to review and revise the protection criteria ITU-R uses in its studies so that they reflect modern system capabilities and mitigation techniques;</w:t>
      </w:r>
    </w:p>
    <w:p w14:paraId="6D1538B0" w14:textId="77777777" w:rsidR="00C41D03" w:rsidRPr="00A67DC1" w:rsidRDefault="00C41D03" w:rsidP="00093EA6">
      <w:r w:rsidRPr="00A67DC1">
        <w:t>5</w:t>
      </w:r>
      <w:r w:rsidRPr="00A67DC1">
        <w:tab/>
        <w:t>to accelerate the process for conducting ITU-R studies and consider shorter study cycles for future world radio conferences to keep pace with technological change, prioritizing agenda items according to technical advances in the telecommunications industry;</w:t>
      </w:r>
    </w:p>
    <w:p w14:paraId="622CB537" w14:textId="77777777" w:rsidR="00C41D03" w:rsidRPr="00A67DC1" w:rsidRDefault="00C41D03" w:rsidP="00093EA6">
      <w:r w:rsidRPr="00A67DC1">
        <w:t>6</w:t>
      </w:r>
      <w:r w:rsidRPr="00A67DC1">
        <w:tab/>
        <w:t>to improve spectrum efficiency by suppressing or modernizing outdated regulations and revising or replacing ITU-R reports and recommendations that are obsolete</w:t>
      </w:r>
      <w:r>
        <w:t>,</w:t>
      </w:r>
    </w:p>
    <w:p w14:paraId="6830F3CB" w14:textId="0317812F" w:rsidR="00C41D03" w:rsidRPr="00A67DC1" w:rsidRDefault="00C41D03" w:rsidP="00055251">
      <w:pPr>
        <w:pStyle w:val="Call"/>
      </w:pPr>
      <w:r w:rsidRPr="00A67DC1">
        <w:rPr>
          <w:iCs/>
        </w:rPr>
        <w:t>instructs</w:t>
      </w:r>
      <w:r w:rsidRPr="00A67DC1">
        <w:t xml:space="preserve"> the Director of the Radiocommunication Bureau</w:t>
      </w:r>
    </w:p>
    <w:p w14:paraId="39059368" w14:textId="321C56A0" w:rsidR="00C41D03" w:rsidRPr="00A67DC1" w:rsidRDefault="00C41D03" w:rsidP="00093EA6">
      <w:r w:rsidRPr="00A67DC1">
        <w:t xml:space="preserve">to support the work of this Resolution and report on its progress to subsequent Radiocommunication Advisory Groups, </w:t>
      </w:r>
      <w:r w:rsidR="00E263F5" w:rsidRPr="00A67DC1">
        <w:t>conferences and assemblies</w:t>
      </w:r>
      <w:r w:rsidR="00D3272D">
        <w:t>,</w:t>
      </w:r>
      <w:r w:rsidRPr="00A67DC1">
        <w:t xml:space="preserve"> and to </w:t>
      </w:r>
      <w:r w:rsidR="00D3272D">
        <w:t xml:space="preserve">the </w:t>
      </w:r>
      <w:r w:rsidRPr="00A67DC1">
        <w:t>Council</w:t>
      </w:r>
      <w:r>
        <w:t>,</w:t>
      </w:r>
    </w:p>
    <w:p w14:paraId="25F4BC66" w14:textId="37C39A94" w:rsidR="00C41D03" w:rsidRPr="00A67DC1" w:rsidRDefault="00C41D03" w:rsidP="00055251">
      <w:pPr>
        <w:pStyle w:val="Call"/>
      </w:pPr>
      <w:r w:rsidRPr="00A67DC1">
        <w:rPr>
          <w:iCs/>
        </w:rPr>
        <w:lastRenderedPageBreak/>
        <w:t>invites</w:t>
      </w:r>
      <w:r w:rsidRPr="00A67DC1">
        <w:t xml:space="preserve"> Member States and Sector Members</w:t>
      </w:r>
    </w:p>
    <w:p w14:paraId="38EC50B3" w14:textId="6F37E814" w:rsidR="00C41D03" w:rsidRPr="00A67DC1" w:rsidRDefault="00C41D03" w:rsidP="00055251">
      <w:pPr>
        <w:rPr>
          <w:rFonts w:asciiTheme="minorHAnsi" w:hAnsiTheme="minorHAnsi" w:cstheme="minorHAnsi"/>
          <w:bCs/>
          <w:szCs w:val="24"/>
        </w:rPr>
      </w:pPr>
      <w:r w:rsidRPr="00A67DC1">
        <w:rPr>
          <w:rFonts w:asciiTheme="minorHAnsi" w:hAnsiTheme="minorHAnsi" w:cstheme="minorHAnsi"/>
          <w:bCs/>
          <w:szCs w:val="24"/>
        </w:rPr>
        <w:t>1</w:t>
      </w:r>
      <w:r w:rsidRPr="00A67DC1">
        <w:rPr>
          <w:rFonts w:asciiTheme="minorHAnsi" w:hAnsiTheme="minorHAnsi" w:cstheme="minorHAnsi"/>
          <w:bCs/>
          <w:szCs w:val="24"/>
        </w:rPr>
        <w:tab/>
        <w:t xml:space="preserve">to actively engage in the work of the ITU-R so that its outputs reflect the latest in radio technology and to highlight to the Director of the </w:t>
      </w:r>
      <w:r w:rsidR="00DE0020" w:rsidRPr="00DE0020">
        <w:rPr>
          <w:iCs/>
        </w:rPr>
        <w:t>Radiocommunication Bureau</w:t>
      </w:r>
      <w:r w:rsidR="00DE0020" w:rsidRPr="00A67DC1">
        <w:rPr>
          <w:rFonts w:asciiTheme="minorHAnsi" w:hAnsiTheme="minorHAnsi" w:cstheme="minorHAnsi"/>
          <w:bCs/>
          <w:szCs w:val="24"/>
        </w:rPr>
        <w:t xml:space="preserve"> </w:t>
      </w:r>
      <w:r w:rsidRPr="00A67DC1">
        <w:rPr>
          <w:rFonts w:asciiTheme="minorHAnsi" w:hAnsiTheme="minorHAnsi" w:cstheme="minorHAnsi"/>
          <w:bCs/>
          <w:szCs w:val="24"/>
        </w:rPr>
        <w:t>those outputs that do not;</w:t>
      </w:r>
    </w:p>
    <w:p w14:paraId="5CE0ACFB" w14:textId="20DF4E49" w:rsidR="00C41D03" w:rsidRPr="00A67DC1" w:rsidRDefault="00C41D03" w:rsidP="00055251">
      <w:pPr>
        <w:rPr>
          <w:rFonts w:asciiTheme="minorHAnsi" w:hAnsiTheme="minorHAnsi" w:cstheme="minorHAnsi"/>
          <w:bCs/>
          <w:szCs w:val="24"/>
        </w:rPr>
      </w:pPr>
      <w:r w:rsidRPr="00A67DC1">
        <w:rPr>
          <w:rFonts w:asciiTheme="minorHAnsi" w:hAnsiTheme="minorHAnsi" w:cstheme="minorHAnsi"/>
          <w:bCs/>
          <w:szCs w:val="24"/>
        </w:rPr>
        <w:t>2</w:t>
      </w:r>
      <w:r w:rsidRPr="00A67DC1">
        <w:rPr>
          <w:rFonts w:asciiTheme="minorHAnsi" w:hAnsiTheme="minorHAnsi" w:cstheme="minorHAnsi"/>
          <w:bCs/>
          <w:szCs w:val="24"/>
        </w:rPr>
        <w:tab/>
        <w:t>to support efforts to streamline regulatory provisions and avoid over-specification where coordination and good</w:t>
      </w:r>
      <w:r w:rsidRPr="00A67DC1">
        <w:rPr>
          <w:rFonts w:ascii="Cambria Math" w:hAnsi="Cambria Math" w:cs="Cambria Math"/>
          <w:szCs w:val="24"/>
        </w:rPr>
        <w:t>‑</w:t>
      </w:r>
      <w:r w:rsidRPr="00A67DC1">
        <w:rPr>
          <w:rFonts w:asciiTheme="minorHAnsi" w:hAnsiTheme="minorHAnsi" w:cstheme="minorHAnsi"/>
          <w:bCs/>
          <w:szCs w:val="24"/>
        </w:rPr>
        <w:t>faith engineering practices suffice;</w:t>
      </w:r>
    </w:p>
    <w:p w14:paraId="4855AE3D" w14:textId="29025DAE" w:rsidR="002A084D" w:rsidRPr="00C41D03" w:rsidRDefault="00C41D03" w:rsidP="00055251">
      <w:pPr>
        <w:rPr>
          <w:rFonts w:asciiTheme="minorHAnsi" w:hAnsiTheme="minorHAnsi" w:cstheme="minorHAnsi"/>
          <w:bCs/>
          <w:szCs w:val="24"/>
        </w:rPr>
      </w:pPr>
      <w:r w:rsidRPr="00A67DC1">
        <w:rPr>
          <w:rFonts w:asciiTheme="minorHAnsi" w:hAnsiTheme="minorHAnsi" w:cstheme="minorHAnsi"/>
          <w:bCs/>
          <w:szCs w:val="24"/>
        </w:rPr>
        <w:t>3</w:t>
      </w:r>
      <w:r w:rsidRPr="00A67DC1">
        <w:rPr>
          <w:rFonts w:asciiTheme="minorHAnsi" w:hAnsiTheme="minorHAnsi" w:cstheme="minorHAnsi"/>
          <w:bCs/>
          <w:szCs w:val="24"/>
        </w:rPr>
        <w:tab/>
        <w:t>to provide feedback on steps to accelerate ITU-R study cycles, with a goal of moving toward a two-year cycle, including through intersessional coordination, remote participation tools, and regional preparatory mechanisms and agenda item prioritization</w:t>
      </w:r>
      <w:r w:rsidR="00D3272D">
        <w:rPr>
          <w:rFonts w:asciiTheme="minorHAnsi" w:hAnsiTheme="minorHAnsi" w:cstheme="minorHAnsi"/>
          <w:bCs/>
          <w:szCs w:val="24"/>
        </w:rPr>
        <w:t>.</w:t>
      </w:r>
    </w:p>
    <w:p w14:paraId="1A0A3726" w14:textId="73761129" w:rsidR="002A084D" w:rsidRDefault="00000000" w:rsidP="00055251">
      <w:pPr>
        <w:pStyle w:val="Reasons"/>
      </w:pPr>
      <w:r>
        <w:rPr>
          <w:b/>
        </w:rPr>
        <w:t>Reasons:</w:t>
      </w:r>
      <w:r>
        <w:tab/>
      </w:r>
      <w:r w:rsidR="00C41D03" w:rsidRPr="00B22E08">
        <w:t>Modernizing the ITU-R and promoting spectrum efficiency is necessary to connect the unconnected and achieve sustainable digital transformation, considering agenda item prioritization as a useful tool towards the proposed two-year cycle length.</w:t>
      </w:r>
    </w:p>
    <w:sectPr w:rsidR="002A084D" w:rsidSect="00361097">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9B570" w14:textId="77777777" w:rsidR="001517C7" w:rsidRDefault="001517C7">
      <w:r>
        <w:separator/>
      </w:r>
    </w:p>
  </w:endnote>
  <w:endnote w:type="continuationSeparator" w:id="0">
    <w:p w14:paraId="3D15FA9C" w14:textId="77777777" w:rsidR="001517C7" w:rsidRDefault="00151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F69B"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DB9A2"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4F8FA"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0BB19" w14:textId="77777777" w:rsidR="001517C7" w:rsidRDefault="001517C7">
      <w:r>
        <w:t>____________________</w:t>
      </w:r>
    </w:p>
  </w:footnote>
  <w:footnote w:type="continuationSeparator" w:id="0">
    <w:p w14:paraId="5BC8D8FB" w14:textId="77777777" w:rsidR="001517C7" w:rsidRDefault="001517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0386E"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D96EE"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4F4128F" w14:textId="77777777" w:rsidR="00CE1B90" w:rsidRDefault="00CE1B90" w:rsidP="004F7925">
    <w:pPr>
      <w:pStyle w:val="Header"/>
    </w:pPr>
    <w:proofErr w:type="spellStart"/>
    <w:r>
      <w:t>PP</w:t>
    </w:r>
    <w:r w:rsidR="000235EC">
      <w:t>2</w:t>
    </w:r>
    <w:r w:rsidR="00EF3B7A">
      <w:t>6</w:t>
    </w:r>
    <w:proofErr w:type="spellEnd"/>
    <w:r>
      <w:t>/81(</w:t>
    </w:r>
    <w:proofErr w:type="spellStart"/>
    <w:r>
      <w:t>Add.31</w:t>
    </w:r>
    <w:proofErr w:type="spellEnd"/>
    <w:r>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DB349"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55251"/>
    <w:rsid w:val="00082EB9"/>
    <w:rsid w:val="000842DF"/>
    <w:rsid w:val="0008540E"/>
    <w:rsid w:val="00093EA6"/>
    <w:rsid w:val="00094B4F"/>
    <w:rsid w:val="000A1015"/>
    <w:rsid w:val="000B03F9"/>
    <w:rsid w:val="000B0A77"/>
    <w:rsid w:val="000B0D6C"/>
    <w:rsid w:val="000B596F"/>
    <w:rsid w:val="000B5BB9"/>
    <w:rsid w:val="000B7152"/>
    <w:rsid w:val="000C4701"/>
    <w:rsid w:val="000E4C7A"/>
    <w:rsid w:val="000E5CD6"/>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17C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084D"/>
    <w:rsid w:val="002A56C0"/>
    <w:rsid w:val="002E77F4"/>
    <w:rsid w:val="002F36B9"/>
    <w:rsid w:val="002F5FA2"/>
    <w:rsid w:val="003126B0"/>
    <w:rsid w:val="00314127"/>
    <w:rsid w:val="00314C12"/>
    <w:rsid w:val="0031578C"/>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0FB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1D03"/>
    <w:rsid w:val="00C42A5B"/>
    <w:rsid w:val="00C5419D"/>
    <w:rsid w:val="00C56038"/>
    <w:rsid w:val="00C65DF5"/>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CF69A1"/>
    <w:rsid w:val="00D07696"/>
    <w:rsid w:val="00D11956"/>
    <w:rsid w:val="00D15A98"/>
    <w:rsid w:val="00D3272D"/>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0020"/>
    <w:rsid w:val="00DE16B8"/>
    <w:rsid w:val="00DE20DF"/>
    <w:rsid w:val="00DE4CC2"/>
    <w:rsid w:val="00DF23FC"/>
    <w:rsid w:val="00DF39CD"/>
    <w:rsid w:val="00DF3BBE"/>
    <w:rsid w:val="00E0094D"/>
    <w:rsid w:val="00E10A17"/>
    <w:rsid w:val="00E13427"/>
    <w:rsid w:val="00E1374D"/>
    <w:rsid w:val="00E20134"/>
    <w:rsid w:val="00E24CB2"/>
    <w:rsid w:val="00E263F5"/>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87406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609b80a-554f-48c8-820a-e988d65379c8" targetNamespace="http://schemas.microsoft.com/office/2006/metadata/properties" ma:root="true" ma:fieldsID="d41af5c836d734370eb92e7ee5f83852" ns2:_="" ns3:_="">
    <xsd:import namespace="996b2e75-67fd-4955-a3b0-5ab9934cb50b"/>
    <xsd:import namespace="2609b80a-554f-48c8-820a-e988d65379c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609b80a-554f-48c8-820a-e988d65379c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2609b80a-554f-48c8-820a-e988d65379c8">DPM</DPM_x0020_Author>
    <DPM_x0020_File_x0020_name xmlns="2609b80a-554f-48c8-820a-e988d65379c8">S26-PP-C-0081!A31!MSW-E</DPM_x0020_File_x0020_name>
    <DPM_x0020_Version xmlns="2609b80a-554f-48c8-820a-e988d65379c8">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609b80a-554f-48c8-820a-e988d65379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609b80a-554f-48c8-820a-e988d65379c8"/>
  </ds:schemaRefs>
</ds:datastoreItem>
</file>

<file path=customXml/itemProps4.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981</Words>
  <Characters>5498</Characters>
  <Application>Microsoft Office Word</Application>
  <DocSecurity>0</DocSecurity>
  <Lines>137</Lines>
  <Paragraphs>77</Paragraphs>
  <ScaleCrop>false</ScaleCrop>
  <HeadingPairs>
    <vt:vector size="2" baseType="variant">
      <vt:variant>
        <vt:lpstr>Title</vt:lpstr>
      </vt:variant>
      <vt:variant>
        <vt:i4>1</vt:i4>
      </vt:variant>
    </vt:vector>
  </HeadingPairs>
  <TitlesOfParts>
    <vt:vector size="1" baseType="lpstr">
      <vt:lpstr>S26-PP-C-0081!A31!MSW-E</vt:lpstr>
    </vt:vector>
  </TitlesOfParts>
  <Manager/>
  <Company/>
  <LinksUpToDate>false</LinksUpToDate>
  <CharactersWithSpaces>6402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S26-PP-C-0081!A31!MSW-E</dc:title>
  <dc:subject>ITU Plenipotentiary Conference (PP-26)</dc:subject>
  <dc:creator>Documents Proposals Manager (DPM)</dc:creator>
  <cp:keywords>DPM_v2026.8.25.1_prod</cp:keywords>
  <cp:lastModifiedBy>GBS-2</cp:lastModifiedBy>
  <cp:revision>7</cp:revision>
  <dcterms:created xsi:type="dcterms:W3CDTF">2026-10-20T11:44:00Z</dcterms:created>
  <dcterms:modified xsi:type="dcterms:W3CDTF">2026-10-20T12:03:00Z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