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76A89CF" w14:textId="77777777" w:rsidTr="00C70164">
        <w:trPr>
          <w:cantSplit/>
          <w:jc w:val="center"/>
        </w:trPr>
        <w:tc>
          <w:tcPr>
            <w:tcW w:w="10031" w:type="dxa"/>
            <w:gridSpan w:val="2"/>
            <w:tcMar>
              <w:left w:w="0" w:type="dxa"/>
              <w:right w:w="0" w:type="dxa"/>
            </w:tcMar>
            <w:vAlign w:val="center"/>
          </w:tcPr>
          <w:p w14:paraId="1FF0E41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1138621" wp14:editId="350D62E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4FB93A6" w14:textId="77777777" w:rsidTr="00C70164">
        <w:trPr>
          <w:cantSplit/>
          <w:trHeight w:val="283"/>
          <w:jc w:val="center"/>
        </w:trPr>
        <w:tc>
          <w:tcPr>
            <w:tcW w:w="10031" w:type="dxa"/>
            <w:gridSpan w:val="2"/>
            <w:tcBorders>
              <w:bottom w:val="single" w:sz="12" w:space="0" w:color="71716F"/>
            </w:tcBorders>
          </w:tcPr>
          <w:p w14:paraId="4D35D36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4BF4246" w14:textId="77777777" w:rsidTr="00C70164">
        <w:trPr>
          <w:cantSplit/>
          <w:trHeight w:val="255"/>
          <w:jc w:val="center"/>
        </w:trPr>
        <w:tc>
          <w:tcPr>
            <w:tcW w:w="7230" w:type="dxa"/>
            <w:tcBorders>
              <w:top w:val="single" w:sz="12" w:space="0" w:color="71716F"/>
            </w:tcBorders>
          </w:tcPr>
          <w:p w14:paraId="625C057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F4BA9D5" w14:textId="77777777" w:rsidR="001A16ED" w:rsidRPr="00D96B4B" w:rsidRDefault="001A16ED" w:rsidP="000B596F">
            <w:pPr>
              <w:spacing w:before="0"/>
              <w:rPr>
                <w:rFonts w:cstheme="minorHAnsi"/>
                <w:sz w:val="20"/>
              </w:rPr>
            </w:pPr>
          </w:p>
        </w:tc>
      </w:tr>
      <w:tr w:rsidR="001A16ED" w:rsidRPr="00C324A8" w14:paraId="25BD5FC9" w14:textId="77777777" w:rsidTr="00C70164">
        <w:trPr>
          <w:cantSplit/>
          <w:trHeight w:val="23"/>
          <w:jc w:val="center"/>
        </w:trPr>
        <w:tc>
          <w:tcPr>
            <w:tcW w:w="7230" w:type="dxa"/>
          </w:tcPr>
          <w:p w14:paraId="085E2E8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02AD1BF" w14:textId="77777777" w:rsidR="001A16ED" w:rsidRPr="00F44B1A" w:rsidRDefault="001A16ED" w:rsidP="000B596F">
            <w:pPr>
              <w:tabs>
                <w:tab w:val="left" w:pos="851"/>
              </w:tabs>
              <w:spacing w:before="0"/>
              <w:rPr>
                <w:rFonts w:cstheme="minorHAnsi"/>
                <w:b/>
                <w:szCs w:val="24"/>
              </w:rPr>
            </w:pPr>
            <w:r>
              <w:rPr>
                <w:rFonts w:cstheme="minorHAnsi"/>
                <w:b/>
                <w:szCs w:val="24"/>
              </w:rPr>
              <w:t>Addendum 3 to</w:t>
            </w:r>
            <w:r>
              <w:rPr>
                <w:rFonts w:cstheme="minorHAnsi"/>
                <w:b/>
                <w:szCs w:val="24"/>
              </w:rPr>
              <w:br/>
              <w:t>Document 81</w:t>
            </w:r>
            <w:r w:rsidR="00F44B1A" w:rsidRPr="00F44B1A">
              <w:rPr>
                <w:rFonts w:cstheme="minorHAnsi"/>
                <w:b/>
                <w:szCs w:val="24"/>
              </w:rPr>
              <w:t>-E</w:t>
            </w:r>
          </w:p>
        </w:tc>
      </w:tr>
      <w:tr w:rsidR="001A16ED" w:rsidRPr="00C324A8" w14:paraId="68E8995E" w14:textId="77777777" w:rsidTr="00C70164">
        <w:trPr>
          <w:cantSplit/>
          <w:trHeight w:val="23"/>
          <w:jc w:val="center"/>
        </w:trPr>
        <w:tc>
          <w:tcPr>
            <w:tcW w:w="7230" w:type="dxa"/>
          </w:tcPr>
          <w:p w14:paraId="6D105BD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7A10FD1"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CD6E6D4" w14:textId="77777777" w:rsidTr="00C70164">
        <w:trPr>
          <w:cantSplit/>
          <w:trHeight w:val="23"/>
          <w:jc w:val="center"/>
        </w:trPr>
        <w:tc>
          <w:tcPr>
            <w:tcW w:w="7230" w:type="dxa"/>
          </w:tcPr>
          <w:p w14:paraId="3E50A03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61E20A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1C40F32" w14:textId="77777777" w:rsidTr="00C70164">
        <w:trPr>
          <w:cantSplit/>
          <w:trHeight w:val="23"/>
          <w:jc w:val="center"/>
        </w:trPr>
        <w:tc>
          <w:tcPr>
            <w:tcW w:w="10031" w:type="dxa"/>
            <w:gridSpan w:val="2"/>
          </w:tcPr>
          <w:p w14:paraId="1B623626" w14:textId="77777777" w:rsidR="001A16ED" w:rsidRPr="00D96B4B" w:rsidRDefault="001A16ED" w:rsidP="000B596F">
            <w:pPr>
              <w:tabs>
                <w:tab w:val="left" w:pos="993"/>
              </w:tabs>
              <w:rPr>
                <w:rFonts w:ascii="Verdana" w:hAnsi="Verdana"/>
                <w:b/>
                <w:szCs w:val="24"/>
              </w:rPr>
            </w:pPr>
          </w:p>
        </w:tc>
      </w:tr>
      <w:tr w:rsidR="001A16ED" w:rsidRPr="00C324A8" w14:paraId="679B0D05" w14:textId="77777777" w:rsidTr="00C70164">
        <w:trPr>
          <w:cantSplit/>
          <w:trHeight w:val="23"/>
          <w:jc w:val="center"/>
        </w:trPr>
        <w:tc>
          <w:tcPr>
            <w:tcW w:w="10031" w:type="dxa"/>
            <w:gridSpan w:val="2"/>
          </w:tcPr>
          <w:p w14:paraId="7987BE43" w14:textId="77777777" w:rsidR="001A16ED" w:rsidRDefault="001A16ED" w:rsidP="000B596F">
            <w:pPr>
              <w:pStyle w:val="Source"/>
            </w:pPr>
            <w:r>
              <w:t>Member States of the Inter-American Telecommunication Commission (CITEL)</w:t>
            </w:r>
          </w:p>
        </w:tc>
      </w:tr>
      <w:tr w:rsidR="001A16ED" w:rsidRPr="00C324A8" w14:paraId="7992B825" w14:textId="77777777" w:rsidTr="00C70164">
        <w:trPr>
          <w:cantSplit/>
          <w:trHeight w:val="23"/>
          <w:jc w:val="center"/>
        </w:trPr>
        <w:tc>
          <w:tcPr>
            <w:tcW w:w="10031" w:type="dxa"/>
            <w:gridSpan w:val="2"/>
          </w:tcPr>
          <w:p w14:paraId="424F5C3F" w14:textId="77777777" w:rsidR="001A16ED" w:rsidRDefault="001A16ED" w:rsidP="000B596F">
            <w:pPr>
              <w:pStyle w:val="Title1"/>
            </w:pPr>
            <w:r>
              <w:t>Proposed draft new Resolution: Prioritization and strategic reform of ITU activities</w:t>
            </w:r>
          </w:p>
        </w:tc>
      </w:tr>
      <w:tr w:rsidR="001A16ED" w:rsidRPr="00C324A8" w14:paraId="40ED32E9" w14:textId="77777777" w:rsidTr="00C70164">
        <w:trPr>
          <w:cantSplit/>
          <w:trHeight w:val="23"/>
          <w:jc w:val="center"/>
        </w:trPr>
        <w:tc>
          <w:tcPr>
            <w:tcW w:w="10031" w:type="dxa"/>
            <w:gridSpan w:val="2"/>
          </w:tcPr>
          <w:p w14:paraId="0CAF6CCA" w14:textId="77777777" w:rsidR="001A16ED" w:rsidRDefault="001A16ED" w:rsidP="000B596F">
            <w:pPr>
              <w:pStyle w:val="Title2"/>
            </w:pPr>
          </w:p>
        </w:tc>
      </w:tr>
      <w:tr w:rsidR="001A16ED" w:rsidRPr="00C324A8" w14:paraId="7916B873" w14:textId="77777777" w:rsidTr="00C70164">
        <w:trPr>
          <w:cantSplit/>
          <w:trHeight w:val="23"/>
          <w:jc w:val="center"/>
        </w:trPr>
        <w:tc>
          <w:tcPr>
            <w:tcW w:w="10031" w:type="dxa"/>
            <w:gridSpan w:val="2"/>
          </w:tcPr>
          <w:p w14:paraId="66C6F0F4" w14:textId="77777777" w:rsidR="001A16ED" w:rsidRDefault="001A16ED" w:rsidP="000B596F">
            <w:pPr>
              <w:pStyle w:val="Agendaitem"/>
            </w:pPr>
          </w:p>
        </w:tc>
      </w:tr>
    </w:tbl>
    <w:bookmarkEnd w:id="6"/>
    <w:bookmarkEnd w:id="7"/>
    <w:p w14:paraId="56EC470D" w14:textId="77777777" w:rsidR="002D1862" w:rsidRPr="002D1862" w:rsidRDefault="002D1862" w:rsidP="002D1862">
      <w:pPr>
        <w:jc w:val="both"/>
        <w:rPr>
          <w:b/>
          <w:bCs/>
        </w:rPr>
      </w:pPr>
      <w:r w:rsidRPr="002D1862">
        <w:rPr>
          <w:b/>
          <w:bCs/>
        </w:rPr>
        <w:t xml:space="preserve">Abstract: </w:t>
      </w:r>
    </w:p>
    <w:p w14:paraId="416E9790" w14:textId="77777777" w:rsidR="002D1862" w:rsidRDefault="002D1862" w:rsidP="002D1862">
      <w:pPr>
        <w:spacing w:before="240"/>
        <w:jc w:val="both"/>
      </w:pPr>
      <w:r>
        <w:t xml:space="preserve">This CITEL contribution invites the Plenipotentiary Conference to consider a new resolution on “Prioritization and Strategic Reform of ITU Activities” </w:t>
      </w:r>
    </w:p>
    <w:p w14:paraId="4AB940FC" w14:textId="77777777" w:rsidR="002D1862" w:rsidRDefault="002D1862" w:rsidP="002D1862">
      <w:pPr>
        <w:spacing w:before="240"/>
        <w:jc w:val="both"/>
      </w:pPr>
      <w:r>
        <w:t>The proposed resolution would establish a standing Ad Hoc Group to operate over the next four years and comprehensively examine opportunities to prioritize and strategically reform ITU activities. The Ad Hoc Group would develop appropriate mechanisms to pursue three interrelated goals: (1) prioritize ITU activities to maximize value and reduce costs; (2) strengthen transparency and Member State oversight of the establishment and operation of ITU initiatives and similar activities; and (3) streamline and modernize ITU resolutions, reduce their number, and operationalize Article 34 of the ITU Convention concerning the financial responsibilities of conferences.</w:t>
      </w:r>
    </w:p>
    <w:p w14:paraId="77AEFE9F" w14:textId="3FFEDCF0" w:rsidR="001A16ED" w:rsidRDefault="002D1862" w:rsidP="002D1862">
      <w:pPr>
        <w:spacing w:before="240"/>
        <w:jc w:val="both"/>
      </w:pPr>
      <w:r>
        <w:t>The proposed new resolution leverages ongoing reform momentum and strengthens the ITU’s commitment to strategic reforms that promote accountability, transparency, and fiscal responsibility.</w:t>
      </w:r>
    </w:p>
    <w:p w14:paraId="0F6B1ADE" w14:textId="77777777" w:rsidR="0008540E" w:rsidRPr="0008540E" w:rsidRDefault="001A16ED" w:rsidP="00004F8B">
      <w:r>
        <w:br w:type="page"/>
      </w:r>
    </w:p>
    <w:p w14:paraId="1AF268EE" w14:textId="77777777" w:rsidR="00CD4766" w:rsidRDefault="00000000">
      <w:pPr>
        <w:pStyle w:val="Proposal"/>
      </w:pPr>
      <w:r>
        <w:lastRenderedPageBreak/>
        <w:t>ADD</w:t>
      </w:r>
      <w:r>
        <w:tab/>
        <w:t>IAP/81A3/1</w:t>
      </w:r>
    </w:p>
    <w:p w14:paraId="60B0215D" w14:textId="77777777" w:rsidR="00CD4766" w:rsidRDefault="00000000">
      <w:pPr>
        <w:pStyle w:val="ResNo"/>
      </w:pPr>
      <w:r>
        <w:t>Draft New Resolution [IAP-1]</w:t>
      </w:r>
    </w:p>
    <w:p w14:paraId="5FFCE1BF" w14:textId="7C5CEAF2" w:rsidR="00CD4766" w:rsidRDefault="002D1862">
      <w:pPr>
        <w:pStyle w:val="Restitle"/>
      </w:pPr>
      <w:r w:rsidRPr="002D1862">
        <w:t>Prioritization and Strategic Reform of ITU Activities</w:t>
      </w:r>
    </w:p>
    <w:p w14:paraId="3F3784F1" w14:textId="77777777" w:rsidR="002D1862" w:rsidRDefault="002D1862" w:rsidP="002D1862">
      <w:pPr>
        <w:pStyle w:val="Normalaftertitle"/>
      </w:pPr>
      <w:r>
        <w:t>The Plenipotentiary Conference of the International Telecommunication Union (Doha, 2026),</w:t>
      </w:r>
    </w:p>
    <w:p w14:paraId="4FF3D61C" w14:textId="77777777" w:rsidR="002D1862" w:rsidRDefault="002D1862" w:rsidP="002D1862">
      <w:pPr>
        <w:pStyle w:val="Call"/>
      </w:pPr>
      <w:r>
        <w:t>recalling</w:t>
      </w:r>
    </w:p>
    <w:p w14:paraId="5869D1BA" w14:textId="77777777" w:rsidR="002D1862" w:rsidRDefault="002D1862" w:rsidP="002D1862">
      <w:r w:rsidRPr="002D1862">
        <w:rPr>
          <w:i/>
          <w:iCs/>
        </w:rPr>
        <w:t>a)</w:t>
      </w:r>
      <w:r>
        <w:tab/>
        <w:t>the UN80 Initiative, the United Nations’ system-wide reform effort;</w:t>
      </w:r>
    </w:p>
    <w:p w14:paraId="6E9FB970" w14:textId="3E0566D3" w:rsidR="002D1862" w:rsidRDefault="002D1862" w:rsidP="002D1862">
      <w:r w:rsidRPr="002D1862">
        <w:rPr>
          <w:i/>
          <w:iCs/>
        </w:rPr>
        <w:t>b)</w:t>
      </w:r>
      <w:r>
        <w:tab/>
        <w:t>Decision 5 (Rev. Bucharest, 2022) of th</w:t>
      </w:r>
      <w:r>
        <w:t>e Plenipotentiary Conference</w:t>
      </w:r>
      <w:r>
        <w:t>, on revenue and expenses for the Union for the period 2024-2027, and particularly Annex 2, on measures for improving ITU’s efficiency and reducing its expenses,</w:t>
      </w:r>
    </w:p>
    <w:p w14:paraId="0099FAF9" w14:textId="77777777" w:rsidR="002D1862" w:rsidRDefault="002D1862" w:rsidP="002D1862">
      <w:pPr>
        <w:pStyle w:val="Call"/>
      </w:pPr>
      <w:r>
        <w:t>recognizing</w:t>
      </w:r>
    </w:p>
    <w:p w14:paraId="2E3DCA8C" w14:textId="70467794" w:rsidR="002D1862" w:rsidRDefault="002D1862" w:rsidP="002D1862">
      <w:r w:rsidRPr="002D1862">
        <w:rPr>
          <w:i/>
          <w:iCs/>
        </w:rPr>
        <w:t>a)</w:t>
      </w:r>
      <w:r>
        <w:tab/>
        <w:t>the success of the ITU Transformation Process and the ITU’s commitment to strategic reforms that promote accountability, transparency, and fiscal responsibility;</w:t>
      </w:r>
    </w:p>
    <w:p w14:paraId="13901728" w14:textId="77777777" w:rsidR="002D1862" w:rsidRDefault="002D1862" w:rsidP="002D1862">
      <w:r w:rsidRPr="002D1862">
        <w:rPr>
          <w:i/>
          <w:iCs/>
        </w:rPr>
        <w:t>b)</w:t>
      </w:r>
      <w:r>
        <w:tab/>
        <w:t>that members’ demands and expectations of the ITU exceed the available budgetary resources;</w:t>
      </w:r>
    </w:p>
    <w:p w14:paraId="19D524A6" w14:textId="77777777" w:rsidR="002D1862" w:rsidRDefault="002D1862" w:rsidP="002D1862">
      <w:r w:rsidRPr="002D1862">
        <w:rPr>
          <w:i/>
          <w:iCs/>
        </w:rPr>
        <w:t>c)</w:t>
      </w:r>
      <w:r>
        <w:tab/>
        <w:t>that the Council Working Group on financial and human resources (CWG-FHR) has identified a pressing need and shared interest for the ITU to engage in internal prioritization and strategic realignment of tasks and resources;</w:t>
      </w:r>
    </w:p>
    <w:p w14:paraId="20EBBE99" w14:textId="5A665B2E" w:rsidR="002D1862" w:rsidRDefault="002D1862" w:rsidP="002D1862">
      <w:r w:rsidRPr="002D1862">
        <w:rPr>
          <w:i/>
          <w:iCs/>
        </w:rPr>
        <w:t>d)</w:t>
      </w:r>
      <w:r>
        <w:tab/>
        <w:t>that a prioritization exercise will better equip the ITU to successfully deliver on its mission and strategic goals, to the benefit of all its members,</w:t>
      </w:r>
    </w:p>
    <w:p w14:paraId="0EFBBDF4" w14:textId="23C4DBA3" w:rsidR="002D1862" w:rsidRDefault="002D1862" w:rsidP="002D1862">
      <w:pPr>
        <w:pStyle w:val="Call"/>
      </w:pPr>
      <w:r>
        <w:t>considering</w:t>
      </w:r>
    </w:p>
    <w:p w14:paraId="6AB2E49C" w14:textId="5003CD06" w:rsidR="002D1862" w:rsidRDefault="002D1862" w:rsidP="002D1862">
      <w:r w:rsidRPr="002D1862">
        <w:rPr>
          <w:i/>
          <w:iCs/>
        </w:rPr>
        <w:t>a)</w:t>
      </w:r>
      <w:r>
        <w:tab/>
        <w:t>that the proliferation of resolutions across ITU world conferences and assemblies leads to duplication and overlap and is a major contributor to the expansion of ITU activities;</w:t>
      </w:r>
    </w:p>
    <w:p w14:paraId="6BF9283F" w14:textId="3CDD4D7A" w:rsidR="002D1862" w:rsidRDefault="002D1862" w:rsidP="002D1862">
      <w:r w:rsidRPr="002D1862">
        <w:rPr>
          <w:i/>
          <w:iCs/>
        </w:rPr>
        <w:t>b)</w:t>
      </w:r>
      <w:r>
        <w:tab/>
        <w:t>that there are existing tools and mechanisms, such as Annex 2 to Decision 5, to assist in assessing and optimizing ITU activities, but that additional details are needed at the implementation level;</w:t>
      </w:r>
    </w:p>
    <w:p w14:paraId="5089ECE0" w14:textId="77777777" w:rsidR="002D1862" w:rsidRDefault="002D1862" w:rsidP="002D1862">
      <w:r w:rsidRPr="002D1862">
        <w:rPr>
          <w:i/>
          <w:iCs/>
        </w:rPr>
        <w:t>c)</w:t>
      </w:r>
      <w:r>
        <w:tab/>
        <w:t>that the exponential increase in ITU meetings and events strains members’ limited time and resources,</w:t>
      </w:r>
    </w:p>
    <w:p w14:paraId="56512E1B" w14:textId="522AD395" w:rsidR="002D1862" w:rsidRDefault="002D1862" w:rsidP="002D1862">
      <w:pPr>
        <w:pStyle w:val="Call"/>
      </w:pPr>
      <w:r>
        <w:t>noting with concern</w:t>
      </w:r>
    </w:p>
    <w:p w14:paraId="0362AEC2" w14:textId="7140F018" w:rsidR="002D1862" w:rsidRDefault="002D1862" w:rsidP="002D1862">
      <w:r w:rsidRPr="002D1862">
        <w:rPr>
          <w:i/>
          <w:iCs/>
        </w:rPr>
        <w:t>a)</w:t>
      </w:r>
      <w:r>
        <w:tab/>
        <w:t xml:space="preserve">the increase in </w:t>
      </w:r>
      <w:r>
        <w:t>s</w:t>
      </w:r>
      <w:r>
        <w:t>ecretariat-led, and often externally funded, initiatives, Expert Groups, Advisory Bodies, Committees, and similar activities, which have significant financial and management implications requiring greater transparency and oversight;</w:t>
      </w:r>
    </w:p>
    <w:p w14:paraId="7BD6FFFF" w14:textId="0D6EDDD5" w:rsidR="002D1862" w:rsidRDefault="002D1862" w:rsidP="002D1862">
      <w:r w:rsidRPr="002D1862">
        <w:rPr>
          <w:i/>
          <w:iCs/>
        </w:rPr>
        <w:t>b)</w:t>
      </w:r>
      <w:r>
        <w:tab/>
        <w:t>that members lack visibility into how these activities are proposed, vetted, prioritized, funded, established, or terminated;</w:t>
      </w:r>
    </w:p>
    <w:p w14:paraId="0227CA55" w14:textId="6347C001" w:rsidR="002D1862" w:rsidRDefault="002D1862" w:rsidP="002D1862">
      <w:r w:rsidRPr="002D1862">
        <w:rPr>
          <w:i/>
          <w:iCs/>
        </w:rPr>
        <w:t>c)</w:t>
      </w:r>
      <w:r>
        <w:tab/>
        <w:t>that, unlike other ITU mechanisms, there are no rules or procedures governing the establishment or operation of these kinds of activities, aside from ad hoc terms of reference;</w:t>
      </w:r>
    </w:p>
    <w:p w14:paraId="4B89D98C" w14:textId="529DC6CC" w:rsidR="002D1862" w:rsidRDefault="002D1862" w:rsidP="002D1862">
      <w:r w:rsidRPr="002D1862">
        <w:rPr>
          <w:i/>
          <w:iCs/>
        </w:rPr>
        <w:lastRenderedPageBreak/>
        <w:t>d)</w:t>
      </w:r>
      <w:r>
        <w:tab/>
        <w:t>that these ad hoc initiatives are not systematically integrated into the ITU’s strategic planning processes or adequately addressed in institutional risk assessment exercises,</w:t>
      </w:r>
    </w:p>
    <w:p w14:paraId="026BB252" w14:textId="09E0512F" w:rsidR="002D1862" w:rsidRDefault="002D1862" w:rsidP="002D1862">
      <w:pPr>
        <w:pStyle w:val="Call"/>
      </w:pPr>
      <w:r>
        <w:t>resolves</w:t>
      </w:r>
    </w:p>
    <w:p w14:paraId="78A4B1D4" w14:textId="77777777" w:rsidR="002D1862" w:rsidRDefault="002D1862" w:rsidP="002D1862">
      <w:r>
        <w:t>1</w:t>
      </w:r>
      <w:r>
        <w:tab/>
        <w:t xml:space="preserve">to examine opportunities to pursue prioritization and strategic reform of ITU activities, to ensure the ITU remains well-positioned to meet the needs of its members within available resource constraints; </w:t>
      </w:r>
    </w:p>
    <w:p w14:paraId="6146FB24" w14:textId="77777777" w:rsidR="002D1862" w:rsidRDefault="002D1862" w:rsidP="002D1862">
      <w:r>
        <w:t>2</w:t>
      </w:r>
      <w:r>
        <w:tab/>
        <w:t xml:space="preserve">that such examination should consider, identify, and develop appropriate mechanisms to: </w:t>
      </w:r>
    </w:p>
    <w:p w14:paraId="7B1D7ED9" w14:textId="77777777" w:rsidR="002D1862" w:rsidRDefault="002D1862" w:rsidP="002D1862">
      <w:pPr>
        <w:pStyle w:val="enumlev1"/>
      </w:pPr>
      <w:r>
        <w:t>i)</w:t>
      </w:r>
      <w:r>
        <w:tab/>
        <w:t>Prioritize ITU activities, with a view towards maximizing value and strategic impact while reducing costs;</w:t>
      </w:r>
    </w:p>
    <w:p w14:paraId="359844D1" w14:textId="77777777" w:rsidR="002D1862" w:rsidRDefault="002D1862" w:rsidP="002D1862">
      <w:pPr>
        <w:pStyle w:val="enumlev1"/>
      </w:pPr>
      <w:r>
        <w:t>ii)</w:t>
      </w:r>
      <w:r>
        <w:tab/>
        <w:t>Increase transparency and Member State oversight over the establishment, funding, and operation of ITU initiatives and similar activities; and</w:t>
      </w:r>
    </w:p>
    <w:p w14:paraId="2D94D4AD" w14:textId="77777777" w:rsidR="002D1862" w:rsidRDefault="002D1862" w:rsidP="002D1862">
      <w:pPr>
        <w:pStyle w:val="enumlev1"/>
      </w:pPr>
      <w:r>
        <w:t>iii)</w:t>
      </w:r>
      <w:r>
        <w:tab/>
        <w:t>Streamline, modernize, and minimize resolutions as well as operationalize Article 34 of the ITU Convention on financial responsibilities of conferences, consistent with clause 26 of Annex 2 to Decision 5,</w:t>
      </w:r>
    </w:p>
    <w:p w14:paraId="41AFC704" w14:textId="7D974014" w:rsidR="002D1862" w:rsidRDefault="002D1862" w:rsidP="002D1862">
      <w:pPr>
        <w:pStyle w:val="Call"/>
      </w:pPr>
      <w:r>
        <w:t>instructs the Council</w:t>
      </w:r>
    </w:p>
    <w:p w14:paraId="0F72B9F3" w14:textId="77777777" w:rsidR="002D1862" w:rsidRDefault="002D1862" w:rsidP="002D1862">
      <w:r>
        <w:t>1</w:t>
      </w:r>
      <w:r>
        <w:tab/>
        <w:t>to establish, at the extraordinary meeting of its 2027 session, an Ad Hoc Group on prioritization and strategic reform that reports to the CWG-FHR;</w:t>
      </w:r>
    </w:p>
    <w:p w14:paraId="3F545C6B" w14:textId="2E822E76" w:rsidR="002D1862" w:rsidRDefault="002D1862" w:rsidP="002D1862">
      <w:r>
        <w:t>2</w:t>
      </w:r>
      <w:r>
        <w:tab/>
        <w:t>to examine the reports of the Ad Hoc Group at its annual sessions;</w:t>
      </w:r>
    </w:p>
    <w:p w14:paraId="226A571B" w14:textId="77777777" w:rsidR="002D1862" w:rsidRDefault="002D1862" w:rsidP="002D1862">
      <w:r>
        <w:t>3</w:t>
      </w:r>
      <w:r>
        <w:tab/>
        <w:t>to consider any proposals and recommendations from the Ad Hoc Group on a rolling basis at its annual sessions and take necessary action, as appropriate; and</w:t>
      </w:r>
    </w:p>
    <w:p w14:paraId="649C5F4D" w14:textId="77777777" w:rsidR="002D1862" w:rsidRDefault="002D1862" w:rsidP="002D1862">
      <w:r>
        <w:t>4</w:t>
      </w:r>
      <w:r>
        <w:tab/>
        <w:t>to submit the final report of the Ad Hoc Group to the 2030 plenipotentiary conference with the Council’s comments,</w:t>
      </w:r>
    </w:p>
    <w:p w14:paraId="5E010B86" w14:textId="718A19F4" w:rsidR="002D1862" w:rsidRDefault="002D1862" w:rsidP="00014C4D">
      <w:pPr>
        <w:pStyle w:val="Call"/>
      </w:pPr>
      <w:r>
        <w:t>instructs the Council working group on financial and human resources</w:t>
      </w:r>
    </w:p>
    <w:p w14:paraId="69240BDD" w14:textId="5A12937C" w:rsidR="002D1862" w:rsidRDefault="002D1862" w:rsidP="002D1862">
      <w:r>
        <w:t>1</w:t>
      </w:r>
      <w:r>
        <w:tab/>
        <w:t xml:space="preserve">to develop and approve, at its January 2027 meeting, terms of reference for the Ad Hoc Group consistent with the goals in </w:t>
      </w:r>
      <w:r w:rsidRPr="00014C4D">
        <w:rPr>
          <w:i/>
          <w:iCs/>
        </w:rPr>
        <w:t>resolves</w:t>
      </w:r>
      <w:r>
        <w:t xml:space="preserve"> 2 above;</w:t>
      </w:r>
    </w:p>
    <w:p w14:paraId="26E8049D" w14:textId="77777777" w:rsidR="002D1862" w:rsidRDefault="002D1862" w:rsidP="002D1862">
      <w:r>
        <w:t>2</w:t>
      </w:r>
      <w:r>
        <w:tab/>
        <w:t>to convene the Ad Hoc Group at each Council Working Group session, or more frequently if needed;</w:t>
      </w:r>
    </w:p>
    <w:p w14:paraId="2E05C105" w14:textId="2D8D5A50" w:rsidR="002D1862" w:rsidRDefault="002D1862" w:rsidP="002D1862">
      <w:r>
        <w:t>3</w:t>
      </w:r>
      <w:r>
        <w:tab/>
        <w:t xml:space="preserve">to send a report annually to </w:t>
      </w:r>
      <w:r w:rsidR="00014C4D">
        <w:t xml:space="preserve">the </w:t>
      </w:r>
      <w:r>
        <w:t>Council on the activities and progress of the Ad Hoc Group; and</w:t>
      </w:r>
    </w:p>
    <w:p w14:paraId="2DCAA952" w14:textId="77777777" w:rsidR="002D1862" w:rsidRDefault="002D1862" w:rsidP="002D1862">
      <w:r>
        <w:t>4</w:t>
      </w:r>
      <w:r>
        <w:tab/>
        <w:t>to submit the final report of the Ad Hoc Group to the Council for consideration and subsequent submission to the 2030 plenipotentiary conference,</w:t>
      </w:r>
    </w:p>
    <w:p w14:paraId="52CE73B9" w14:textId="6502BEA5" w:rsidR="002D1862" w:rsidRDefault="002D1862" w:rsidP="00014C4D">
      <w:pPr>
        <w:pStyle w:val="Call"/>
      </w:pPr>
      <w:r>
        <w:t>instructs the Secretary General</w:t>
      </w:r>
    </w:p>
    <w:p w14:paraId="553A5E3E" w14:textId="2588C2E1" w:rsidR="002D1862" w:rsidRDefault="002D1862" w:rsidP="002D1862">
      <w:r>
        <w:t>to provide all necessary support to contribute to the work of the Ad Hoc Group,</w:t>
      </w:r>
    </w:p>
    <w:p w14:paraId="3B3E48CA" w14:textId="3558AA44" w:rsidR="002D1862" w:rsidRDefault="002D1862" w:rsidP="00014C4D">
      <w:pPr>
        <w:pStyle w:val="Call"/>
      </w:pPr>
      <w:r>
        <w:t>instructs the Directors of the Bureaux</w:t>
      </w:r>
    </w:p>
    <w:p w14:paraId="5F7B462C" w14:textId="77777777" w:rsidR="002D1862" w:rsidRDefault="002D1862" w:rsidP="002D1862">
      <w:r>
        <w:t>to support and contribute to the activities of the Ad Hoc Group within their area of competence, with advice from respective Sector advisory groups,</w:t>
      </w:r>
    </w:p>
    <w:p w14:paraId="173FE931" w14:textId="0AA8F2DB" w:rsidR="002D1862" w:rsidRDefault="002D1862" w:rsidP="00014C4D">
      <w:pPr>
        <w:pStyle w:val="Call"/>
      </w:pPr>
      <w:r>
        <w:t>invites Member States and Sector Members</w:t>
      </w:r>
    </w:p>
    <w:p w14:paraId="09E1C329" w14:textId="77777777" w:rsidR="002D1862" w:rsidRDefault="002D1862" w:rsidP="002D1862">
      <w:r>
        <w:t>to actively participate in and contribute to the Ad Hoc Group,</w:t>
      </w:r>
    </w:p>
    <w:p w14:paraId="3508C4E0" w14:textId="0E79691E" w:rsidR="002D1862" w:rsidRDefault="002D1862" w:rsidP="00014C4D">
      <w:pPr>
        <w:pStyle w:val="Call"/>
      </w:pPr>
      <w:r>
        <w:lastRenderedPageBreak/>
        <w:t>invites the 2030 plenipotentiary conference</w:t>
      </w:r>
    </w:p>
    <w:p w14:paraId="036D4AFC" w14:textId="2C759C12" w:rsidR="00CD4766" w:rsidRDefault="002D1862" w:rsidP="002D1862">
      <w:r>
        <w:t>to consider the report of the Ad Hoc Group and take necessary action, as appropriate.</w:t>
      </w:r>
    </w:p>
    <w:p w14:paraId="12E25CEC" w14:textId="62C26828" w:rsidR="00CD4766" w:rsidRDefault="00CD4766">
      <w:pPr>
        <w:pStyle w:val="Reasons"/>
      </w:pPr>
    </w:p>
    <w:p w14:paraId="58F21AB7" w14:textId="0A62CB95" w:rsidR="00014C4D" w:rsidRDefault="00014C4D" w:rsidP="00014C4D">
      <w:pPr>
        <w:jc w:val="center"/>
      </w:pPr>
      <w:r>
        <w:t>_________________</w:t>
      </w:r>
    </w:p>
    <w:sectPr w:rsidR="00014C4D"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FB45B" w14:textId="77777777" w:rsidR="00A26B22" w:rsidRDefault="00A26B22">
      <w:r>
        <w:separator/>
      </w:r>
    </w:p>
  </w:endnote>
  <w:endnote w:type="continuationSeparator" w:id="0">
    <w:p w14:paraId="492C564A" w14:textId="77777777" w:rsidR="00A26B22" w:rsidRDefault="00A26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F39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118B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A3E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D0797" w14:textId="77777777" w:rsidR="00A26B22" w:rsidRDefault="00A26B22">
      <w:r>
        <w:t>____________________</w:t>
      </w:r>
    </w:p>
  </w:footnote>
  <w:footnote w:type="continuationSeparator" w:id="0">
    <w:p w14:paraId="718EF324" w14:textId="77777777" w:rsidR="00A26B22" w:rsidRDefault="00A26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821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6C18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7DBF453" w14:textId="77777777" w:rsidR="00CE1B90" w:rsidRDefault="00CE1B90" w:rsidP="004F7925">
    <w:pPr>
      <w:pStyle w:val="Header"/>
    </w:pPr>
    <w:r>
      <w:t>PP</w:t>
    </w:r>
    <w:r w:rsidR="000235EC">
      <w:t>2</w:t>
    </w:r>
    <w:r w:rsidR="00EF3B7A">
      <w:t>6</w:t>
    </w:r>
    <w:r>
      <w:t>/81(Add.3)-E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6685"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4C4D"/>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D1862"/>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26B22"/>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D4766"/>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928DA"/>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F9BA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6cd06e8c-66bc-47b8-aabf-80a9c6281180">DPM</DPM_x0020_Author>
    <DPM_x0020_File_x0020_name xmlns="6cd06e8c-66bc-47b8-aabf-80a9c6281180">S26-PP-C-0081!A3!MSW-E</DPM_x0020_File_x0020_name>
    <DPM_x0020_Version xmlns="6cd06e8c-66bc-47b8-aabf-80a9c6281180">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cd06e8c-66bc-47b8-aabf-80a9c6281180" targetNamespace="http://schemas.microsoft.com/office/2006/metadata/properties" ma:root="true" ma:fieldsID="d41af5c836d734370eb92e7ee5f83852" ns2:_="" ns3:_="">
    <xsd:import namespace="996b2e75-67fd-4955-a3b0-5ab9934cb50b"/>
    <xsd:import namespace="6cd06e8c-66bc-47b8-aabf-80a9c628118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cd06e8c-66bc-47b8-aabf-80a9c628118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cd06e8c-66bc-47b8-aabf-80a9c6281180"/>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cd06e8c-66bc-47b8-aabf-80a9c6281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5277</Characters>
  <Application>Microsoft Office Word</Application>
  <DocSecurity>0</DocSecurity>
  <Lines>175</Lines>
  <Paragraphs>74</Paragraphs>
  <ScaleCrop>false</ScaleCrop>
  <HeadingPairs>
    <vt:vector size="2" baseType="variant">
      <vt:variant>
        <vt:lpstr>Title</vt:lpstr>
      </vt:variant>
      <vt:variant>
        <vt:i4>1</vt:i4>
      </vt:variant>
    </vt:vector>
  </HeadingPairs>
  <TitlesOfParts>
    <vt:vector size="1" baseType="lpstr">
      <vt:lpstr>S26-PP-C-0081!A3!MSW-E</vt:lpstr>
    </vt:vector>
  </TitlesOfParts>
  <Manager/>
  <Company/>
  <LinksUpToDate>false</LinksUpToDate>
  <CharactersWithSpaces>6022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S26-PP-C-0081!A3!MSW-E</dc:title>
  <dc:subject>ITU Plenipotentiary Conference (PP-26)</dc:subject>
  <dc:creator>Documents Proposals Manager (DPM)</dc:creator>
  <cp:keywords>DPM_v2026.8.25.1_prod</cp:keywords>
  <cp:lastModifiedBy>ITUGBS</cp:lastModifiedBy>
  <cp:revision>2</cp:revision>
  <dcterms:created xsi:type="dcterms:W3CDTF">2026-10-18T16:57:00Z</dcterms:created>
  <dcterms:modified xsi:type="dcterms:W3CDTF">2026-10-18T16:57:00Z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