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342CF863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6F3DB32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2434B0A3" wp14:editId="14691BE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4230A04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C41C508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04ED2F3B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E8235A9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4517B1F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23BA2527" w14:textId="77777777" w:rsidTr="005A329F">
        <w:trPr>
          <w:cantSplit/>
          <w:jc w:val="center"/>
        </w:trPr>
        <w:tc>
          <w:tcPr>
            <w:tcW w:w="7229" w:type="dxa"/>
          </w:tcPr>
          <w:p w14:paraId="1A398B2E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2C9D25A6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b/>
                <w:szCs w:val="24"/>
                <w:lang w:val="en-US"/>
              </w:rPr>
              <w:t>Addéndum</w:t>
            </w:r>
            <w:proofErr w:type="spellEnd"/>
            <w:r>
              <w:rPr>
                <w:rFonts w:cstheme="minorHAnsi"/>
                <w:b/>
                <w:szCs w:val="24"/>
                <w:lang w:val="en-US"/>
              </w:rPr>
              <w:t xml:space="preserve"> 2 al</w:t>
            </w:r>
            <w:r>
              <w:rPr>
                <w:rFonts w:cstheme="minorHAnsi"/>
                <w:b/>
                <w:szCs w:val="24"/>
                <w:lang w:val="en-US"/>
              </w:rPr>
              <w:br/>
            </w:r>
            <w:proofErr w:type="spellStart"/>
            <w:r>
              <w:rPr>
                <w:rFonts w:cstheme="minorHAnsi"/>
                <w:b/>
                <w:szCs w:val="24"/>
                <w:lang w:val="en-US"/>
              </w:rPr>
              <w:t>Documento</w:t>
            </w:r>
            <w:proofErr w:type="spellEnd"/>
            <w:r>
              <w:rPr>
                <w:rFonts w:cstheme="minorHAnsi"/>
                <w:b/>
                <w:szCs w:val="24"/>
                <w:lang w:val="en-US"/>
              </w:rPr>
              <w:t xml:space="preserve"> 81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3E2AEB1A" w14:textId="77777777" w:rsidTr="005A329F">
        <w:trPr>
          <w:cantSplit/>
          <w:jc w:val="center"/>
        </w:trPr>
        <w:tc>
          <w:tcPr>
            <w:tcW w:w="7229" w:type="dxa"/>
          </w:tcPr>
          <w:p w14:paraId="37300676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874A6AC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 xml:space="preserve">16 de </w:t>
            </w:r>
            <w:proofErr w:type="spellStart"/>
            <w:r w:rsidRPr="004C22ED">
              <w:rPr>
                <w:rFonts w:cstheme="minorHAnsi"/>
                <w:b/>
                <w:szCs w:val="24"/>
                <w:lang w:val="en-US"/>
              </w:rPr>
              <w:t>octubre</w:t>
            </w:r>
            <w:proofErr w:type="spellEnd"/>
            <w:r w:rsidRPr="004C22ED">
              <w:rPr>
                <w:rFonts w:cstheme="minorHAnsi"/>
                <w:b/>
                <w:szCs w:val="24"/>
                <w:lang w:val="en-US"/>
              </w:rPr>
              <w:t xml:space="preserve"> de 2026</w:t>
            </w:r>
          </w:p>
        </w:tc>
      </w:tr>
      <w:tr w:rsidR="00255FA1" w:rsidRPr="0002785D" w14:paraId="5BCC4280" w14:textId="77777777" w:rsidTr="005A329F">
        <w:trPr>
          <w:cantSplit/>
          <w:jc w:val="center"/>
        </w:trPr>
        <w:tc>
          <w:tcPr>
            <w:tcW w:w="7229" w:type="dxa"/>
          </w:tcPr>
          <w:p w14:paraId="0F8A1D63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09629BE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 xml:space="preserve">Original: </w:t>
            </w:r>
            <w:proofErr w:type="spellStart"/>
            <w:r w:rsidRPr="004C22ED">
              <w:rPr>
                <w:rFonts w:cstheme="minorHAnsi"/>
                <w:b/>
                <w:szCs w:val="24"/>
                <w:lang w:val="en-US"/>
              </w:rPr>
              <w:t>inglés</w:t>
            </w:r>
            <w:proofErr w:type="spellEnd"/>
          </w:p>
        </w:tc>
      </w:tr>
      <w:tr w:rsidR="00255FA1" w:rsidRPr="0002785D" w14:paraId="585C4ED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6201898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0BDF4B8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84A77B5" w14:textId="561412A6" w:rsidR="00255FA1" w:rsidRPr="00A61250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A61250">
              <w:rPr>
                <w:lang w:val="es-ES"/>
              </w:rPr>
              <w:t>Estados Miembros de la Comisión Interamericana de Telecomunicaciones (CITEL)</w:t>
            </w:r>
          </w:p>
        </w:tc>
      </w:tr>
      <w:tr w:rsidR="00255FA1" w:rsidRPr="00A61250" w14:paraId="777BA2C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0611552" w14:textId="73924D37" w:rsidR="00255FA1" w:rsidRPr="00A61250" w:rsidRDefault="00A61250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A61250">
              <w:rPr>
                <w:lang w:val="es-ES"/>
              </w:rPr>
              <w:t xml:space="preserve">Propuesta de no </w:t>
            </w:r>
            <w:r w:rsidR="00F37534">
              <w:rPr>
                <w:lang w:val="es-ES"/>
              </w:rPr>
              <w:t>modificación (</w:t>
            </w:r>
            <w:r w:rsidR="00F37534" w:rsidRPr="00C1751F">
              <w:rPr>
                <w:u w:val="single"/>
                <w:lang w:val="es-ES"/>
              </w:rPr>
              <w:t>NOC</w:t>
            </w:r>
            <w:r w:rsidR="00F37534">
              <w:rPr>
                <w:lang w:val="es-ES"/>
              </w:rPr>
              <w:t>) de</w:t>
            </w:r>
            <w:r w:rsidRPr="00A61250">
              <w:rPr>
                <w:lang w:val="es-ES"/>
              </w:rPr>
              <w:t xml:space="preserve"> la resolución</w:t>
            </w:r>
            <w:r w:rsidR="00255FA1" w:rsidRPr="00A61250">
              <w:rPr>
                <w:lang w:val="es-ES"/>
              </w:rPr>
              <w:t xml:space="preserve"> 101</w:t>
            </w:r>
          </w:p>
        </w:tc>
      </w:tr>
      <w:tr w:rsidR="00255FA1" w:rsidRPr="00A61250" w14:paraId="2AF8D5D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D1FE09D" w14:textId="77777777" w:rsidR="00255FA1" w:rsidRPr="00A61250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F37534" w14:paraId="1DAD2E2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02AE074" w14:textId="65AFE11C" w:rsidR="00A61250" w:rsidRPr="00A61250" w:rsidRDefault="00A61250" w:rsidP="00A61250">
            <w:pPr>
              <w:rPr>
                <w:b/>
                <w:bCs/>
                <w:lang w:val="es-ES"/>
              </w:rPr>
            </w:pPr>
            <w:bookmarkStart w:id="5" w:name="dtitle3" w:colFirst="0" w:colLast="0"/>
            <w:bookmarkEnd w:id="4"/>
            <w:r w:rsidRPr="00A61250">
              <w:rPr>
                <w:b/>
                <w:bCs/>
                <w:lang w:val="es-ES" w:eastAsia="zh-CN"/>
              </w:rPr>
              <w:t>Resumen:</w:t>
            </w:r>
            <w:r w:rsidRPr="00A61250">
              <w:rPr>
                <w:b/>
                <w:bCs/>
                <w:lang w:val="es-ES"/>
              </w:rPr>
              <w:t xml:space="preserve"> </w:t>
            </w:r>
          </w:p>
          <w:p w14:paraId="5A877444" w14:textId="6EF3DD01" w:rsidR="00A61250" w:rsidRPr="00A61250" w:rsidRDefault="00A61250" w:rsidP="00A61250">
            <w:pPr>
              <w:rPr>
                <w:lang w:val="es-ES"/>
              </w:rPr>
            </w:pPr>
            <w:r w:rsidRPr="00A61250">
              <w:rPr>
                <w:lang w:val="es-ES"/>
              </w:rPr>
              <w:t xml:space="preserve">La CITEL propone </w:t>
            </w:r>
            <w:r w:rsidR="00F37534">
              <w:rPr>
                <w:lang w:val="es-ES"/>
              </w:rPr>
              <w:t>no modificar</w:t>
            </w:r>
            <w:r w:rsidRPr="00A61250">
              <w:rPr>
                <w:lang w:val="es-ES"/>
              </w:rPr>
              <w:t xml:space="preserve"> (NOC) la Resolución 101 (Rev. Bucarest, 2022) de la Conferencia de Plenipotenciarios por los motivos que se exponen a continuación.</w:t>
            </w:r>
          </w:p>
          <w:p w14:paraId="506EBF14" w14:textId="7F11FF3B" w:rsidR="00A61250" w:rsidRPr="00F37534" w:rsidRDefault="00A61250" w:rsidP="00A61250">
            <w:pPr>
              <w:rPr>
                <w:lang w:val="es-ES"/>
              </w:rPr>
            </w:pPr>
            <w:r w:rsidRPr="00A61250">
              <w:rPr>
                <w:lang w:val="es-ES"/>
              </w:rPr>
              <w:t xml:space="preserve">Esta propuesta tiene por objeto mantener la estabilidad y la </w:t>
            </w:r>
            <w:r w:rsidR="007B4610">
              <w:rPr>
                <w:lang w:val="es-ES"/>
              </w:rPr>
              <w:t>seguridad jurídica</w:t>
            </w:r>
            <w:r w:rsidRPr="00A61250">
              <w:rPr>
                <w:lang w:val="es-ES"/>
              </w:rPr>
              <w:t xml:space="preserve"> en las actividades de la UIT relacionadas con las redes basadas en </w:t>
            </w:r>
            <w:r w:rsidR="00F37534">
              <w:rPr>
                <w:lang w:val="es-ES"/>
              </w:rPr>
              <w:t>el protocolo Internet (</w:t>
            </w:r>
            <w:r w:rsidRPr="00A61250">
              <w:rPr>
                <w:lang w:val="es-ES"/>
              </w:rPr>
              <w:t>IP</w:t>
            </w:r>
            <w:r w:rsidR="00F37534">
              <w:rPr>
                <w:lang w:val="es-ES"/>
              </w:rPr>
              <w:t>)</w:t>
            </w:r>
            <w:r w:rsidRPr="00A61250">
              <w:rPr>
                <w:lang w:val="es-ES"/>
              </w:rPr>
              <w:t>. Es coherente con la</w:t>
            </w:r>
            <w:r w:rsidR="00F37534" w:rsidRPr="00A61250">
              <w:rPr>
                <w:lang w:val="es-ES"/>
              </w:rPr>
              <w:t xml:space="preserve"> </w:t>
            </w:r>
            <w:r w:rsidRPr="00A61250">
              <w:rPr>
                <w:lang w:val="es-ES"/>
              </w:rPr>
              <w:t xml:space="preserve">postura </w:t>
            </w:r>
            <w:r w:rsidR="007B4610">
              <w:rPr>
                <w:lang w:val="es-ES"/>
              </w:rPr>
              <w:t>planteada anteriormente por</w:t>
            </w:r>
            <w:r w:rsidRPr="00A61250">
              <w:rPr>
                <w:lang w:val="es-ES"/>
              </w:rPr>
              <w:t xml:space="preserve"> la CITEL en la PP-22, que </w:t>
            </w:r>
            <w:r w:rsidR="00F37534">
              <w:rPr>
                <w:lang w:val="es-ES"/>
              </w:rPr>
              <w:t xml:space="preserve">era favorable a </w:t>
            </w:r>
            <w:r w:rsidR="007B4610">
              <w:rPr>
                <w:lang w:val="es-ES"/>
              </w:rPr>
              <w:t>no modificar</w:t>
            </w:r>
            <w:r w:rsidRPr="00A61250">
              <w:rPr>
                <w:lang w:val="es-ES"/>
              </w:rPr>
              <w:t xml:space="preserve"> la Resolución 101 </w:t>
            </w:r>
            <w:r w:rsidRPr="00F37534">
              <w:rPr>
                <w:lang w:val="es-ES"/>
              </w:rPr>
              <w:t>(</w:t>
            </w:r>
            <w:hyperlink r:id="rId12" w:history="1">
              <w:r w:rsidRPr="00F37534">
                <w:rPr>
                  <w:rStyle w:val="Hyperlink"/>
                  <w:lang w:val="es-ES"/>
                </w:rPr>
                <w:t>IAP/76/A31</w:t>
              </w:r>
            </w:hyperlink>
            <w:r w:rsidRPr="00F37534">
              <w:rPr>
                <w:lang w:val="es-ES"/>
              </w:rPr>
              <w:t>).</w:t>
            </w:r>
          </w:p>
          <w:p w14:paraId="2730FED6" w14:textId="77777777" w:rsidR="00255FA1" w:rsidRPr="00F37534" w:rsidRDefault="00255FA1" w:rsidP="003B5DC9">
            <w:pPr>
              <w:pStyle w:val="Agendaitem"/>
              <w:rPr>
                <w:lang w:val="es-ES"/>
              </w:rPr>
            </w:pPr>
          </w:p>
        </w:tc>
      </w:tr>
      <w:bookmarkEnd w:id="5"/>
    </w:tbl>
    <w:p w14:paraId="17CFB8C1" w14:textId="77777777" w:rsidR="00504FD4" w:rsidRPr="00F37534" w:rsidRDefault="00504FD4" w:rsidP="00930E84">
      <w:pPr>
        <w:rPr>
          <w:lang w:val="es-ES"/>
        </w:rPr>
      </w:pPr>
    </w:p>
    <w:p w14:paraId="16EF74E5" w14:textId="77777777" w:rsidR="00255FA1" w:rsidRPr="00F37534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F37534">
        <w:rPr>
          <w:rStyle w:val="PageNumber"/>
          <w:lang w:val="es-ES"/>
        </w:rPr>
        <w:br w:type="page"/>
      </w:r>
    </w:p>
    <w:p w14:paraId="7B64322E" w14:textId="77777777" w:rsidR="00CD4183" w:rsidRPr="00A61250" w:rsidRDefault="00D21918">
      <w:pPr>
        <w:pStyle w:val="Proposal"/>
        <w:rPr>
          <w:lang w:val="es-ES"/>
        </w:rPr>
      </w:pPr>
      <w:r w:rsidRPr="00A61250">
        <w:rPr>
          <w:u w:val="single"/>
          <w:lang w:val="es-ES"/>
        </w:rPr>
        <w:lastRenderedPageBreak/>
        <w:t>NOC</w:t>
      </w:r>
      <w:r w:rsidRPr="00A61250">
        <w:rPr>
          <w:lang w:val="es-ES"/>
        </w:rPr>
        <w:tab/>
        <w:t>IAP/81A2/1</w:t>
      </w:r>
    </w:p>
    <w:p w14:paraId="4DE6095E" w14:textId="77777777" w:rsidR="00CE6A10" w:rsidRPr="00C27D2A" w:rsidRDefault="00D21918" w:rsidP="009E270A">
      <w:pPr>
        <w:pStyle w:val="ResNo"/>
      </w:pPr>
      <w:r w:rsidRPr="00C27D2A">
        <w:t xml:space="preserve">RESOLUCIÓN </w:t>
      </w:r>
      <w:r w:rsidRPr="00C27D2A">
        <w:rPr>
          <w:rStyle w:val="href"/>
        </w:rPr>
        <w:t>101</w:t>
      </w:r>
      <w:r w:rsidRPr="00C27D2A">
        <w:t xml:space="preserve"> (REV. BUCAREST, 2022)</w:t>
      </w:r>
    </w:p>
    <w:p w14:paraId="0D024254" w14:textId="77777777" w:rsidR="00CE6A10" w:rsidRPr="00C27D2A" w:rsidRDefault="00D21918" w:rsidP="009E270A">
      <w:pPr>
        <w:pStyle w:val="Restitle"/>
      </w:pPr>
      <w:r w:rsidRPr="00C27D2A">
        <w:t>Redes basadas en el protocolo Internet</w:t>
      </w:r>
    </w:p>
    <w:p w14:paraId="2AB74890" w14:textId="77777777" w:rsidR="00CE6A10" w:rsidRPr="00C27D2A" w:rsidRDefault="00D21918" w:rsidP="009E270A">
      <w:pPr>
        <w:pStyle w:val="Normalaftertitle"/>
      </w:pPr>
      <w:r w:rsidRPr="00C27D2A">
        <w:t>La Conferencia de Plenipotenciarios de la Unión Internacional de Telecomunicaciones (Bucarest, 2022),</w:t>
      </w:r>
    </w:p>
    <w:p w14:paraId="5467910E" w14:textId="668095D3" w:rsidR="00CD4183" w:rsidRDefault="00D21918">
      <w:pPr>
        <w:pStyle w:val="Reasons"/>
      </w:pPr>
      <w:r>
        <w:rPr>
          <w:b/>
        </w:rPr>
        <w:t>Motivos:</w:t>
      </w:r>
      <w:r>
        <w:tab/>
      </w:r>
      <w:r w:rsidR="008A5CD6">
        <w:t>E</w:t>
      </w:r>
      <w:r w:rsidR="008A5CD6" w:rsidRPr="008A5CD6">
        <w:t>l texto vigente es suficientemente amplio y flexible para que la Unión pueda responder a los cambios del entorno de telecomunicaciones/TIC</w:t>
      </w:r>
      <w:r w:rsidR="008A5CD6">
        <w:t xml:space="preserve">. </w:t>
      </w:r>
      <w:r w:rsidR="007B4610">
        <w:t>Así pues</w:t>
      </w:r>
      <w:r w:rsidR="008A5CD6">
        <w:t>, no es necesario realizar ninguna modificación.</w:t>
      </w:r>
    </w:p>
    <w:p w14:paraId="6CE5AD73" w14:textId="77777777" w:rsidR="004265B4" w:rsidRPr="004265B4" w:rsidRDefault="004265B4" w:rsidP="004265B4">
      <w:pPr>
        <w:jc w:val="center"/>
      </w:pPr>
      <w:r w:rsidRPr="004265B4">
        <w:t>______________</w:t>
      </w:r>
    </w:p>
    <w:sectPr w:rsidR="004265B4" w:rsidRPr="004265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C20D" w14:textId="77777777" w:rsidR="006330A9" w:rsidRDefault="006330A9">
      <w:r>
        <w:separator/>
      </w:r>
    </w:p>
  </w:endnote>
  <w:endnote w:type="continuationSeparator" w:id="0">
    <w:p w14:paraId="658A43D5" w14:textId="77777777" w:rsidR="006330A9" w:rsidRDefault="0063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25AF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185A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5872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15CFE" w14:textId="77777777" w:rsidR="006330A9" w:rsidRDefault="006330A9">
      <w:r>
        <w:t>____________________</w:t>
      </w:r>
    </w:p>
  </w:footnote>
  <w:footnote w:type="continuationSeparator" w:id="0">
    <w:p w14:paraId="18E5CFF9" w14:textId="77777777" w:rsidR="006330A9" w:rsidRDefault="00633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88A2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552E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17A9B6C8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/81(Add.2)-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908C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6AF4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265B4"/>
    <w:rsid w:val="0043474A"/>
    <w:rsid w:val="00461A61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330A9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B4610"/>
    <w:rsid w:val="007D61E2"/>
    <w:rsid w:val="007F6EBC"/>
    <w:rsid w:val="00810D8B"/>
    <w:rsid w:val="00882773"/>
    <w:rsid w:val="008A5CD6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61250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1751F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4183"/>
    <w:rsid w:val="00CD701A"/>
    <w:rsid w:val="00CE6A10"/>
    <w:rsid w:val="00D05AAE"/>
    <w:rsid w:val="00D05E6B"/>
    <w:rsid w:val="00D066F8"/>
    <w:rsid w:val="00D21918"/>
    <w:rsid w:val="00D254A6"/>
    <w:rsid w:val="00D42B55"/>
    <w:rsid w:val="00D45C0C"/>
    <w:rsid w:val="00D57D70"/>
    <w:rsid w:val="00D71528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37534"/>
    <w:rsid w:val="00F43C07"/>
    <w:rsid w:val="00F43D44"/>
    <w:rsid w:val="00F80E6E"/>
    <w:rsid w:val="00F924A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3690B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www.itu.int%2Fdms_pub%2Fitu-s%2Fmd%2F22%2Fpp%2Fc%2FS22-PP-C-0076!A31!MSW-S.docx&amp;wdOrigin=BROWSELIN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7712e62-6de4-46e5-88de-57b3d18b60f4" targetNamespace="http://schemas.microsoft.com/office/2006/metadata/properties" ma:root="true" ma:fieldsID="d41af5c836d734370eb92e7ee5f83852" ns2:_="" ns3:_="">
    <xsd:import namespace="996b2e75-67fd-4955-a3b0-5ab9934cb50b"/>
    <xsd:import namespace="37712e62-6de4-46e5-88de-57b3d18b60f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12e62-6de4-46e5-88de-57b3d18b60f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7712e62-6de4-46e5-88de-57b3d18b60f4">DPM</DPM_x0020_Author>
    <DPM_x0020_File_x0020_name xmlns="37712e62-6de4-46e5-88de-57b3d18b60f4">S26-PP-C-0081!A2!MSW-S</DPM_x0020_File_x0020_name>
    <DPM_x0020_Version xmlns="37712e62-6de4-46e5-88de-57b3d18b60f4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7712e62-6de4-46e5-88de-57b3d18b6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7712e62-6de4-46e5-88de-57b3d18b60f4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S26-PP-C-0081!A2!MSW-S</vt:lpstr>
    </vt:vector>
  </TitlesOfParts>
  <Manager/>
  <Company/>
  <LinksUpToDate>false</LinksUpToDate>
  <CharactersWithSpaces>1323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2</cp:revision>
  <dcterms:created xsi:type="dcterms:W3CDTF">2026-10-22T14:33:00Z</dcterms:created>
  <dcterms:modified xsi:type="dcterms:W3CDTF">2026-10-22T14:33:00Z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