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CE496F" w:rsidRPr="00C41C6D" w14:paraId="347E3890" w14:textId="77777777" w:rsidTr="00EC1877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01E11F66" w14:textId="77777777" w:rsidR="00CE496F" w:rsidRPr="00C41C6D" w:rsidRDefault="00CE496F" w:rsidP="00CE496F">
            <w:pPr>
              <w:spacing w:before="0" w:line="240" w:lineRule="atLeast"/>
              <w:rPr>
                <w:rFonts w:cstheme="minorHAnsi"/>
              </w:rPr>
            </w:pPr>
            <w:bookmarkStart w:id="0" w:name="ditulogo"/>
            <w:bookmarkEnd w:id="0"/>
            <w:r w:rsidRPr="00C41C6D">
              <w:rPr>
                <w:rFonts w:cstheme="minorHAnsi"/>
              </w:rPr>
              <w:drawing>
                <wp:anchor distT="0" distB="0" distL="0" distR="0" simplePos="0" relativeHeight="251658240" behindDoc="1" locked="0" layoutInCell="1" allowOverlap="1" wp14:anchorId="5505C727" wp14:editId="1CABA5D2">
                  <wp:simplePos x="0" y="0"/>
                  <wp:positionH relativeFrom="column">
                    <wp:posOffset>-3731260</wp:posOffset>
                  </wp:positionH>
                  <wp:positionV relativeFrom="paragraph">
                    <wp:posOffset>-222885</wp:posOffset>
                  </wp:positionV>
                  <wp:extent cx="6663055" cy="971550"/>
                  <wp:effectExtent l="0" t="0" r="0" b="0"/>
                  <wp:wrapTight wrapText="bothSides">
                    <wp:wrapPolygon edited="0">
                      <wp:start x="124" y="1694"/>
                      <wp:lineTo x="0" y="9318"/>
                      <wp:lineTo x="0" y="12282"/>
                      <wp:lineTo x="247" y="17365"/>
                      <wp:lineTo x="1050" y="18212"/>
                      <wp:lineTo x="2223" y="19059"/>
                      <wp:lineTo x="2532" y="19059"/>
                      <wp:lineTo x="3644" y="18212"/>
                      <wp:lineTo x="14945" y="16094"/>
                      <wp:lineTo x="18835" y="14400"/>
                      <wp:lineTo x="18897" y="6776"/>
                      <wp:lineTo x="16921" y="5929"/>
                      <wp:lineTo x="432" y="1694"/>
                      <wp:lineTo x="124" y="1694"/>
                    </wp:wrapPolygon>
                  </wp:wrapTight>
                  <wp:docPr id="1047924539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7924539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055" cy="97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E1AF7" w:rsidRPr="00C41C6D" w14:paraId="40BF75D4" w14:textId="77777777" w:rsidTr="00BD5C12">
        <w:trPr>
          <w:cantSplit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694CC21B" w14:textId="77777777" w:rsidR="002E1AF7" w:rsidRPr="00C41C6D" w:rsidRDefault="002E1AF7" w:rsidP="00CE496F">
            <w:pPr>
              <w:spacing w:before="0" w:line="240" w:lineRule="atLeast"/>
              <w:rPr>
                <w:rFonts w:cstheme="minorHAnsi"/>
                <w:b/>
                <w:smallCaps/>
                <w:szCs w:val="24"/>
              </w:rPr>
            </w:pPr>
            <w:bookmarkStart w:id="1" w:name="dhead"/>
          </w:p>
        </w:tc>
      </w:tr>
      <w:tr w:rsidR="00BD1614" w:rsidRPr="00C41C6D" w14:paraId="0AB285DD" w14:textId="77777777" w:rsidTr="00EC1877">
        <w:trPr>
          <w:cantSplit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0C180EB3" w14:textId="77777777" w:rsidR="00BD1614" w:rsidRPr="00C41C6D" w:rsidRDefault="00BD1614" w:rsidP="007A47E9">
            <w:pPr>
              <w:spacing w:before="0"/>
              <w:rPr>
                <w:rFonts w:cstheme="minorHAnsi"/>
                <w:b/>
                <w:smallCaps/>
                <w:szCs w:val="24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left w:w="142" w:type="dxa"/>
              <w:right w:w="0" w:type="dxa"/>
            </w:tcMar>
          </w:tcPr>
          <w:p w14:paraId="11F8A3D9" w14:textId="77777777" w:rsidR="00BD1614" w:rsidRPr="00C41C6D" w:rsidRDefault="00BD1614" w:rsidP="007A47E9">
            <w:pPr>
              <w:spacing w:before="0"/>
              <w:rPr>
                <w:rFonts w:cstheme="minorHAnsi"/>
                <w:szCs w:val="24"/>
              </w:rPr>
            </w:pPr>
          </w:p>
        </w:tc>
      </w:tr>
      <w:tr w:rsidR="00BD1614" w:rsidRPr="00C41C6D" w14:paraId="45766D53" w14:textId="77777777" w:rsidTr="00CE496F">
        <w:trPr>
          <w:cantSplit/>
          <w:jc w:val="center"/>
        </w:trPr>
        <w:tc>
          <w:tcPr>
            <w:tcW w:w="7229" w:type="dxa"/>
          </w:tcPr>
          <w:p w14:paraId="7DC63471" w14:textId="77777777" w:rsidR="00BD1614" w:rsidRPr="00C41C6D" w:rsidRDefault="00BD1614" w:rsidP="007A47E9">
            <w:pPr>
              <w:pStyle w:val="Committee"/>
              <w:framePr w:hSpace="0" w:wrap="auto" w:hAnchor="text" w:yAlign="inline"/>
              <w:spacing w:after="0" w:line="240" w:lineRule="auto"/>
              <w:rPr>
                <w:lang w:val="fr-FR"/>
              </w:rPr>
            </w:pPr>
            <w:r w:rsidRPr="00C41C6D">
              <w:rPr>
                <w:lang w:val="fr-FR"/>
              </w:rPr>
              <w:t>SÉANCE PLÉNIÈRE</w:t>
            </w: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37D6C5FE" w14:textId="77777777" w:rsidR="00BD1614" w:rsidRPr="00C41C6D" w:rsidRDefault="00BD1614" w:rsidP="007A47E9">
            <w:pPr>
              <w:spacing w:before="0"/>
              <w:rPr>
                <w:rFonts w:cstheme="minorHAnsi"/>
                <w:szCs w:val="24"/>
              </w:rPr>
            </w:pPr>
            <w:r w:rsidRPr="00C41C6D">
              <w:rPr>
                <w:rFonts w:cstheme="minorHAnsi"/>
                <w:b/>
                <w:szCs w:val="24"/>
              </w:rPr>
              <w:t>Addendum 18 au</w:t>
            </w:r>
            <w:r w:rsidRPr="00C41C6D">
              <w:rPr>
                <w:rFonts w:cstheme="minorHAnsi"/>
                <w:b/>
                <w:szCs w:val="24"/>
              </w:rPr>
              <w:br/>
              <w:t>Document 81</w:t>
            </w:r>
            <w:r w:rsidR="005F63BD" w:rsidRPr="00C41C6D">
              <w:rPr>
                <w:rFonts w:cstheme="minorHAnsi"/>
                <w:b/>
                <w:szCs w:val="24"/>
              </w:rPr>
              <w:t>-F</w:t>
            </w:r>
          </w:p>
        </w:tc>
      </w:tr>
      <w:tr w:rsidR="00BD1614" w:rsidRPr="00C41C6D" w14:paraId="37B9A5EF" w14:textId="77777777" w:rsidTr="00CE496F">
        <w:trPr>
          <w:cantSplit/>
          <w:jc w:val="center"/>
        </w:trPr>
        <w:tc>
          <w:tcPr>
            <w:tcW w:w="7229" w:type="dxa"/>
          </w:tcPr>
          <w:p w14:paraId="6B4CF100" w14:textId="77777777" w:rsidR="00BD1614" w:rsidRPr="00C41C6D" w:rsidRDefault="00BD1614" w:rsidP="007A47E9">
            <w:pPr>
              <w:spacing w:before="0"/>
              <w:rPr>
                <w:rFonts w:cstheme="minorHAnsi"/>
                <w:b/>
                <w:szCs w:val="24"/>
              </w:rPr>
            </w:pP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01C683C4" w14:textId="77777777" w:rsidR="00BD1614" w:rsidRPr="00C41C6D" w:rsidRDefault="00BD1614" w:rsidP="007A47E9">
            <w:pPr>
              <w:spacing w:before="0"/>
              <w:rPr>
                <w:rFonts w:cstheme="minorHAnsi"/>
                <w:b/>
                <w:szCs w:val="24"/>
              </w:rPr>
            </w:pPr>
            <w:r w:rsidRPr="00C41C6D">
              <w:rPr>
                <w:rFonts w:cstheme="minorHAnsi"/>
                <w:b/>
                <w:szCs w:val="24"/>
              </w:rPr>
              <w:t>16 octobre 2026</w:t>
            </w:r>
          </w:p>
        </w:tc>
      </w:tr>
      <w:tr w:rsidR="00BD1614" w:rsidRPr="00C41C6D" w14:paraId="5A524A28" w14:textId="77777777" w:rsidTr="00CE496F">
        <w:trPr>
          <w:cantSplit/>
          <w:jc w:val="center"/>
        </w:trPr>
        <w:tc>
          <w:tcPr>
            <w:tcW w:w="7229" w:type="dxa"/>
          </w:tcPr>
          <w:p w14:paraId="681F9059" w14:textId="77777777" w:rsidR="00BD1614" w:rsidRPr="00C41C6D" w:rsidRDefault="00BD1614" w:rsidP="007A47E9">
            <w:pPr>
              <w:spacing w:before="0"/>
              <w:rPr>
                <w:rFonts w:cstheme="minorHAnsi"/>
                <w:b/>
                <w:smallCaps/>
                <w:szCs w:val="24"/>
              </w:rPr>
            </w:pP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1DF1A4F7" w14:textId="77777777" w:rsidR="00BD1614" w:rsidRPr="00C41C6D" w:rsidRDefault="00BD1614" w:rsidP="007A47E9">
            <w:pPr>
              <w:spacing w:before="0"/>
              <w:rPr>
                <w:rFonts w:cstheme="minorHAnsi"/>
                <w:b/>
                <w:szCs w:val="24"/>
              </w:rPr>
            </w:pPr>
            <w:r w:rsidRPr="00C41C6D">
              <w:rPr>
                <w:rFonts w:cstheme="minorHAnsi"/>
                <w:b/>
                <w:szCs w:val="24"/>
              </w:rPr>
              <w:t>Original: anglais</w:t>
            </w:r>
          </w:p>
        </w:tc>
      </w:tr>
      <w:tr w:rsidR="00BD1614" w:rsidRPr="00C41C6D" w14:paraId="1FA8F005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21F3C3BD" w14:textId="77777777" w:rsidR="00BD1614" w:rsidRPr="00C41C6D" w:rsidRDefault="00BD1614" w:rsidP="007A47E9">
            <w:pPr>
              <w:spacing w:before="0" w:line="240" w:lineRule="atLeast"/>
              <w:rPr>
                <w:rFonts w:cstheme="minorHAnsi"/>
                <w:b/>
                <w:szCs w:val="24"/>
              </w:rPr>
            </w:pPr>
          </w:p>
        </w:tc>
      </w:tr>
      <w:tr w:rsidR="00BD1614" w:rsidRPr="00C41C6D" w14:paraId="161A40CE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2F0CB8CC" w14:textId="4410F67B" w:rsidR="00BD1614" w:rsidRPr="00C41C6D" w:rsidRDefault="00BD1614" w:rsidP="007A47E9">
            <w:pPr>
              <w:pStyle w:val="Source"/>
            </w:pPr>
            <w:bookmarkStart w:id="2" w:name="dsource" w:colFirst="0" w:colLast="0"/>
            <w:bookmarkEnd w:id="1"/>
            <w:r w:rsidRPr="00C41C6D">
              <w:t xml:space="preserve">États Membres de la Commission interaméricaine </w:t>
            </w:r>
            <w:r w:rsidR="00E5298F" w:rsidRPr="00C41C6D">
              <w:br/>
            </w:r>
            <w:r w:rsidRPr="00C41C6D">
              <w:t>des télécommunications (CITEL</w:t>
            </w:r>
            <w:r w:rsidR="00A1079F" w:rsidRPr="00C41C6D">
              <w:t>)</w:t>
            </w:r>
          </w:p>
        </w:tc>
      </w:tr>
      <w:tr w:rsidR="00BD1614" w:rsidRPr="00C41C6D" w14:paraId="6E5DEE42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0834D862" w14:textId="6179F5A1" w:rsidR="00BD1614" w:rsidRPr="00C41C6D" w:rsidRDefault="00A1079F" w:rsidP="007A47E9">
            <w:pPr>
              <w:pStyle w:val="Title1"/>
            </w:pPr>
            <w:bookmarkStart w:id="3" w:name="dtitle1" w:colFirst="0" w:colLast="0"/>
            <w:bookmarkEnd w:id="2"/>
            <w:r w:rsidRPr="00C41C6D">
              <w:t>PROPOSITION DE SUPPRESSION (SUP) DE LA RÉSOLUTION 205</w:t>
            </w:r>
            <w:r w:rsidR="00D82849" w:rsidRPr="00C41C6D">
              <w:t xml:space="preserve"> </w:t>
            </w:r>
            <w:r w:rsidR="004D5895" w:rsidRPr="00C41C6D">
              <w:t>(R</w:t>
            </w:r>
            <w:r w:rsidR="000F7ACE" w:rsidRPr="00C41C6D">
              <w:t>é</w:t>
            </w:r>
            <w:r w:rsidR="004D5895" w:rsidRPr="00C41C6D">
              <w:t>v. Bucarest, 2022)</w:t>
            </w:r>
          </w:p>
        </w:tc>
      </w:tr>
      <w:tr w:rsidR="00BD1614" w:rsidRPr="00C41C6D" w14:paraId="669937BC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248A3ED5" w14:textId="77777777" w:rsidR="00BD1614" w:rsidRPr="00C41C6D" w:rsidRDefault="00BD1614" w:rsidP="007A47E9">
            <w:pPr>
              <w:pStyle w:val="Title2"/>
            </w:pPr>
            <w:bookmarkStart w:id="4" w:name="dtitle2" w:colFirst="0" w:colLast="0"/>
            <w:bookmarkEnd w:id="3"/>
          </w:p>
        </w:tc>
      </w:tr>
      <w:tr w:rsidR="00BD1614" w:rsidRPr="00C41C6D" w14:paraId="47FD6845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1EFC16A5" w14:textId="77777777" w:rsidR="00BD1614" w:rsidRPr="00C41C6D" w:rsidRDefault="00BD1614" w:rsidP="007A47E9">
            <w:pPr>
              <w:pStyle w:val="Agendaitem"/>
              <w:rPr>
                <w:lang w:val="fr-FR"/>
              </w:rPr>
            </w:pPr>
            <w:bookmarkStart w:id="5" w:name="dtitle3" w:colFirst="0" w:colLast="0"/>
            <w:bookmarkEnd w:id="4"/>
          </w:p>
        </w:tc>
      </w:tr>
    </w:tbl>
    <w:bookmarkEnd w:id="5"/>
    <w:p w14:paraId="5F95FEF9" w14:textId="1ED10239" w:rsidR="000D15FB" w:rsidRPr="00C41C6D" w:rsidRDefault="00A1079F" w:rsidP="00A1079F">
      <w:pPr>
        <w:pStyle w:val="Headingb"/>
      </w:pPr>
      <w:r w:rsidRPr="00C41C6D">
        <w:t>Résumé</w:t>
      </w:r>
      <w:r w:rsidR="00D82849" w:rsidRPr="00C41C6D">
        <w:t>:</w:t>
      </w:r>
    </w:p>
    <w:p w14:paraId="6390DE83" w14:textId="0A6B47DA" w:rsidR="00A1079F" w:rsidRPr="00C41C6D" w:rsidRDefault="0046091F" w:rsidP="0046091F">
      <w:r w:rsidRPr="00C41C6D">
        <w:t>La CITEL propose la suppression de la Résolution 205 (Rév. Bucarest, 2022)</w:t>
      </w:r>
      <w:r w:rsidR="004D5895" w:rsidRPr="00C41C6D">
        <w:t xml:space="preserve">, étant donné </w:t>
      </w:r>
      <w:r w:rsidRPr="00C41C6D">
        <w:t>que le rôle de l'UIT dans la promotion d'une innovation centrée sur les télécommunications/</w:t>
      </w:r>
      <w:r w:rsidR="0018458F" w:rsidRPr="00C41C6D">
        <w:t>TIC</w:t>
      </w:r>
      <w:r w:rsidRPr="00C41C6D">
        <w:t xml:space="preserve"> pour appuyer l'économie et la société numériques est au cœur de la mission de l'Union et qu'il est déjà dûment </w:t>
      </w:r>
      <w:r w:rsidR="004D5895" w:rsidRPr="00C41C6D">
        <w:t>énoncé</w:t>
      </w:r>
      <w:r w:rsidRPr="00C41C6D">
        <w:t xml:space="preserve"> dans le Plan stratégique de l'UIT (Résolution 71 de la Conférence de plénipotentiaires) et dans d'autres </w:t>
      </w:r>
      <w:r w:rsidR="004D5895" w:rsidRPr="00C41C6D">
        <w:t>R</w:t>
      </w:r>
      <w:r w:rsidRPr="00C41C6D">
        <w:t xml:space="preserve">ésolutions de la même conférence. En outre, les instructions qui figurent dans la Résolution 205 (Rév. Bucarest, 2022) </w:t>
      </w:r>
      <w:r w:rsidR="0042095E" w:rsidRPr="00C41C6D">
        <w:t>concernent au premier chef le</w:t>
      </w:r>
      <w:r w:rsidRPr="00C41C6D">
        <w:t xml:space="preserve"> Directeur du Bureau de développement des télécommunications</w:t>
      </w:r>
      <w:r w:rsidR="0042095E" w:rsidRPr="00C41C6D">
        <w:t xml:space="preserve">, alors que </w:t>
      </w:r>
      <w:r w:rsidRPr="00C41C6D">
        <w:t xml:space="preserve">la Résolution 90 </w:t>
      </w:r>
      <w:r w:rsidR="0018458F" w:rsidRPr="00C41C6D">
        <w:t xml:space="preserve">(Rév. Bakou, 2025) </w:t>
      </w:r>
      <w:r w:rsidRPr="00C41C6D">
        <w:t xml:space="preserve">de la Conférence mondiale de développement des </w:t>
      </w:r>
      <w:r w:rsidR="0018458F" w:rsidRPr="00C41C6D">
        <w:t>télécommunications (CMDT)</w:t>
      </w:r>
      <w:r w:rsidRPr="00C41C6D">
        <w:t xml:space="preserve"> </w:t>
      </w:r>
      <w:r w:rsidR="0018458F" w:rsidRPr="00C41C6D">
        <w:t>aborde le même thème, de manière plus détaillée</w:t>
      </w:r>
      <w:r w:rsidRPr="00C41C6D">
        <w:t xml:space="preserve">. </w:t>
      </w:r>
      <w:r w:rsidR="0018458F" w:rsidRPr="00C41C6D">
        <w:t xml:space="preserve">En conséquence, la </w:t>
      </w:r>
      <w:r w:rsidRPr="00C41C6D">
        <w:t>R</w:t>
      </w:r>
      <w:r w:rsidR="0018458F" w:rsidRPr="00C41C6D">
        <w:t>é</w:t>
      </w:r>
      <w:r w:rsidRPr="00C41C6D">
        <w:t>solution</w:t>
      </w:r>
      <w:r w:rsidR="0018458F" w:rsidRPr="00C41C6D">
        <w:t> </w:t>
      </w:r>
      <w:r w:rsidRPr="00C41C6D">
        <w:t>205 (R</w:t>
      </w:r>
      <w:r w:rsidR="0018458F" w:rsidRPr="00C41C6D">
        <w:t>é</w:t>
      </w:r>
      <w:r w:rsidRPr="00C41C6D">
        <w:t>v. Bucarest, 2022)</w:t>
      </w:r>
      <w:r w:rsidR="0018458F" w:rsidRPr="00C41C6D">
        <w:t xml:space="preserve"> n'a plus d'utilité </w:t>
      </w:r>
      <w:r w:rsidR="00302E10" w:rsidRPr="00C41C6D">
        <w:t xml:space="preserve">propre </w:t>
      </w:r>
      <w:r w:rsidR="0018458F" w:rsidRPr="00C41C6D">
        <w:t xml:space="preserve">et devrait être supprimée afin d'alléger le cadre de l'UIT et </w:t>
      </w:r>
      <w:r w:rsidR="0003157C" w:rsidRPr="00C41C6D">
        <w:t>d'</w:t>
      </w:r>
      <w:r w:rsidR="0018458F" w:rsidRPr="00C41C6D">
        <w:t>accroître l'efficacité</w:t>
      </w:r>
      <w:r w:rsidRPr="00C41C6D">
        <w:t>.</w:t>
      </w:r>
    </w:p>
    <w:p w14:paraId="1863837B" w14:textId="77777777" w:rsidR="00BD1614" w:rsidRPr="00C41C6D" w:rsidRDefault="00BD1614" w:rsidP="008264FC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</w:pPr>
      <w:r w:rsidRPr="00C41C6D">
        <w:br w:type="page"/>
      </w:r>
    </w:p>
    <w:p w14:paraId="3CB7C42D" w14:textId="77777777" w:rsidR="00403F5D" w:rsidRPr="00C41C6D" w:rsidRDefault="00744B55">
      <w:pPr>
        <w:pStyle w:val="Proposal"/>
      </w:pPr>
      <w:r w:rsidRPr="00C41C6D">
        <w:lastRenderedPageBreak/>
        <w:t>SUP</w:t>
      </w:r>
      <w:r w:rsidRPr="00C41C6D">
        <w:tab/>
        <w:t>IAP/81A18/1</w:t>
      </w:r>
    </w:p>
    <w:p w14:paraId="70EDB88E" w14:textId="77777777" w:rsidR="00744B55" w:rsidRPr="00C41C6D" w:rsidRDefault="00744B55" w:rsidP="004F2759">
      <w:pPr>
        <w:pStyle w:val="ResNo"/>
      </w:pPr>
      <w:r w:rsidRPr="00C41C6D">
        <w:t xml:space="preserve">RÉSOLUTION </w:t>
      </w:r>
      <w:r w:rsidRPr="00C41C6D">
        <w:rPr>
          <w:rStyle w:val="href"/>
        </w:rPr>
        <w:t>205</w:t>
      </w:r>
      <w:r w:rsidRPr="00C41C6D">
        <w:t xml:space="preserve"> (</w:t>
      </w:r>
      <w:r w:rsidRPr="00C41C6D">
        <w:rPr>
          <w:caps w:val="0"/>
        </w:rPr>
        <w:t>RÉV. BUCAREST, 2022</w:t>
      </w:r>
      <w:r w:rsidRPr="00C41C6D">
        <w:t>)</w:t>
      </w:r>
    </w:p>
    <w:p w14:paraId="6ACE00FE" w14:textId="77777777" w:rsidR="00744B55" w:rsidRPr="00C41C6D" w:rsidRDefault="00744B55" w:rsidP="004F2759">
      <w:pPr>
        <w:pStyle w:val="Restitle"/>
      </w:pPr>
      <w:r w:rsidRPr="00C41C6D">
        <w:t xml:space="preserve">Rôle de l'UIT dans la promotion d'une innovation centrée sur les télécommunications/technologies de l'information et de </w:t>
      </w:r>
      <w:r w:rsidRPr="00C41C6D">
        <w:br/>
        <w:t xml:space="preserve">la communication pour appuyer l'économie </w:t>
      </w:r>
      <w:r w:rsidRPr="00C41C6D">
        <w:br/>
        <w:t>et la société numériques</w:t>
      </w:r>
    </w:p>
    <w:p w14:paraId="7C08EF34" w14:textId="77777777" w:rsidR="00744B55" w:rsidRPr="00C41C6D" w:rsidRDefault="00744B55" w:rsidP="004F2759">
      <w:pPr>
        <w:pStyle w:val="Normalaftertitle"/>
      </w:pPr>
      <w:r w:rsidRPr="00C41C6D">
        <w:t>La Conférence de plénipotentiaires de l'Union internationale des télécommunications (Bucarest, 2022),</w:t>
      </w:r>
    </w:p>
    <w:p w14:paraId="3EA39D4D" w14:textId="59B5002C" w:rsidR="000F7ACE" w:rsidRPr="00C41C6D" w:rsidRDefault="00744B55" w:rsidP="00DC22BF">
      <w:pPr>
        <w:pStyle w:val="Reasons"/>
      </w:pPr>
      <w:r w:rsidRPr="00C41C6D">
        <w:rPr>
          <w:b/>
        </w:rPr>
        <w:t>Motifs:</w:t>
      </w:r>
      <w:r w:rsidRPr="00C41C6D">
        <w:tab/>
      </w:r>
      <w:r w:rsidR="0018458F" w:rsidRPr="00C41C6D">
        <w:t xml:space="preserve">Comme indiqué dans les </w:t>
      </w:r>
      <w:hyperlink r:id="rId13" w:history="1">
        <w:r w:rsidR="0018458F" w:rsidRPr="00C41C6D">
          <w:rPr>
            <w:rStyle w:val="Hyperlink"/>
            <w:rFonts w:asciiTheme="minorHAnsi" w:hAnsiTheme="minorHAnsi" w:cstheme="minorHAnsi"/>
            <w:szCs w:val="24"/>
          </w:rPr>
          <w:t>Lignes directric</w:t>
        </w:r>
        <w:r w:rsidR="0018458F" w:rsidRPr="00C41C6D">
          <w:rPr>
            <w:rStyle w:val="Hyperlink"/>
            <w:rFonts w:asciiTheme="minorHAnsi" w:hAnsiTheme="minorHAnsi" w:cstheme="minorHAnsi"/>
            <w:szCs w:val="24"/>
          </w:rPr>
          <w:t>e</w:t>
        </w:r>
        <w:r w:rsidR="0018458F" w:rsidRPr="00C41C6D">
          <w:rPr>
            <w:rStyle w:val="Hyperlink"/>
            <w:rFonts w:asciiTheme="minorHAnsi" w:hAnsiTheme="minorHAnsi" w:cstheme="minorHAnsi"/>
            <w:szCs w:val="24"/>
          </w:rPr>
          <w:t xml:space="preserve">s relatives à l'harmonisation des résolutions et des décisions de la </w:t>
        </w:r>
        <w:r w:rsidR="0046091F" w:rsidRPr="00C41C6D">
          <w:rPr>
            <w:rStyle w:val="Hyperlink"/>
            <w:rFonts w:asciiTheme="minorHAnsi" w:hAnsiTheme="minorHAnsi" w:cstheme="minorHAnsi"/>
            <w:szCs w:val="24"/>
          </w:rPr>
          <w:t>Conf</w:t>
        </w:r>
        <w:r w:rsidR="0018458F" w:rsidRPr="00C41C6D">
          <w:rPr>
            <w:rStyle w:val="Hyperlink"/>
            <w:rFonts w:asciiTheme="minorHAnsi" w:hAnsiTheme="minorHAnsi" w:cstheme="minorHAnsi"/>
            <w:szCs w:val="24"/>
          </w:rPr>
          <w:t>é</w:t>
        </w:r>
        <w:r w:rsidR="0046091F" w:rsidRPr="00C41C6D">
          <w:rPr>
            <w:rStyle w:val="Hyperlink"/>
            <w:rFonts w:asciiTheme="minorHAnsi" w:hAnsiTheme="minorHAnsi" w:cstheme="minorHAnsi"/>
            <w:szCs w:val="24"/>
          </w:rPr>
          <w:t xml:space="preserve">rence </w:t>
        </w:r>
        <w:r w:rsidR="0018458F" w:rsidRPr="00C41C6D">
          <w:rPr>
            <w:rStyle w:val="Hyperlink"/>
            <w:rFonts w:asciiTheme="minorHAnsi" w:hAnsiTheme="minorHAnsi" w:cstheme="minorHAnsi"/>
            <w:szCs w:val="24"/>
          </w:rPr>
          <w:t>de plénipotentiaire</w:t>
        </w:r>
        <w:r w:rsidR="0046091F" w:rsidRPr="00C41C6D">
          <w:rPr>
            <w:rStyle w:val="Hyperlink"/>
            <w:rFonts w:asciiTheme="minorHAnsi" w:hAnsiTheme="minorHAnsi" w:cstheme="minorHAnsi"/>
            <w:szCs w:val="24"/>
          </w:rPr>
          <w:t>s</w:t>
        </w:r>
      </w:hyperlink>
      <w:r w:rsidR="0018458F" w:rsidRPr="00C41C6D">
        <w:t xml:space="preserve"> élaborées par le Conseil de l'UIT,</w:t>
      </w:r>
      <w:r w:rsidR="0046091F" w:rsidRPr="00C41C6D">
        <w:t xml:space="preserve"> </w:t>
      </w:r>
      <w:r w:rsidR="0018458F" w:rsidRPr="00C41C6D">
        <w:t xml:space="preserve">les États Membres devraient appliquer le principe </w:t>
      </w:r>
      <w:r w:rsidR="004D5895" w:rsidRPr="00C41C6D">
        <w:t xml:space="preserve">lié au </w:t>
      </w:r>
      <w:r w:rsidR="0018458F" w:rsidRPr="00C41C6D">
        <w:t xml:space="preserve">chevauchement et </w:t>
      </w:r>
      <w:r w:rsidR="004D5895" w:rsidRPr="00C41C6D">
        <w:t xml:space="preserve">aux </w:t>
      </w:r>
      <w:r w:rsidR="0018458F" w:rsidRPr="00C41C6D">
        <w:t>double</w:t>
      </w:r>
      <w:r w:rsidR="004D5895" w:rsidRPr="00C41C6D">
        <w:t>s</w:t>
      </w:r>
      <w:r w:rsidR="0018458F" w:rsidRPr="00C41C6D">
        <w:t xml:space="preserve"> emploi</w:t>
      </w:r>
      <w:r w:rsidR="000F7ACE" w:rsidRPr="00C41C6D">
        <w:t>s</w:t>
      </w:r>
      <w:r w:rsidR="0018458F" w:rsidRPr="00C41C6D">
        <w:t xml:space="preserve"> ("Les buts de la Résolution/Décision figurent-ils déjà dans le Plan stratégique de l'UIT ou dans d'autres Résolutions/Décisions de la PP?") et le principe de nécessité </w:t>
      </w:r>
      <w:r w:rsidR="0046091F" w:rsidRPr="00C41C6D">
        <w:t>(</w:t>
      </w:r>
      <w:r w:rsidR="0018458F" w:rsidRPr="00C41C6D">
        <w:t>"</w:t>
      </w:r>
      <w:r w:rsidR="00C41C6D" w:rsidRPr="00C41C6D">
        <w:t>L</w:t>
      </w:r>
      <w:r w:rsidR="0018458F" w:rsidRPr="00C41C6D">
        <w:t>a Résolution/Décision est-elle indispensable en tant que telle?"</w:t>
      </w:r>
      <w:r w:rsidR="0046091F" w:rsidRPr="00C41C6D">
        <w:t>).</w:t>
      </w:r>
    </w:p>
    <w:p w14:paraId="05B29A87" w14:textId="0FD4701A" w:rsidR="00E5298F" w:rsidRPr="00C41C6D" w:rsidRDefault="00DC22BF" w:rsidP="00806AA0">
      <w:r w:rsidRPr="00C41C6D">
        <w:t xml:space="preserve">Le rôle de l'UIT dans la promotion d'une innovation centrée sur les télécommunications/TIC pour appuyer l'économie et la société numériques est au cœur de la mission de l'Union et, à ce titre, il est déjà dûment </w:t>
      </w:r>
      <w:r w:rsidR="004D5895" w:rsidRPr="00C41C6D">
        <w:t>énoncé</w:t>
      </w:r>
      <w:r w:rsidRPr="00C41C6D">
        <w:t xml:space="preserve"> dans le Plan stratégique de l'UIT (Résolution 71 de la Conférence de plénipotentiaires) et dans de nombreuses autres </w:t>
      </w:r>
      <w:r w:rsidR="004D5895" w:rsidRPr="00C41C6D">
        <w:t>R</w:t>
      </w:r>
      <w:r w:rsidRPr="00C41C6D">
        <w:t xml:space="preserve">ésolutions de la même </w:t>
      </w:r>
      <w:r w:rsidR="004D5895" w:rsidRPr="00C41C6D">
        <w:t>C</w:t>
      </w:r>
      <w:r w:rsidRPr="00C41C6D">
        <w:t>onférence.</w:t>
      </w:r>
      <w:r w:rsidR="0046091F" w:rsidRPr="00C41C6D">
        <w:t xml:space="preserve"> </w:t>
      </w:r>
      <w:r w:rsidRPr="00C41C6D">
        <w:t xml:space="preserve">En outre, les instructions qui figurent dans la Résolution 205 (Rév. Bucarest, 2022) </w:t>
      </w:r>
      <w:r w:rsidR="0042095E" w:rsidRPr="00C41C6D">
        <w:t>concernent au premier chef</w:t>
      </w:r>
      <w:r w:rsidRPr="00C41C6D">
        <w:t xml:space="preserve"> Directeur du Bureau de développement des télécommunications; or, la Résolution 90 (Rév. Bakou, 2025) de la CMDT aborde exactement le même thème, de manière plus détaillée</w:t>
      </w:r>
      <w:r w:rsidR="0046091F" w:rsidRPr="00C41C6D">
        <w:t xml:space="preserve">, </w:t>
      </w:r>
      <w:r w:rsidRPr="00C41C6D">
        <w:t xml:space="preserve">rendant de fait la </w:t>
      </w:r>
      <w:r w:rsidR="0046091F" w:rsidRPr="00C41C6D">
        <w:t>R</w:t>
      </w:r>
      <w:r w:rsidRPr="00C41C6D">
        <w:t>é</w:t>
      </w:r>
      <w:r w:rsidR="0046091F" w:rsidRPr="00C41C6D">
        <w:t xml:space="preserve">solution 205 </w:t>
      </w:r>
      <w:r w:rsidR="004D5895" w:rsidRPr="00C41C6D">
        <w:t>(Rév. Bucarest, 2022)</w:t>
      </w:r>
      <w:r w:rsidR="00C41C6D" w:rsidRPr="00C41C6D">
        <w:t xml:space="preserve"> </w:t>
      </w:r>
      <w:r w:rsidR="004D5895" w:rsidRPr="00C41C6D">
        <w:t>inutile</w:t>
      </w:r>
      <w:r w:rsidR="0046091F" w:rsidRPr="00C41C6D">
        <w:t>.</w:t>
      </w:r>
    </w:p>
    <w:p w14:paraId="3CC24884" w14:textId="77777777" w:rsidR="00806AA0" w:rsidRPr="00C41C6D" w:rsidRDefault="00DC22BF" w:rsidP="00806AA0">
      <w:r w:rsidRPr="00C41C6D">
        <w:t xml:space="preserve">En conséquence, la Résolution 205 </w:t>
      </w:r>
      <w:r w:rsidR="004D5895" w:rsidRPr="00C41C6D">
        <w:t xml:space="preserve">(Rév. Bucarest, 2022) </w:t>
      </w:r>
      <w:r w:rsidRPr="00C41C6D">
        <w:t>n'</w:t>
      </w:r>
      <w:r w:rsidR="004D5895" w:rsidRPr="00C41C6D">
        <w:t>a</w:t>
      </w:r>
      <w:r w:rsidRPr="00C41C6D">
        <w:t xml:space="preserve"> plus </w:t>
      </w:r>
      <w:r w:rsidR="004D5895" w:rsidRPr="00C41C6D">
        <w:t>de valeur ajoutée</w:t>
      </w:r>
      <w:r w:rsidRPr="00C41C6D">
        <w:t xml:space="preserve"> et devrait être supprimée</w:t>
      </w:r>
      <w:r w:rsidR="004D5895" w:rsidRPr="00C41C6D">
        <w:t xml:space="preserve"> dans un souci</w:t>
      </w:r>
      <w:r w:rsidR="00302E10" w:rsidRPr="00C41C6D">
        <w:t xml:space="preserve"> </w:t>
      </w:r>
      <w:r w:rsidRPr="00C41C6D">
        <w:t>de rationalisation.</w:t>
      </w:r>
    </w:p>
    <w:p w14:paraId="0464B2B8" w14:textId="77777777" w:rsidR="00806AA0" w:rsidRPr="00C41C6D" w:rsidRDefault="00806AA0">
      <w:pPr>
        <w:jc w:val="center"/>
      </w:pPr>
      <w:r w:rsidRPr="00C41C6D">
        <w:t>______________</w:t>
      </w:r>
    </w:p>
    <w:sectPr w:rsidR="00806AA0" w:rsidRPr="00C41C6D">
      <w:headerReference w:type="default" r:id="rId14"/>
      <w:footerReference w:type="first" r:id="rId15"/>
      <w:pgSz w:w="11913" w:h="16834" w:code="9"/>
      <w:pgMar w:top="1418" w:right="1134" w:bottom="1134" w:left="1418" w:header="720" w:footer="720" w:gutter="0"/>
      <w:cols w:space="720"/>
      <w:titlePg/>
      <w:docGrid w:linePitch="408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D">
      <wne:macro wne:macroName="TEMPLATEPROJECT.MACROS.POOLSETREASONS"/>
    </wne:keymap>
    <wne:keymap wne:kcmPrimary="0350">
      <wne:macro wne:macroName="TEMPLATEPROJECT.MACROS.POOLPVSTYLES"/>
    </wne:keymap>
    <wne:keymap wne:kcmPrimary="0353">
      <wne:acd wne:acdName="acd1"/>
    </wne:keymap>
  </wne:keymaps>
  <wne:toolbars>
    <wne:acdManifest>
      <wne:acdEntry wne:acdName="acd0"/>
      <wne:acdEntry wne:acdName="acd1"/>
    </wne:acdManifest>
    <wne:toolbarData r:id="rId1"/>
  </wne:toolbars>
  <wne:acds>
    <wne:acd wne:acdName="acd0" wne:fciIndexBasedOn="0065"/>
    <wne:acd wne:argValue="AgBOAG8AcgBtAGEAbAAgAHAAdgA=" wne:acdName="acd1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252A94" w14:textId="77777777" w:rsidR="00C950B2" w:rsidRDefault="00C950B2">
      <w:r>
        <w:separator/>
      </w:r>
    </w:p>
  </w:endnote>
  <w:endnote w:type="continuationSeparator" w:id="0">
    <w:p w14:paraId="2928FBB7" w14:textId="77777777" w:rsidR="00C950B2" w:rsidRDefault="00C95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6AC07" w14:textId="77777777" w:rsidR="002D0C22" w:rsidRPr="003F2E54" w:rsidRDefault="002D0C22" w:rsidP="002D0C22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004B74" w14:textId="77777777" w:rsidR="00C950B2" w:rsidRDefault="00C950B2">
      <w:r>
        <w:t>____________________</w:t>
      </w:r>
    </w:p>
  </w:footnote>
  <w:footnote w:type="continuationSeparator" w:id="0">
    <w:p w14:paraId="2AC44355" w14:textId="77777777" w:rsidR="00C950B2" w:rsidRDefault="00C950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C6256" w14:textId="77777777" w:rsidR="00BD1614" w:rsidRDefault="00BD1614" w:rsidP="00BD1614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76FEC">
      <w:rPr>
        <w:noProof/>
      </w:rPr>
      <w:t>2</w:t>
    </w:r>
    <w:r>
      <w:fldChar w:fldCharType="end"/>
    </w:r>
  </w:p>
  <w:p w14:paraId="15C56339" w14:textId="77777777" w:rsidR="00BD1614" w:rsidRDefault="00BD1614" w:rsidP="001E2226">
    <w:pPr>
      <w:pStyle w:val="Header"/>
    </w:pPr>
    <w:r>
      <w:t>PP</w:t>
    </w:r>
    <w:r w:rsidR="002A7A1D">
      <w:t>2</w:t>
    </w:r>
    <w:r w:rsidR="008407A7">
      <w:t>6</w:t>
    </w:r>
    <w:r>
      <w:t>/81(Add.18)-</w:t>
    </w:r>
    <w:r w:rsidRPr="00010B43">
      <w:t>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4322B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FEC150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FAFDC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C3AAD8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B8859D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03EA9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112CB9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A474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0B083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02A2A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97456242">
    <w:abstractNumId w:val="9"/>
  </w:num>
  <w:num w:numId="2" w16cid:durableId="949514535">
    <w:abstractNumId w:val="7"/>
  </w:num>
  <w:num w:numId="3" w16cid:durableId="1922173834">
    <w:abstractNumId w:val="6"/>
  </w:num>
  <w:num w:numId="4" w16cid:durableId="1411735600">
    <w:abstractNumId w:val="5"/>
  </w:num>
  <w:num w:numId="5" w16cid:durableId="736367719">
    <w:abstractNumId w:val="4"/>
  </w:num>
  <w:num w:numId="6" w16cid:durableId="807668906">
    <w:abstractNumId w:val="8"/>
  </w:num>
  <w:num w:numId="7" w16cid:durableId="445319667">
    <w:abstractNumId w:val="3"/>
  </w:num>
  <w:num w:numId="8" w16cid:durableId="255986280">
    <w:abstractNumId w:val="2"/>
  </w:num>
  <w:num w:numId="9" w16cid:durableId="895703752">
    <w:abstractNumId w:val="1"/>
  </w:num>
  <w:num w:numId="10" w16cid:durableId="1942494499">
    <w:abstractNumId w:val="0"/>
  </w:num>
  <w:num w:numId="11" w16cid:durableId="1742095036">
    <w:abstractNumId w:val="8"/>
  </w:num>
  <w:num w:numId="12" w16cid:durableId="1194224472">
    <w:abstractNumId w:val="3"/>
  </w:num>
  <w:num w:numId="13" w16cid:durableId="1727297058">
    <w:abstractNumId w:val="2"/>
  </w:num>
  <w:num w:numId="14" w16cid:durableId="49378449">
    <w:abstractNumId w:val="1"/>
  </w:num>
  <w:num w:numId="15" w16cid:durableId="1472551918">
    <w:abstractNumId w:val="0"/>
  </w:num>
  <w:num w:numId="16" w16cid:durableId="1321152335">
    <w:abstractNumId w:val="8"/>
  </w:num>
  <w:num w:numId="17" w16cid:durableId="1302268241">
    <w:abstractNumId w:val="3"/>
  </w:num>
  <w:num w:numId="18" w16cid:durableId="91434263">
    <w:abstractNumId w:val="2"/>
  </w:num>
  <w:num w:numId="19" w16cid:durableId="904488851">
    <w:abstractNumId w:val="1"/>
  </w:num>
  <w:num w:numId="20" w16cid:durableId="758790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DateAndTime/>
  <w:embedSystemFonts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D5E"/>
    <w:rsid w:val="000054D8"/>
    <w:rsid w:val="0003157C"/>
    <w:rsid w:val="00060D74"/>
    <w:rsid w:val="00072D5C"/>
    <w:rsid w:val="0008398C"/>
    <w:rsid w:val="00084308"/>
    <w:rsid w:val="000B14B6"/>
    <w:rsid w:val="000C467B"/>
    <w:rsid w:val="000D15FB"/>
    <w:rsid w:val="000F58F7"/>
    <w:rsid w:val="000F7ACE"/>
    <w:rsid w:val="001051E4"/>
    <w:rsid w:val="001354EA"/>
    <w:rsid w:val="00136FCE"/>
    <w:rsid w:val="00153BA4"/>
    <w:rsid w:val="0017458D"/>
    <w:rsid w:val="0018458F"/>
    <w:rsid w:val="001941AD"/>
    <w:rsid w:val="0019732C"/>
    <w:rsid w:val="001A0682"/>
    <w:rsid w:val="001B4D8D"/>
    <w:rsid w:val="001C3790"/>
    <w:rsid w:val="001D31B2"/>
    <w:rsid w:val="001E1B9B"/>
    <w:rsid w:val="001E2226"/>
    <w:rsid w:val="001F0B24"/>
    <w:rsid w:val="001F6233"/>
    <w:rsid w:val="00214288"/>
    <w:rsid w:val="0023154B"/>
    <w:rsid w:val="002355CD"/>
    <w:rsid w:val="00270B2F"/>
    <w:rsid w:val="002712F9"/>
    <w:rsid w:val="002A0E1B"/>
    <w:rsid w:val="002A7A1D"/>
    <w:rsid w:val="002C1059"/>
    <w:rsid w:val="002C2F9C"/>
    <w:rsid w:val="002D0C22"/>
    <w:rsid w:val="002E1AF7"/>
    <w:rsid w:val="00302E10"/>
    <w:rsid w:val="00307BDF"/>
    <w:rsid w:val="00322DEA"/>
    <w:rsid w:val="00355FBD"/>
    <w:rsid w:val="00371863"/>
    <w:rsid w:val="00381461"/>
    <w:rsid w:val="00391C12"/>
    <w:rsid w:val="003A0B7D"/>
    <w:rsid w:val="003A45C2"/>
    <w:rsid w:val="003B7A11"/>
    <w:rsid w:val="003C4BE2"/>
    <w:rsid w:val="003D147D"/>
    <w:rsid w:val="003D637A"/>
    <w:rsid w:val="00403F5D"/>
    <w:rsid w:val="00413CB9"/>
    <w:rsid w:val="0042095E"/>
    <w:rsid w:val="00430015"/>
    <w:rsid w:val="0046091F"/>
    <w:rsid w:val="004678D0"/>
    <w:rsid w:val="00482954"/>
    <w:rsid w:val="004951C0"/>
    <w:rsid w:val="004C7646"/>
    <w:rsid w:val="004D5895"/>
    <w:rsid w:val="00524001"/>
    <w:rsid w:val="00564B63"/>
    <w:rsid w:val="00575DC7"/>
    <w:rsid w:val="005836C2"/>
    <w:rsid w:val="005A4EFD"/>
    <w:rsid w:val="005A5ABE"/>
    <w:rsid w:val="005C2ECC"/>
    <w:rsid w:val="005C6744"/>
    <w:rsid w:val="005E419E"/>
    <w:rsid w:val="005F63BD"/>
    <w:rsid w:val="00611CF1"/>
    <w:rsid w:val="006201D9"/>
    <w:rsid w:val="006277DB"/>
    <w:rsid w:val="00635B7B"/>
    <w:rsid w:val="00655B98"/>
    <w:rsid w:val="006710E6"/>
    <w:rsid w:val="00686973"/>
    <w:rsid w:val="00696B2D"/>
    <w:rsid w:val="006A2656"/>
    <w:rsid w:val="006A3475"/>
    <w:rsid w:val="006A6342"/>
    <w:rsid w:val="006B6C9C"/>
    <w:rsid w:val="006C7AE3"/>
    <w:rsid w:val="006D55E8"/>
    <w:rsid w:val="006E1921"/>
    <w:rsid w:val="006F36F9"/>
    <w:rsid w:val="00700EAF"/>
    <w:rsid w:val="0070576B"/>
    <w:rsid w:val="00713335"/>
    <w:rsid w:val="00727C2F"/>
    <w:rsid w:val="00735F13"/>
    <w:rsid w:val="00744B55"/>
    <w:rsid w:val="007575CC"/>
    <w:rsid w:val="007717F2"/>
    <w:rsid w:val="00772E3B"/>
    <w:rsid w:val="00780430"/>
    <w:rsid w:val="0078134C"/>
    <w:rsid w:val="007A47E9"/>
    <w:rsid w:val="007A5830"/>
    <w:rsid w:val="007D21FB"/>
    <w:rsid w:val="00801256"/>
    <w:rsid w:val="00806AA0"/>
    <w:rsid w:val="008264FC"/>
    <w:rsid w:val="008349A4"/>
    <w:rsid w:val="008407A7"/>
    <w:rsid w:val="008703CB"/>
    <w:rsid w:val="008B61AF"/>
    <w:rsid w:val="008C33C2"/>
    <w:rsid w:val="008C6137"/>
    <w:rsid w:val="008E2DB4"/>
    <w:rsid w:val="00901DD5"/>
    <w:rsid w:val="00901E77"/>
    <w:rsid w:val="0090735B"/>
    <w:rsid w:val="00912D5E"/>
    <w:rsid w:val="00934340"/>
    <w:rsid w:val="00956DC7"/>
    <w:rsid w:val="00966CD3"/>
    <w:rsid w:val="00987A20"/>
    <w:rsid w:val="009A0E15"/>
    <w:rsid w:val="009D4037"/>
    <w:rsid w:val="009F0592"/>
    <w:rsid w:val="00A1079F"/>
    <w:rsid w:val="00A20E72"/>
    <w:rsid w:val="00A246DC"/>
    <w:rsid w:val="00A47BAF"/>
    <w:rsid w:val="00A542D3"/>
    <w:rsid w:val="00A5784F"/>
    <w:rsid w:val="00A8436E"/>
    <w:rsid w:val="00A95B66"/>
    <w:rsid w:val="00AA6D80"/>
    <w:rsid w:val="00AB190D"/>
    <w:rsid w:val="00AE0667"/>
    <w:rsid w:val="00AE5D33"/>
    <w:rsid w:val="00B17C13"/>
    <w:rsid w:val="00B41E0A"/>
    <w:rsid w:val="00B56DE0"/>
    <w:rsid w:val="00B71F12"/>
    <w:rsid w:val="00B76FEC"/>
    <w:rsid w:val="00B96B1E"/>
    <w:rsid w:val="00BB2A6F"/>
    <w:rsid w:val="00BD1614"/>
    <w:rsid w:val="00BD382C"/>
    <w:rsid w:val="00BD5C12"/>
    <w:rsid w:val="00BD5DA6"/>
    <w:rsid w:val="00BF7D25"/>
    <w:rsid w:val="00C010C0"/>
    <w:rsid w:val="00C0405F"/>
    <w:rsid w:val="00C40CB5"/>
    <w:rsid w:val="00C41C6D"/>
    <w:rsid w:val="00C54CE6"/>
    <w:rsid w:val="00C575E2"/>
    <w:rsid w:val="00C71BEF"/>
    <w:rsid w:val="00C7368B"/>
    <w:rsid w:val="00C92746"/>
    <w:rsid w:val="00C950B2"/>
    <w:rsid w:val="00CA2498"/>
    <w:rsid w:val="00CC4DC5"/>
    <w:rsid w:val="00CE1A7C"/>
    <w:rsid w:val="00CE496F"/>
    <w:rsid w:val="00CF430A"/>
    <w:rsid w:val="00D0464B"/>
    <w:rsid w:val="00D12C74"/>
    <w:rsid w:val="00D2263F"/>
    <w:rsid w:val="00D56483"/>
    <w:rsid w:val="00D5658F"/>
    <w:rsid w:val="00D56AD6"/>
    <w:rsid w:val="00D70019"/>
    <w:rsid w:val="00D74B58"/>
    <w:rsid w:val="00D82849"/>
    <w:rsid w:val="00D82ABE"/>
    <w:rsid w:val="00DA4ABA"/>
    <w:rsid w:val="00DA685B"/>
    <w:rsid w:val="00DA742B"/>
    <w:rsid w:val="00DC22BF"/>
    <w:rsid w:val="00DF25C1"/>
    <w:rsid w:val="00DF48F7"/>
    <w:rsid w:val="00DF4964"/>
    <w:rsid w:val="00DF4D73"/>
    <w:rsid w:val="00DF79B0"/>
    <w:rsid w:val="00E1047D"/>
    <w:rsid w:val="00E4050B"/>
    <w:rsid w:val="00E443FA"/>
    <w:rsid w:val="00E5298F"/>
    <w:rsid w:val="00E54FCE"/>
    <w:rsid w:val="00E60DA1"/>
    <w:rsid w:val="00E921A2"/>
    <w:rsid w:val="00E93D35"/>
    <w:rsid w:val="00EA45DB"/>
    <w:rsid w:val="00EC1877"/>
    <w:rsid w:val="00ED2CD9"/>
    <w:rsid w:val="00F07DA7"/>
    <w:rsid w:val="00F3254F"/>
    <w:rsid w:val="00F564C1"/>
    <w:rsid w:val="00F77FA2"/>
    <w:rsid w:val="00F8357A"/>
    <w:rsid w:val="00FA1B77"/>
    <w:rsid w:val="00FB4B65"/>
    <w:rsid w:val="00FB74B8"/>
    <w:rsid w:val="00FC49E0"/>
    <w:rsid w:val="00FD13BE"/>
    <w:rsid w:val="00FF0484"/>
    <w:rsid w:val="00FF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78A822C"/>
  <w15:docId w15:val="{F7996034-3CD0-499A-8D2F-018CE164A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10E6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fr-FR" w:eastAsia="en-US"/>
    </w:rPr>
  </w:style>
  <w:style w:type="paragraph" w:styleId="Heading1">
    <w:name w:val="heading 1"/>
    <w:basedOn w:val="Normal"/>
    <w:next w:val="Normal"/>
    <w:qFormat/>
    <w:rsid w:val="005A4EFD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686973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686973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3A0B7D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3A0B7D"/>
    <w:pPr>
      <w:outlineLvl w:val="4"/>
    </w:pPr>
  </w:style>
  <w:style w:type="paragraph" w:styleId="Heading6">
    <w:name w:val="heading 6"/>
    <w:basedOn w:val="Heading4"/>
    <w:next w:val="Normal"/>
    <w:qFormat/>
    <w:rsid w:val="003A0B7D"/>
    <w:pPr>
      <w:outlineLvl w:val="5"/>
    </w:pPr>
  </w:style>
  <w:style w:type="paragraph" w:styleId="Heading7">
    <w:name w:val="heading 7"/>
    <w:basedOn w:val="Heading4"/>
    <w:next w:val="Normal"/>
    <w:qFormat/>
    <w:rsid w:val="003A0B7D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3A0B7D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3A0B7D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Date">
    <w:name w:val="Date"/>
    <w:basedOn w:val="Normal"/>
    <w:rsid w:val="003A0B7D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styleId="Footer">
    <w:name w:val="footer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5A4EFD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3A0B7D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3A0B7D"/>
    <w:pPr>
      <w:ind w:left="567"/>
    </w:pPr>
  </w:style>
  <w:style w:type="paragraph" w:customStyle="1" w:styleId="Tablelegend">
    <w:name w:val="Table_legend"/>
    <w:basedOn w:val="Tabletext"/>
    <w:rsid w:val="003A0B7D"/>
    <w:pPr>
      <w:spacing w:before="120"/>
    </w:pPr>
  </w:style>
  <w:style w:type="paragraph" w:customStyle="1" w:styleId="Tabletext">
    <w:name w:val="Table_text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3A0B7D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3A0B7D"/>
    <w:pPr>
      <w:spacing w:before="86"/>
      <w:ind w:left="567" w:hanging="567"/>
    </w:pPr>
  </w:style>
  <w:style w:type="paragraph" w:customStyle="1" w:styleId="enumlev2">
    <w:name w:val="enumlev2"/>
    <w:basedOn w:val="enumlev1"/>
    <w:rsid w:val="003A0B7D"/>
    <w:pPr>
      <w:ind w:left="1134"/>
    </w:pPr>
  </w:style>
  <w:style w:type="paragraph" w:customStyle="1" w:styleId="enumlev3">
    <w:name w:val="enumlev3"/>
    <w:basedOn w:val="enumlev2"/>
    <w:rsid w:val="003A0B7D"/>
    <w:pPr>
      <w:ind w:left="1701"/>
    </w:pPr>
  </w:style>
  <w:style w:type="paragraph" w:customStyle="1" w:styleId="Tablehead">
    <w:name w:val="Table_head"/>
    <w:basedOn w:val="Tabletext"/>
    <w:rsid w:val="003A0B7D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3A0B7D"/>
    <w:pPr>
      <w:spacing w:before="240"/>
    </w:pPr>
  </w:style>
  <w:style w:type="paragraph" w:customStyle="1" w:styleId="AnnexNo">
    <w:name w:val="Annex_No"/>
    <w:basedOn w:val="Normal"/>
    <w:next w:val="Annexref"/>
    <w:rsid w:val="00686973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686973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686973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686973"/>
  </w:style>
  <w:style w:type="paragraph" w:customStyle="1" w:styleId="Appendixref">
    <w:name w:val="Appendix_ref"/>
    <w:basedOn w:val="Annexref"/>
    <w:next w:val="Appendixtitle"/>
    <w:rsid w:val="003A0B7D"/>
  </w:style>
  <w:style w:type="paragraph" w:customStyle="1" w:styleId="Appendixtitle">
    <w:name w:val="Appendix_title"/>
    <w:basedOn w:val="Annextitle"/>
    <w:next w:val="Normal"/>
    <w:rsid w:val="003A0B7D"/>
  </w:style>
  <w:style w:type="paragraph" w:customStyle="1" w:styleId="Reftitle">
    <w:name w:val="Ref_title"/>
    <w:basedOn w:val="Normal"/>
    <w:next w:val="Reftext"/>
    <w:rsid w:val="00686973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3A0B7D"/>
    <w:pPr>
      <w:ind w:left="567" w:hanging="567"/>
    </w:pPr>
  </w:style>
  <w:style w:type="paragraph" w:customStyle="1" w:styleId="Rectitle">
    <w:name w:val="Rec_title"/>
    <w:basedOn w:val="Normal"/>
    <w:next w:val="Heading1"/>
    <w:rsid w:val="005A4EFD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3A0B7D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686973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3A0B7D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3A0B7D"/>
    <w:pPr>
      <w:ind w:left="-1701" w:hanging="284"/>
    </w:pPr>
  </w:style>
  <w:style w:type="paragraph" w:customStyle="1" w:styleId="Title3">
    <w:name w:val="Title 3"/>
    <w:basedOn w:val="Title2"/>
    <w:next w:val="Normalaftertitle"/>
    <w:rsid w:val="003A0B7D"/>
    <w:rPr>
      <w:caps w:val="0"/>
    </w:rPr>
  </w:style>
  <w:style w:type="paragraph" w:customStyle="1" w:styleId="Title2">
    <w:name w:val="Title 2"/>
    <w:basedOn w:val="Source"/>
    <w:next w:val="Title3"/>
    <w:rsid w:val="003A0B7D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F564C1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3A0B7D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3A0B7D"/>
  </w:style>
  <w:style w:type="paragraph" w:customStyle="1" w:styleId="Chaptitle">
    <w:name w:val="Chap_title"/>
    <w:basedOn w:val="Arttitle"/>
    <w:next w:val="Normal"/>
    <w:rsid w:val="003A0B7D"/>
  </w:style>
  <w:style w:type="paragraph" w:customStyle="1" w:styleId="Reasons">
    <w:name w:val="Reasons"/>
    <w:basedOn w:val="Normal"/>
    <w:qFormat/>
    <w:rsid w:val="003A0B7D"/>
  </w:style>
  <w:style w:type="paragraph" w:customStyle="1" w:styleId="ResNo">
    <w:name w:val="Res_No"/>
    <w:basedOn w:val="AnnexNo"/>
    <w:next w:val="Restitle"/>
    <w:rsid w:val="003A0B7D"/>
  </w:style>
  <w:style w:type="paragraph" w:customStyle="1" w:styleId="Restitle">
    <w:name w:val="Res_title"/>
    <w:basedOn w:val="Annextitle"/>
    <w:next w:val="Normal"/>
    <w:rsid w:val="005A4EFD"/>
  </w:style>
  <w:style w:type="paragraph" w:customStyle="1" w:styleId="AnnexNoS2">
    <w:name w:val="Annex_No_S2"/>
    <w:basedOn w:val="AnnexNo"/>
    <w:next w:val="Annexref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3A0B7D"/>
    <w:rPr>
      <w:caps w:val="0"/>
    </w:rPr>
  </w:style>
  <w:style w:type="paragraph" w:customStyle="1" w:styleId="Section2">
    <w:name w:val="Section 2"/>
    <w:basedOn w:val="Section1"/>
    <w:next w:val="Normal"/>
    <w:rsid w:val="003A0B7D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686973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686973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5A4EFD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686973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3A0B7D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3A0B7D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686973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5A4EFD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3A0B7D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3A0B7D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3A0B7D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3A0B7D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3A0B7D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3A0B7D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3A0B7D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1c">
    <w:name w:val="Heading 1c"/>
    <w:basedOn w:val="Heading1"/>
    <w:next w:val="Normal"/>
    <w:rsid w:val="00CC4DC5"/>
    <w:pPr>
      <w:ind w:left="0" w:firstLine="0"/>
      <w:jc w:val="center"/>
      <w:outlineLvl w:val="9"/>
    </w:pPr>
  </w:style>
  <w:style w:type="paragraph" w:customStyle="1" w:styleId="Heading2i">
    <w:name w:val="Heading 2i"/>
    <w:basedOn w:val="Heading2"/>
    <w:next w:val="Normal"/>
    <w:rsid w:val="005A4EFD"/>
    <w:rPr>
      <w:b w:val="0"/>
      <w:i/>
    </w:rPr>
  </w:style>
  <w:style w:type="paragraph" w:customStyle="1" w:styleId="Heading1cS2">
    <w:name w:val="Heading 1c_S2"/>
    <w:basedOn w:val="Heading1c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FirstFooter">
    <w:name w:val="FirstFooter"/>
    <w:basedOn w:val="Footer"/>
    <w:rsid w:val="003A0B7D"/>
    <w:rPr>
      <w:caps w:val="0"/>
    </w:rPr>
  </w:style>
  <w:style w:type="paragraph" w:customStyle="1" w:styleId="Headingb">
    <w:name w:val="Heading_b"/>
    <w:basedOn w:val="Heading3"/>
    <w:next w:val="Normal"/>
    <w:rsid w:val="003A0B7D"/>
    <w:pPr>
      <w:spacing w:before="160"/>
      <w:outlineLvl w:val="0"/>
    </w:pPr>
  </w:style>
  <w:style w:type="paragraph" w:styleId="TOC9">
    <w:name w:val="toc 9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i">
    <w:name w:val="Heading_i"/>
    <w:basedOn w:val="Heading3"/>
    <w:next w:val="Normal"/>
    <w:rsid w:val="005A4EFD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iS2">
    <w:name w:val="Heading 2i_S2"/>
    <w:basedOn w:val="Heading2i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5A4EFD"/>
    <w:rPr>
      <w:rFonts w:ascii="Calibri" w:hAnsi="Calibri"/>
    </w:rPr>
  </w:style>
  <w:style w:type="character" w:styleId="Hyperlink">
    <w:name w:val="Hyperlink"/>
    <w:basedOn w:val="DefaultParagraphFont"/>
    <w:uiPriority w:val="99"/>
    <w:rsid w:val="00CC4DC5"/>
    <w:rPr>
      <w:rFonts w:ascii="Calibri" w:hAnsi="Calibri"/>
      <w:color w:val="0000FF"/>
      <w:u w:val="single"/>
    </w:rPr>
  </w:style>
  <w:style w:type="paragraph" w:customStyle="1" w:styleId="firstfooter0">
    <w:name w:val="firstfooter"/>
    <w:basedOn w:val="Normal"/>
    <w:rsid w:val="00966CD3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686973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686973"/>
    <w:pPr>
      <w:spacing w:before="200"/>
      <w:outlineLvl w:val="2"/>
    </w:pPr>
    <w:rPr>
      <w:sz w:val="24"/>
    </w:rPr>
  </w:style>
  <w:style w:type="paragraph" w:customStyle="1" w:styleId="NormalendS2">
    <w:name w:val="Normal_end_S2"/>
    <w:basedOn w:val="Normal"/>
    <w:qFormat/>
    <w:rsid w:val="006C7AE3"/>
  </w:style>
  <w:style w:type="paragraph" w:customStyle="1" w:styleId="Dectitle">
    <w:name w:val="Dec_title"/>
    <w:basedOn w:val="Restitle"/>
    <w:next w:val="Normalaftertitle"/>
    <w:qFormat/>
    <w:rsid w:val="00C92746"/>
  </w:style>
  <w:style w:type="paragraph" w:customStyle="1" w:styleId="DecNo">
    <w:name w:val="Dec_No"/>
    <w:basedOn w:val="ResNo"/>
    <w:next w:val="Dectitle"/>
    <w:qFormat/>
    <w:rsid w:val="00C92746"/>
  </w:style>
  <w:style w:type="paragraph" w:customStyle="1" w:styleId="DectitleS2">
    <w:name w:val="Dec_title_S2"/>
    <w:basedOn w:val="RestitleS2"/>
    <w:next w:val="Normal"/>
    <w:qFormat/>
    <w:rsid w:val="00C92746"/>
  </w:style>
  <w:style w:type="paragraph" w:customStyle="1" w:styleId="DecNoS2">
    <w:name w:val="Dec_No_S2"/>
    <w:basedOn w:val="ResNoS2"/>
    <w:next w:val="DectitleS2"/>
    <w:qFormat/>
    <w:rsid w:val="00C92746"/>
  </w:style>
  <w:style w:type="paragraph" w:customStyle="1" w:styleId="SectionNo">
    <w:name w:val="Section_No"/>
    <w:basedOn w:val="ArtNo"/>
    <w:next w:val="Normal"/>
    <w:qFormat/>
    <w:rsid w:val="0090735B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90735B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90735B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90735B"/>
    <w:rPr>
      <w:lang w:val="en-GB"/>
    </w:rPr>
  </w:style>
  <w:style w:type="paragraph" w:customStyle="1" w:styleId="Proposal">
    <w:name w:val="Proposal"/>
    <w:basedOn w:val="Normal"/>
    <w:next w:val="Normal"/>
    <w:rsid w:val="008B61AF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BD161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  <w:lang w:val="fr-CH"/>
    </w:rPr>
  </w:style>
  <w:style w:type="paragraph" w:customStyle="1" w:styleId="Committee">
    <w:name w:val="Committee"/>
    <w:basedOn w:val="Normal"/>
    <w:qFormat/>
    <w:rsid w:val="00BD161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BD1614"/>
    <w:rPr>
      <w:rFonts w:ascii="Calibri" w:hAnsi="Calibri"/>
      <w:sz w:val="18"/>
      <w:lang w:val="fr-FR" w:eastAsia="en-US"/>
    </w:rPr>
  </w:style>
  <w:style w:type="paragraph" w:styleId="BalloonText">
    <w:name w:val="Balloon Text"/>
    <w:basedOn w:val="Normal"/>
    <w:link w:val="BalloonTextChar"/>
    <w:rsid w:val="00AE066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0667"/>
    <w:rPr>
      <w:rFonts w:ascii="Tahoma" w:hAnsi="Tahoma" w:cs="Tahoma"/>
      <w:sz w:val="16"/>
      <w:szCs w:val="16"/>
      <w:lang w:val="fr-FR" w:eastAsia="en-US"/>
    </w:rPr>
  </w:style>
  <w:style w:type="paragraph" w:customStyle="1" w:styleId="OP">
    <w:name w:val="OP"/>
    <w:basedOn w:val="Normal"/>
    <w:next w:val="Normal"/>
    <w:qFormat/>
    <w:rsid w:val="00D5658F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D5658F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270B2F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character" w:customStyle="1" w:styleId="href">
    <w:name w:val="href"/>
    <w:basedOn w:val="DefaultParagraphFont"/>
    <w:rsid w:val="006710E6"/>
    <w:rPr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7575C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901E77"/>
    <w:rPr>
      <w:color w:val="800080" w:themeColor="followedHyperlink"/>
      <w:u w:val="single"/>
    </w:rPr>
  </w:style>
  <w:style w:type="paragraph" w:customStyle="1" w:styleId="VolumeTitleS2">
    <w:name w:val="VolumeTitle_S2"/>
    <w:basedOn w:val="VolumeTitle"/>
    <w:next w:val="Normal"/>
    <w:qFormat/>
    <w:rsid w:val="00214288"/>
  </w:style>
  <w:style w:type="paragraph" w:styleId="Revision">
    <w:name w:val="Revision"/>
    <w:hidden/>
    <w:uiPriority w:val="99"/>
    <w:semiHidden/>
    <w:rsid w:val="004D5895"/>
    <w:rPr>
      <w:rFonts w:ascii="Calibri" w:hAnsi="Calibri"/>
      <w:sz w:val="24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39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itu.int/dms_pub/itu-s/md/25/cl/c/S25-CL-C-0029!!MSW-F.docx" TargetMode="Externa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252fcde6-1403-4b1b-9305-3a19d273f00c">DPM</DPM_x0020_Author>
    <DPM_x0020_File_x0020_name xmlns="252fcde6-1403-4b1b-9305-3a19d273f00c">S26-PP-C-0081!A18!MSW-F</DPM_x0020_File_x0020_name>
    <DPM_x0020_Version xmlns="252fcde6-1403-4b1b-9305-3a19d273f00c">DPM_2025.10.23.1</DPM_x0020_Version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252fcde6-1403-4b1b-9305-3a19d273f00c" targetNamespace="http://schemas.microsoft.com/office/2006/metadata/properties" ma:root="true" ma:fieldsID="d41af5c836d734370eb92e7ee5f83852" ns2:_="" ns3:_="">
    <xsd:import namespace="996b2e75-67fd-4955-a3b0-5ab9934cb50b"/>
    <xsd:import namespace="252fcde6-1403-4b1b-9305-3a19d273f00c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2fcde6-1403-4b1b-9305-3a19d273f00c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58882D-DC6C-463C-A5B4-658FF30E59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252fcde6-1403-4b1b-9305-3a19d273f00c"/>
  </ds:schemaRefs>
</ds:datastoreItem>
</file>

<file path=customXml/itemProps3.xml><?xml version="1.0" encoding="utf-8"?>
<ds:datastoreItem xmlns:ds="http://schemas.openxmlformats.org/officeDocument/2006/customXml" ds:itemID="{FEB32031-E1CC-4075-B25A-09B64D3D193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252fcde6-1403-4b1b-9305-3a19d273f0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430</Words>
  <Characters>2614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S26-PP-C-0081!A18!MSW-F</vt:lpstr>
      <vt:lpstr>S26-PP-C-0081!A18!MSW-F</vt:lpstr>
    </vt:vector>
  </TitlesOfParts>
  <Manager/>
  <Company/>
  <LinksUpToDate>false</LinksUpToDate>
  <CharactersWithSpaces>3038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S26-PP-C-0081!A18!MSW-F</dc:title>
  <dc:subject>ITU Plenipotentiary Conference (PP-26)</dc:subject>
  <dc:creator>Documents Proposals Manager (DPM)</dc:creator>
  <cp:keywords>DPM_v2026.8.25.1_prod</cp:keywords>
  <dc:description/>
  <cp:lastModifiedBy>Froehly, Mathilde</cp:lastModifiedBy>
  <cp:revision>6</cp:revision>
  <dcterms:created xsi:type="dcterms:W3CDTF">2026-10-26T06:58:00Z</dcterms:created>
  <dcterms:modified xsi:type="dcterms:W3CDTF">2026-10-26T15:59:00Z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