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0E702C0E" w14:textId="77777777" w:rsidTr="00C70164">
        <w:trPr>
          <w:cantSplit/>
          <w:jc w:val="center"/>
        </w:trPr>
        <w:tc>
          <w:tcPr>
            <w:tcW w:w="10031" w:type="dxa"/>
            <w:gridSpan w:val="2"/>
            <w:tcMar>
              <w:left w:w="0" w:type="dxa"/>
              <w:right w:w="0" w:type="dxa"/>
            </w:tcMar>
            <w:vAlign w:val="center"/>
          </w:tcPr>
          <w:p w14:paraId="501D486C"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4E62E4BD" wp14:editId="42EE0B70">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1FE5651F" w14:textId="77777777" w:rsidTr="00C70164">
        <w:trPr>
          <w:cantSplit/>
          <w:trHeight w:val="283"/>
          <w:jc w:val="center"/>
        </w:trPr>
        <w:tc>
          <w:tcPr>
            <w:tcW w:w="10031" w:type="dxa"/>
            <w:gridSpan w:val="2"/>
            <w:tcBorders>
              <w:bottom w:val="single" w:sz="12" w:space="0" w:color="71716F"/>
            </w:tcBorders>
          </w:tcPr>
          <w:p w14:paraId="0056E03E"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5C91BC08" w14:textId="77777777" w:rsidTr="00C70164">
        <w:trPr>
          <w:cantSplit/>
          <w:trHeight w:val="255"/>
          <w:jc w:val="center"/>
        </w:trPr>
        <w:tc>
          <w:tcPr>
            <w:tcW w:w="7230" w:type="dxa"/>
            <w:tcBorders>
              <w:top w:val="single" w:sz="12" w:space="0" w:color="71716F"/>
            </w:tcBorders>
          </w:tcPr>
          <w:p w14:paraId="3E650B63"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4572B4E0" w14:textId="77777777" w:rsidR="001A16ED" w:rsidRPr="00D96B4B" w:rsidRDefault="001A16ED" w:rsidP="000B596F">
            <w:pPr>
              <w:spacing w:before="0"/>
              <w:rPr>
                <w:rFonts w:cstheme="minorHAnsi"/>
                <w:sz w:val="20"/>
              </w:rPr>
            </w:pPr>
          </w:p>
        </w:tc>
      </w:tr>
      <w:tr w:rsidR="001A16ED" w:rsidRPr="00C324A8" w14:paraId="20EE0BC5" w14:textId="77777777" w:rsidTr="00C70164">
        <w:trPr>
          <w:cantSplit/>
          <w:trHeight w:val="23"/>
          <w:jc w:val="center"/>
        </w:trPr>
        <w:tc>
          <w:tcPr>
            <w:tcW w:w="7230" w:type="dxa"/>
          </w:tcPr>
          <w:p w14:paraId="5DE763C2"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10EAF60D" w14:textId="77777777" w:rsidR="001A16ED" w:rsidRPr="00F44B1A" w:rsidRDefault="001A16ED" w:rsidP="000B596F">
            <w:pPr>
              <w:tabs>
                <w:tab w:val="left" w:pos="851"/>
              </w:tabs>
              <w:spacing w:before="0"/>
              <w:rPr>
                <w:rFonts w:cstheme="minorHAnsi"/>
                <w:b/>
                <w:szCs w:val="24"/>
              </w:rPr>
            </w:pPr>
            <w:r>
              <w:rPr>
                <w:rFonts w:cstheme="minorHAnsi"/>
                <w:b/>
                <w:szCs w:val="24"/>
              </w:rPr>
              <w:t>Addendum 18 to</w:t>
            </w:r>
            <w:r>
              <w:rPr>
                <w:rFonts w:cstheme="minorHAnsi"/>
                <w:b/>
                <w:szCs w:val="24"/>
              </w:rPr>
              <w:br/>
              <w:t>Document 81</w:t>
            </w:r>
            <w:r w:rsidR="00F44B1A" w:rsidRPr="00F44B1A">
              <w:rPr>
                <w:rFonts w:cstheme="minorHAnsi"/>
                <w:b/>
                <w:szCs w:val="24"/>
              </w:rPr>
              <w:t>-E</w:t>
            </w:r>
          </w:p>
        </w:tc>
      </w:tr>
      <w:tr w:rsidR="001A16ED" w:rsidRPr="00C324A8" w14:paraId="153FCD14" w14:textId="77777777" w:rsidTr="00C70164">
        <w:trPr>
          <w:cantSplit/>
          <w:trHeight w:val="23"/>
          <w:jc w:val="center"/>
        </w:trPr>
        <w:tc>
          <w:tcPr>
            <w:tcW w:w="7230" w:type="dxa"/>
          </w:tcPr>
          <w:p w14:paraId="67463D23"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CA446E1"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2829B0D4" w14:textId="77777777" w:rsidTr="00C70164">
        <w:trPr>
          <w:cantSplit/>
          <w:trHeight w:val="23"/>
          <w:jc w:val="center"/>
        </w:trPr>
        <w:tc>
          <w:tcPr>
            <w:tcW w:w="7230" w:type="dxa"/>
          </w:tcPr>
          <w:p w14:paraId="4BAB399A"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2CDB1C6"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6A83115" w14:textId="77777777" w:rsidTr="00C70164">
        <w:trPr>
          <w:cantSplit/>
          <w:trHeight w:val="23"/>
          <w:jc w:val="center"/>
        </w:trPr>
        <w:tc>
          <w:tcPr>
            <w:tcW w:w="10031" w:type="dxa"/>
            <w:gridSpan w:val="2"/>
          </w:tcPr>
          <w:p w14:paraId="62717BD3" w14:textId="77777777" w:rsidR="001A16ED" w:rsidRPr="00D96B4B" w:rsidRDefault="001A16ED" w:rsidP="000B596F">
            <w:pPr>
              <w:tabs>
                <w:tab w:val="left" w:pos="993"/>
              </w:tabs>
              <w:rPr>
                <w:rFonts w:ascii="Verdana" w:hAnsi="Verdana"/>
                <w:b/>
                <w:szCs w:val="24"/>
              </w:rPr>
            </w:pPr>
          </w:p>
        </w:tc>
      </w:tr>
      <w:tr w:rsidR="001A16ED" w:rsidRPr="00C324A8" w14:paraId="753A86CE" w14:textId="77777777" w:rsidTr="00C70164">
        <w:trPr>
          <w:cantSplit/>
          <w:trHeight w:val="23"/>
          <w:jc w:val="center"/>
        </w:trPr>
        <w:tc>
          <w:tcPr>
            <w:tcW w:w="10031" w:type="dxa"/>
            <w:gridSpan w:val="2"/>
          </w:tcPr>
          <w:p w14:paraId="6D6FCDE4" w14:textId="77777777" w:rsidR="001A16ED" w:rsidRDefault="001A16ED" w:rsidP="000B596F">
            <w:pPr>
              <w:pStyle w:val="Source"/>
            </w:pPr>
            <w:r>
              <w:t>Member States of the Inter-American Telecommunication Commission (CITEL)</w:t>
            </w:r>
          </w:p>
        </w:tc>
      </w:tr>
      <w:tr w:rsidR="001A16ED" w:rsidRPr="00C324A8" w14:paraId="36AECDBE" w14:textId="77777777" w:rsidTr="00C70164">
        <w:trPr>
          <w:cantSplit/>
          <w:trHeight w:val="23"/>
          <w:jc w:val="center"/>
        </w:trPr>
        <w:tc>
          <w:tcPr>
            <w:tcW w:w="10031" w:type="dxa"/>
            <w:gridSpan w:val="2"/>
          </w:tcPr>
          <w:p w14:paraId="61528B17" w14:textId="77777777" w:rsidR="001A16ED" w:rsidRDefault="001A16ED" w:rsidP="000B596F">
            <w:pPr>
              <w:pStyle w:val="Title1"/>
            </w:pPr>
            <w:r>
              <w:t>PROPOSAL FOR SUPPRESSION (SUP) OF RESOLUTION 205</w:t>
            </w:r>
          </w:p>
        </w:tc>
      </w:tr>
      <w:tr w:rsidR="001A16ED" w:rsidRPr="00C324A8" w14:paraId="0ABE116B" w14:textId="77777777" w:rsidTr="00C70164">
        <w:trPr>
          <w:cantSplit/>
          <w:trHeight w:val="23"/>
          <w:jc w:val="center"/>
        </w:trPr>
        <w:tc>
          <w:tcPr>
            <w:tcW w:w="10031" w:type="dxa"/>
            <w:gridSpan w:val="2"/>
          </w:tcPr>
          <w:p w14:paraId="6B17CA70" w14:textId="77777777" w:rsidR="001A16ED" w:rsidRDefault="001A16ED" w:rsidP="000B596F">
            <w:pPr>
              <w:pStyle w:val="Title2"/>
            </w:pPr>
          </w:p>
        </w:tc>
      </w:tr>
      <w:tr w:rsidR="001A16ED" w:rsidRPr="00C324A8" w14:paraId="2968CAF0" w14:textId="77777777" w:rsidTr="00C70164">
        <w:trPr>
          <w:cantSplit/>
          <w:trHeight w:val="23"/>
          <w:jc w:val="center"/>
        </w:trPr>
        <w:tc>
          <w:tcPr>
            <w:tcW w:w="10031" w:type="dxa"/>
            <w:gridSpan w:val="2"/>
          </w:tcPr>
          <w:p w14:paraId="24A45EC7" w14:textId="670DAF3A" w:rsidR="008B3D06" w:rsidRPr="008B3D06" w:rsidRDefault="008B3D06" w:rsidP="008B3D06">
            <w:pPr>
              <w:rPr>
                <w:rFonts w:ascii="Segoe UI" w:hAnsi="Segoe UI" w:cs="Segoe UI"/>
                <w:b/>
                <w:bCs/>
                <w:color w:val="0D0D0D"/>
                <w:shd w:val="clear" w:color="auto" w:fill="FCFCFC"/>
                <w:lang w:val="en-US"/>
              </w:rPr>
            </w:pPr>
            <w:r w:rsidRPr="008B3D06">
              <w:rPr>
                <w:b/>
                <w:bCs/>
                <w:lang w:val="en-US"/>
              </w:rPr>
              <w:t>Abstract:</w:t>
            </w:r>
          </w:p>
          <w:p w14:paraId="38AEEA8C" w14:textId="431EF9AD" w:rsidR="001A16ED" w:rsidRPr="008B3D06" w:rsidRDefault="008B3D06" w:rsidP="008B3D06">
            <w:r w:rsidRPr="0053580B">
              <w:rPr>
                <w:lang w:val="en-US"/>
              </w:rPr>
              <w:t xml:space="preserve">CITEL proposes the suppression of Resolution 205 (Rev. Bucharest, 2022), noting that the ITU’s role in fostering telecommunication/ICT-centric innovation to support the digital economy and society is fundamental to its mission and is already well reflected in the ITU Strategic Plan (Plenipotentiary Resolution 71) and other </w:t>
            </w:r>
            <w:r>
              <w:rPr>
                <w:lang w:val="en-US"/>
              </w:rPr>
              <w:t>p</w:t>
            </w:r>
            <w:r w:rsidRPr="0053580B">
              <w:rPr>
                <w:lang w:val="en-US"/>
              </w:rPr>
              <w:t xml:space="preserve">lenipotentiary </w:t>
            </w:r>
            <w:r>
              <w:rPr>
                <w:lang w:val="en-US"/>
              </w:rPr>
              <w:t>r</w:t>
            </w:r>
            <w:r w:rsidRPr="0053580B">
              <w:rPr>
                <w:lang w:val="en-US"/>
              </w:rPr>
              <w:t>esolutions. Moreover, the instructions contained in Resolution 205 (Rev. Bucharest, 2022)</w:t>
            </w:r>
            <w:r>
              <w:rPr>
                <w:lang w:val="en-US"/>
              </w:rPr>
              <w:t xml:space="preserve"> </w:t>
            </w:r>
            <w:r w:rsidRPr="0053580B">
              <w:rPr>
                <w:lang w:val="en-US"/>
              </w:rPr>
              <w:t>are primarily directed to the Director of the Telecommunication Development Bureau, while WTDC Resolution 90 (Rev. Baku, 2025) addresses the same topic in greater detail. Accordingly, Resolution 205 (Rev. Bucharest, 2022)</w:t>
            </w:r>
            <w:r>
              <w:rPr>
                <w:lang w:val="en-US"/>
              </w:rPr>
              <w:t xml:space="preserve"> </w:t>
            </w:r>
            <w:r w:rsidRPr="0053580B">
              <w:rPr>
                <w:lang w:val="en-US"/>
              </w:rPr>
              <w:t>is no longer necessary and should be suppressed to streamline the ITU’s framework and promote greater efficiency.</w:t>
            </w:r>
          </w:p>
        </w:tc>
      </w:tr>
      <w:bookmarkEnd w:id="6"/>
      <w:bookmarkEnd w:id="7"/>
    </w:tbl>
    <w:p w14:paraId="343E1701" w14:textId="77777777" w:rsidR="001A16ED" w:rsidRDefault="001A16ED" w:rsidP="00AB2D04"/>
    <w:p w14:paraId="4D055595" w14:textId="77777777" w:rsidR="0008540E" w:rsidRPr="0008540E" w:rsidRDefault="001A16ED" w:rsidP="00004F8B">
      <w:r>
        <w:br w:type="page"/>
      </w:r>
    </w:p>
    <w:p w14:paraId="60B11543" w14:textId="77777777" w:rsidR="008F725C" w:rsidRDefault="002D2FA9">
      <w:pPr>
        <w:pStyle w:val="Proposal"/>
      </w:pPr>
      <w:r>
        <w:lastRenderedPageBreak/>
        <w:t>SUP</w:t>
      </w:r>
      <w:r>
        <w:tab/>
        <w:t>IAP/81A18/1</w:t>
      </w:r>
    </w:p>
    <w:p w14:paraId="048986E8" w14:textId="77777777" w:rsidR="002D2FA9" w:rsidRPr="00B66444" w:rsidRDefault="002D2FA9" w:rsidP="002D6687">
      <w:pPr>
        <w:pStyle w:val="ResNo"/>
      </w:pPr>
      <w:r w:rsidRPr="00B66444">
        <w:t xml:space="preserve">RESOLUTION </w:t>
      </w:r>
      <w:r w:rsidRPr="00B66444">
        <w:rPr>
          <w:rStyle w:val="href"/>
        </w:rPr>
        <w:t>205</w:t>
      </w:r>
      <w:r w:rsidRPr="00B66444">
        <w:t xml:space="preserve"> (REV. BUCHAREST, 2022)</w:t>
      </w:r>
    </w:p>
    <w:p w14:paraId="2B092469" w14:textId="77777777" w:rsidR="002D2FA9" w:rsidRPr="00B66444" w:rsidRDefault="002D2FA9" w:rsidP="007F4EDE">
      <w:pPr>
        <w:pStyle w:val="Restitle"/>
        <w:rPr>
          <w:rFonts w:eastAsia="STFangsong"/>
        </w:rPr>
      </w:pPr>
      <w:r w:rsidRPr="00B66444">
        <w:rPr>
          <w:rFonts w:eastAsia="STFangsong"/>
        </w:rPr>
        <w:t xml:space="preserve">ITU's role in fostering telecommunication/information and communication technology-centric innovation to support the digital economy and society </w:t>
      </w:r>
    </w:p>
    <w:p w14:paraId="18C6977B" w14:textId="77777777" w:rsidR="002D2FA9" w:rsidRPr="00B66444" w:rsidRDefault="002D2FA9" w:rsidP="007F4EDE">
      <w:pPr>
        <w:pStyle w:val="Normalaftertitle"/>
      </w:pPr>
      <w:r w:rsidRPr="00B66444">
        <w:t>The Plenipotentiary Conference of the International Telecommunication Union (Bucharest, 2022),</w:t>
      </w:r>
    </w:p>
    <w:p w14:paraId="15ADFA2A" w14:textId="1410360B" w:rsidR="008F725C" w:rsidRDefault="002D2FA9" w:rsidP="00DF0182">
      <w:pPr>
        <w:pStyle w:val="Reasons"/>
      </w:pPr>
      <w:r>
        <w:rPr>
          <w:b/>
        </w:rPr>
        <w:t>Reasons:</w:t>
      </w:r>
      <w:r>
        <w:tab/>
      </w:r>
      <w:r w:rsidR="008B3D06" w:rsidRPr="00090584">
        <w:t>According to the ITU Council’s “</w:t>
      </w:r>
      <w:hyperlink r:id="rId11" w:history="1">
        <w:r w:rsidR="008B3D06" w:rsidRPr="00090584">
          <w:rPr>
            <w:rStyle w:val="Hyperlink"/>
            <w:rFonts w:asciiTheme="minorHAnsi" w:hAnsiTheme="minorHAnsi" w:cstheme="minorHAnsi"/>
            <w:szCs w:val="24"/>
          </w:rPr>
          <w:t>Guidelines for Harmonizing Plenipotentiary Conference Resolutions and Decisions</w:t>
        </w:r>
      </w:hyperlink>
      <w:r w:rsidR="008B3D06" w:rsidRPr="00090584">
        <w:t>,” Member States should consider the principles of overlap and duplication (“Are the goals of the resolution/decision already reflected in the ITU Strategic Plan or other PP resolutions/decisions?”), as well as necessity (“Is the resolution/decision indispensable as a stand-alone?”).</w:t>
      </w:r>
      <w:r w:rsidR="008B3D06">
        <w:br/>
      </w:r>
      <w:r w:rsidR="008B3D06">
        <w:br/>
      </w:r>
      <w:r w:rsidR="008B3D06" w:rsidRPr="00090584">
        <w:t xml:space="preserve">The ITU’s role in fostering telecommunication/ICT-centric innovation to support the digital economy and society is fundamental to its mission and so is already well-reflected in the ITU Strategic Plan (Plenipotentiary Resolution 71), as well as many other </w:t>
      </w:r>
      <w:r w:rsidR="008B3D06">
        <w:t>p</w:t>
      </w:r>
      <w:r w:rsidR="008B3D06" w:rsidRPr="00090584">
        <w:t xml:space="preserve">lenipotentiary </w:t>
      </w:r>
      <w:r w:rsidR="008B3D06">
        <w:t>r</w:t>
      </w:r>
      <w:r w:rsidR="008B3D06" w:rsidRPr="00090584">
        <w:t xml:space="preserve">esolutions.  Moreover, the instructions in Resolution 205 </w:t>
      </w:r>
      <w:r w:rsidR="008B3D06" w:rsidRPr="0053580B">
        <w:rPr>
          <w:lang w:val="en-US"/>
        </w:rPr>
        <w:t>(Rev. Bucharest, 2022)</w:t>
      </w:r>
      <w:r w:rsidR="008B3D06">
        <w:rPr>
          <w:lang w:val="en-US"/>
        </w:rPr>
        <w:t xml:space="preserve"> </w:t>
      </w:r>
      <w:r w:rsidR="008B3D06" w:rsidRPr="00090584">
        <w:t>are primarily directed towards the Director of the Telecommunication Development Bureau; however, WTDC Resolution 90 (Rev. Baku, 2025) covers the exact same topic in even greater detail, making Resolution 205 unnecessary.</w:t>
      </w:r>
      <w:r w:rsidR="00DF0182">
        <w:br/>
      </w:r>
      <w:r w:rsidR="00DF0182">
        <w:br/>
      </w:r>
      <w:r w:rsidR="008B3D06">
        <w:t>Therefore</w:t>
      </w:r>
      <w:r w:rsidR="008B3D06" w:rsidRPr="00433A37">
        <w:t>, Resolution 205 no longer provides any unique value-add, and should be suppressed in the spirit of streamlining</w:t>
      </w:r>
    </w:p>
    <w:p w14:paraId="2258AF52" w14:textId="5170A5EC" w:rsidR="008B3D06" w:rsidRDefault="008B3D06" w:rsidP="008B3D06">
      <w:pPr>
        <w:jc w:val="center"/>
      </w:pPr>
      <w:r>
        <w:t>________________________________</w:t>
      </w:r>
    </w:p>
    <w:sectPr w:rsidR="008B3D06">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B7FE0" w14:textId="77777777" w:rsidR="006C16B7" w:rsidRDefault="006C16B7">
      <w:r>
        <w:separator/>
      </w:r>
    </w:p>
  </w:endnote>
  <w:endnote w:type="continuationSeparator" w:id="0">
    <w:p w14:paraId="0F704F9D" w14:textId="77777777" w:rsidR="006C16B7" w:rsidRDefault="006C1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TFangsong">
    <w:charset w:val="86"/>
    <w:family w:val="auto"/>
    <w:pitch w:val="variable"/>
    <w:sig w:usb0="00000287" w:usb1="080F0000" w:usb2="00000010" w:usb3="00000000" w:csb0="0004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DD250"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E999C"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2251E"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D59BE" w14:textId="77777777" w:rsidR="006C16B7" w:rsidRDefault="006C16B7">
      <w:r>
        <w:t>____________________</w:t>
      </w:r>
    </w:p>
  </w:footnote>
  <w:footnote w:type="continuationSeparator" w:id="0">
    <w:p w14:paraId="5401F506" w14:textId="77777777" w:rsidR="006C16B7" w:rsidRDefault="006C16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3C23B"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3DFAD"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2358B396" w14:textId="77777777" w:rsidR="00CE1B90" w:rsidRDefault="00CE1B90" w:rsidP="004F7925">
    <w:pPr>
      <w:pStyle w:val="Header"/>
    </w:pPr>
    <w:r>
      <w:t>PP</w:t>
    </w:r>
    <w:r w:rsidR="000235EC">
      <w:t>2</w:t>
    </w:r>
    <w:r w:rsidR="00EF3B7A">
      <w:t>6</w:t>
    </w:r>
    <w:r>
      <w:t>/81(Add.18)-E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AB6C2" w14:textId="77777777" w:rsidR="00F860C2" w:rsidRDefault="00F86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D2FA9"/>
    <w:rsid w:val="002E77F4"/>
    <w:rsid w:val="002F36B9"/>
    <w:rsid w:val="002F5FA2"/>
    <w:rsid w:val="003126B0"/>
    <w:rsid w:val="00314127"/>
    <w:rsid w:val="00314C12"/>
    <w:rsid w:val="003261C3"/>
    <w:rsid w:val="00334BC1"/>
    <w:rsid w:val="003453DA"/>
    <w:rsid w:val="00357754"/>
    <w:rsid w:val="003578E4"/>
    <w:rsid w:val="00361097"/>
    <w:rsid w:val="00366B90"/>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167BC"/>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822EF"/>
    <w:rsid w:val="006A70CD"/>
    <w:rsid w:val="006A7108"/>
    <w:rsid w:val="006B2035"/>
    <w:rsid w:val="006B40DA"/>
    <w:rsid w:val="006C16B7"/>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3D06"/>
    <w:rsid w:val="008B5A71"/>
    <w:rsid w:val="008D3BE2"/>
    <w:rsid w:val="008D4D98"/>
    <w:rsid w:val="008E2A7B"/>
    <w:rsid w:val="008E6E9B"/>
    <w:rsid w:val="008F2C56"/>
    <w:rsid w:val="008F3C99"/>
    <w:rsid w:val="008F725C"/>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26CEB"/>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018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F61BB"/>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https://www.itu.int/dms_pub/itu-s/md/25/cl/c/S25-CL-C-0029!!MSW-E.docx"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endnotes" Target="end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2.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3.xml><?xml version="1.0" encoding="utf-8"?>
<ds:datastoreItem xmlns:ds="http://schemas.openxmlformats.org/officeDocument/2006/customXml" ds:itemID="{6EA54C95-AEC6-4C83-A950-8C3A4E5FAA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332</Words>
  <Characters>2189</Characters>
  <Application>Microsoft Office Word</Application>
  <DocSecurity>0</DocSecurity>
  <Lines>52</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2503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S26-PP-C-0081!A18!MSW-E</dc:title>
  <dc:subject>ITU Plenipotentiary Conference (PP-26)</dc:subject>
  <dc:creator>Documents Proposals Manager (DPM)</dc:creator>
  <cp:keywords>DPM_v2026.8.25.1_prod</cp:keywords>
  <cp:lastModifiedBy>GBS-3</cp:lastModifiedBy>
  <cp:revision>3</cp:revision>
  <dcterms:created xsi:type="dcterms:W3CDTF">2026-10-23T12:58:00Z</dcterms:created>
  <dcterms:modified xsi:type="dcterms:W3CDTF">2026-10-23T12:58:00Z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