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44AFA806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2B13E4B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4355F76B" wp14:editId="54018CC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7042852E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21CDD3C9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10987275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42FC3AA2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61623BAE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05E9DC7C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436BA9BA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145B1964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17 to</w:t>
            </w:r>
            <w:r>
              <w:rPr>
                <w:rFonts w:cstheme="minorHAnsi"/>
                <w:b/>
                <w:szCs w:val="24"/>
              </w:rPr>
              <w:br/>
              <w:t>Document 81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057C03C7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77BC3BA3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0B48DE12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16 October 2026</w:t>
            </w:r>
          </w:p>
        </w:tc>
      </w:tr>
      <w:tr w:rsidR="001A16ED" w:rsidRPr="00C324A8" w14:paraId="077E2161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01A9955B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61D3700A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1E851137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0CD33AD7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72B20737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71F22CEA" w14:textId="77777777" w:rsidR="001A16ED" w:rsidRDefault="001A16ED" w:rsidP="000B596F">
            <w:pPr>
              <w:pStyle w:val="Source"/>
            </w:pPr>
            <w:r>
              <w:t>Member States of the Inter-American Telecommunication Commission (CITEL)</w:t>
            </w:r>
          </w:p>
        </w:tc>
      </w:tr>
      <w:tr w:rsidR="001A16ED" w:rsidRPr="00C324A8" w14:paraId="4AAD92F7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32CBACB6" w14:textId="77777777" w:rsidR="001A16ED" w:rsidRDefault="001A16ED" w:rsidP="000B596F">
            <w:pPr>
              <w:pStyle w:val="Title1"/>
            </w:pPr>
            <w:r>
              <w:t>PROPOSAL FOR SUPPRESSION (SUP) OF RESOLUTION 146</w:t>
            </w:r>
          </w:p>
        </w:tc>
      </w:tr>
      <w:tr w:rsidR="001A16ED" w:rsidRPr="00C324A8" w14:paraId="18113E5C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7FEBE731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478E204F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8921720" w14:textId="77777777" w:rsidR="001A16ED" w:rsidRPr="00656664" w:rsidRDefault="001A16ED" w:rsidP="000B596F">
            <w:pPr>
              <w:pStyle w:val="Agendaitem"/>
              <w:rPr>
                <w:lang w:val="en-GB"/>
              </w:rPr>
            </w:pPr>
          </w:p>
        </w:tc>
      </w:tr>
    </w:tbl>
    <w:bookmarkEnd w:id="6"/>
    <w:bookmarkEnd w:id="7"/>
    <w:p w14:paraId="0CB5FD63" w14:textId="3CC66FBE" w:rsidR="00656664" w:rsidRDefault="00656664" w:rsidP="00656664">
      <w:pPr>
        <w:pStyle w:val="Headingb"/>
      </w:pPr>
      <w:r w:rsidRPr="001F46F7">
        <w:rPr>
          <w:lang w:val="en-US"/>
        </w:rPr>
        <w:t>Abstract</w:t>
      </w:r>
    </w:p>
    <w:p w14:paraId="327A4FF1" w14:textId="1FAEB72D" w:rsidR="001A16ED" w:rsidRDefault="00656664" w:rsidP="00AB2D04">
      <w:r w:rsidRPr="00656664">
        <w:t>CITEL proposes the suppression of Plenipotentiary Resolution 146 (Rev. Bucharest, 2022), noting that the latest iteration of the Expert Group on the International Telecommunication Regulations (EG-</w:t>
      </w:r>
      <w:proofErr w:type="spellStart"/>
      <w:r w:rsidRPr="00656664">
        <w:t>ITRs</w:t>
      </w:r>
      <w:proofErr w:type="spellEnd"/>
      <w:r w:rsidRPr="00656664">
        <w:t>) has completed its mandate and that there is therefore no need to retain the Resolution. Debates within the EG-</w:t>
      </w:r>
      <w:proofErr w:type="spellStart"/>
      <w:r w:rsidRPr="00656664">
        <w:t>ITRs</w:t>
      </w:r>
      <w:proofErr w:type="spellEnd"/>
      <w:r w:rsidRPr="00656664">
        <w:t xml:space="preserve"> have consistently demonstrated a lack of consensus among Members. </w:t>
      </w:r>
      <w:proofErr w:type="gramStart"/>
      <w:r w:rsidRPr="00656664">
        <w:t>In light of</w:t>
      </w:r>
      <w:proofErr w:type="gramEnd"/>
      <w:r w:rsidRPr="00656664">
        <w:t xml:space="preserve"> the ITU’s budgetary constraints, continuing to allocate limited time and resources to the same issues would be inefficient and ineffective.</w:t>
      </w:r>
    </w:p>
    <w:p w14:paraId="195990D8" w14:textId="77777777" w:rsidR="0008540E" w:rsidRPr="0008540E" w:rsidRDefault="001A16ED" w:rsidP="00004F8B">
      <w:r>
        <w:br w:type="page"/>
      </w:r>
    </w:p>
    <w:p w14:paraId="1C165C1A" w14:textId="77777777" w:rsidR="00882F65" w:rsidRDefault="00000000">
      <w:pPr>
        <w:pStyle w:val="Proposal"/>
      </w:pPr>
      <w:r>
        <w:lastRenderedPageBreak/>
        <w:t>SUP</w:t>
      </w:r>
      <w:r>
        <w:tab/>
        <w:t>IAP/81A17/1</w:t>
      </w:r>
    </w:p>
    <w:p w14:paraId="20D81CAD" w14:textId="77777777" w:rsidR="00000000" w:rsidRPr="00B66444" w:rsidRDefault="00000000" w:rsidP="002D6687">
      <w:pPr>
        <w:pStyle w:val="ResNo"/>
      </w:pPr>
      <w:r w:rsidRPr="00B66444">
        <w:t>RESOLUTION</w:t>
      </w:r>
      <w:r w:rsidRPr="00B66444">
        <w:t> </w:t>
      </w:r>
      <w:r w:rsidRPr="00B66444">
        <w:rPr>
          <w:rStyle w:val="href"/>
        </w:rPr>
        <w:t>146</w:t>
      </w:r>
      <w:r w:rsidRPr="00B66444">
        <w:t xml:space="preserve"> (</w:t>
      </w:r>
      <w:r w:rsidRPr="00B66444">
        <w:t xml:space="preserve">REV. </w:t>
      </w:r>
      <w:r w:rsidRPr="00B66444">
        <w:t>BUCHAREST, 2022)</w:t>
      </w:r>
    </w:p>
    <w:p w14:paraId="1DD0DA6A" w14:textId="77777777" w:rsidR="00000000" w:rsidRPr="00B66444" w:rsidRDefault="00000000" w:rsidP="007F4EDE">
      <w:pPr>
        <w:pStyle w:val="Restitle"/>
      </w:pPr>
      <w:r w:rsidRPr="00B66444">
        <w:t>Periodic review of the International Telecommunication Regulations</w:t>
      </w:r>
    </w:p>
    <w:p w14:paraId="7057C582" w14:textId="77777777" w:rsidR="00000000" w:rsidRPr="00B66444" w:rsidRDefault="00000000" w:rsidP="007F4EDE">
      <w:pPr>
        <w:pStyle w:val="Normalaftertitle"/>
        <w:rPr>
          <w:lang w:eastAsia="zh-CN"/>
        </w:rPr>
      </w:pPr>
      <w:r w:rsidRPr="00B66444">
        <w:t>The Plenipotentiary Conference of the International Telecommunication Union (</w:t>
      </w:r>
      <w:r w:rsidRPr="00B66444">
        <w:rPr>
          <w:rFonts w:cs="Arial"/>
          <w:szCs w:val="24"/>
        </w:rPr>
        <w:t>Bucharest, 2022)</w:t>
      </w:r>
      <w:r w:rsidRPr="00B66444">
        <w:t>,</w:t>
      </w:r>
    </w:p>
    <w:p w14:paraId="7241047C" w14:textId="4D757609" w:rsidR="00882F65" w:rsidRDefault="00000000" w:rsidP="00656664">
      <w:pPr>
        <w:pStyle w:val="Reasons"/>
      </w:pPr>
      <w:r>
        <w:rPr>
          <w:b/>
        </w:rPr>
        <w:t>Reasons:</w:t>
      </w:r>
      <w:r>
        <w:tab/>
      </w:r>
      <w:r w:rsidR="00656664">
        <w:t xml:space="preserve">Over the past ten years, three cycles of the Expert Group </w:t>
      </w:r>
      <w:r w:rsidR="004B3CED" w:rsidRPr="004B3CED">
        <w:t>on the International Telecommunication Regulations</w:t>
      </w:r>
      <w:r w:rsidR="004B3CED" w:rsidRPr="004B3CED">
        <w:t xml:space="preserve"> </w:t>
      </w:r>
      <w:r w:rsidR="00656664">
        <w:t>(EG-</w:t>
      </w:r>
      <w:proofErr w:type="spellStart"/>
      <w:r w:rsidR="00656664">
        <w:t>ITRs</w:t>
      </w:r>
      <w:proofErr w:type="spellEnd"/>
      <w:r w:rsidR="00656664">
        <w:t>) have taken place, all of which resulted in a continued divergence of views. The latest iteration of the EG-</w:t>
      </w:r>
      <w:proofErr w:type="spellStart"/>
      <w:r w:rsidR="00656664">
        <w:t>ITRs</w:t>
      </w:r>
      <w:proofErr w:type="spellEnd"/>
      <w:r w:rsidR="00656664">
        <w:t xml:space="preserve"> held six meetings and completed its work in line with its Terms of Reference. Therefore, Resolution 146 is no longer necessary.</w:t>
      </w:r>
      <w:r w:rsidR="00656664">
        <w:br/>
      </w:r>
      <w:r w:rsidR="00656664">
        <w:t xml:space="preserve">The </w:t>
      </w:r>
      <w:hyperlink r:id="rId12" w:history="1">
        <w:r w:rsidR="00656664" w:rsidRPr="00656664">
          <w:rPr>
            <w:rStyle w:val="Hyperlink"/>
          </w:rPr>
          <w:t xml:space="preserve">final </w:t>
        </w:r>
        <w:r w:rsidR="00656664" w:rsidRPr="00656664">
          <w:rPr>
            <w:rStyle w:val="Hyperlink"/>
          </w:rPr>
          <w:t xml:space="preserve">Report </w:t>
        </w:r>
        <w:r w:rsidR="00656664" w:rsidRPr="00656664">
          <w:rPr>
            <w:rStyle w:val="Hyperlink"/>
          </w:rPr>
          <w:t>of th</w:t>
        </w:r>
        <w:r w:rsidR="00656664" w:rsidRPr="00656664">
          <w:rPr>
            <w:rStyle w:val="Hyperlink"/>
          </w:rPr>
          <w:t>e</w:t>
        </w:r>
        <w:r w:rsidR="00656664" w:rsidRPr="00656664">
          <w:rPr>
            <w:rStyle w:val="Hyperlink"/>
          </w:rPr>
          <w:t xml:space="preserve"> EG-</w:t>
        </w:r>
        <w:proofErr w:type="spellStart"/>
        <w:r w:rsidR="00656664" w:rsidRPr="00656664">
          <w:rPr>
            <w:rStyle w:val="Hyperlink"/>
          </w:rPr>
          <w:t>ITRs</w:t>
        </w:r>
        <w:proofErr w:type="spellEnd"/>
        <w:r w:rsidR="00656664" w:rsidRPr="00656664">
          <w:rPr>
            <w:rStyle w:val="Hyperlink"/>
          </w:rPr>
          <w:t xml:space="preserve"> to ITU Council 2026</w:t>
        </w:r>
      </w:hyperlink>
      <w:r w:rsidR="00656664">
        <w:t xml:space="preserve"> confirms the continued lack of consensus as to the way forward with respect to the </w:t>
      </w:r>
      <w:proofErr w:type="spellStart"/>
      <w:r w:rsidR="00656664">
        <w:t>ITRs</w:t>
      </w:r>
      <w:proofErr w:type="spellEnd"/>
      <w:r w:rsidR="00656664">
        <w:t>. Of the possible ways forward outlined in clause</w:t>
      </w:r>
      <w:r w:rsidR="00656664">
        <w:t> </w:t>
      </w:r>
      <w:r w:rsidR="00656664">
        <w:t xml:space="preserve">4.2, the only realistic option is to “suspend discussions on the </w:t>
      </w:r>
      <w:proofErr w:type="spellStart"/>
      <w:r w:rsidR="00656664">
        <w:t>ITRs</w:t>
      </w:r>
      <w:proofErr w:type="spellEnd"/>
      <w:r w:rsidR="00656664">
        <w:t xml:space="preserve"> since there is no consensus on how to proceed</w:t>
      </w:r>
      <w:r w:rsidR="00962DC4">
        <w:t>”</w:t>
      </w:r>
      <w:r w:rsidR="00656664">
        <w:t>. Given the ITU’s budgetary constraints, as well as its commitment to organizational efficiency and financial accountability, it would be irresponsible to continue to direct limited time and resources towards continuing a process that has not proven productive.</w:t>
      </w:r>
    </w:p>
    <w:sectPr w:rsidR="00882F6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02518" w14:textId="77777777" w:rsidR="00383B9A" w:rsidRDefault="00383B9A">
      <w:r>
        <w:separator/>
      </w:r>
    </w:p>
  </w:endnote>
  <w:endnote w:type="continuationSeparator" w:id="0">
    <w:p w14:paraId="2E642074" w14:textId="77777777" w:rsidR="00383B9A" w:rsidRDefault="00383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22FF7" w14:textId="77777777" w:rsidR="00F860C2" w:rsidRDefault="00F86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E719A" w14:textId="77777777" w:rsidR="00F860C2" w:rsidRDefault="00F860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4773E" w14:textId="77777777" w:rsidR="00F860C2" w:rsidRPr="003F2E54" w:rsidRDefault="00F860C2" w:rsidP="00F860C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EF3B7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Pr="00EF3B7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DCE71" w14:textId="77777777" w:rsidR="00383B9A" w:rsidRDefault="00383B9A">
      <w:r>
        <w:t>____________________</w:t>
      </w:r>
    </w:p>
  </w:footnote>
  <w:footnote w:type="continuationSeparator" w:id="0">
    <w:p w14:paraId="48C8447F" w14:textId="77777777" w:rsidR="00383B9A" w:rsidRDefault="00383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BDCD3" w14:textId="77777777" w:rsidR="00F860C2" w:rsidRDefault="00F860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1AD44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50B0DCB9" w14:textId="77777777" w:rsidR="00CE1B90" w:rsidRDefault="00CE1B90" w:rsidP="004F7925">
    <w:pPr>
      <w:pStyle w:val="Header"/>
    </w:pPr>
    <w:proofErr w:type="spellStart"/>
    <w:r>
      <w:t>PP</w:t>
    </w:r>
    <w:r w:rsidR="000235EC">
      <w:t>2</w:t>
    </w:r>
    <w:r w:rsidR="00EF3B7A">
      <w:t>6</w:t>
    </w:r>
    <w:proofErr w:type="spellEnd"/>
    <w:r>
      <w:t>/81(</w:t>
    </w:r>
    <w:proofErr w:type="spellStart"/>
    <w:r>
      <w:t>Add.17</w:t>
    </w:r>
    <w:proofErr w:type="spellEnd"/>
    <w:r>
      <w:t>)-E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0E2C5" w14:textId="77777777" w:rsidR="00F860C2" w:rsidRDefault="00F860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146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83B9A"/>
    <w:rsid w:val="00395CE4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B3CED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56664"/>
    <w:rsid w:val="0066499C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82F6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2DC4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967C6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860C2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0B079B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yperlink" Target="https://www.itu.int/dms_pub/itu-s/md/26/egitrs6/c/S26-EGITRS6-C-0010!!MSW-E.docx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87f00bba-708e-4895-9ffc-1ef8ffd7a7be" targetNamespace="http://schemas.microsoft.com/office/2006/metadata/properties" ma:root="true" ma:fieldsID="d41af5c836d734370eb92e7ee5f83852" ns2:_="" ns3:_="">
    <xsd:import namespace="996b2e75-67fd-4955-a3b0-5ab9934cb50b"/>
    <xsd:import namespace="87f00bba-708e-4895-9ffc-1ef8ffd7a7be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00bba-708e-4895-9ffc-1ef8ffd7a7be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87f00bba-708e-4895-9ffc-1ef8ffd7a7be">DPM</DPM_x0020_Author>
    <DPM_x0020_File_x0020_name xmlns="87f00bba-708e-4895-9ffc-1ef8ffd7a7be">S26-PP-C-0081!A17!MSW-E</DPM_x0020_File_x0020_name>
    <DPM_x0020_Version xmlns="87f00bba-708e-4895-9ffc-1ef8ffd7a7be">DPM_2025.10.23.1</DPM_x0020_Vers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86E935-421C-41F9-847B-CC9B46CC81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87f00bba-708e-4895-9ffc-1ef8ffd7a7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87f00bba-708e-4895-9ffc-1ef8ffd7a7be"/>
  </ds:schemaRefs>
</ds:datastoreItem>
</file>

<file path=customXml/itemProps4.xml><?xml version="1.0" encoding="utf-8"?>
<ds:datastoreItem xmlns:ds="http://schemas.openxmlformats.org/officeDocument/2006/customXml" ds:itemID="{046D4F16-703E-448A-85F2-0D0396EBB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246</Words>
  <Characters>1770</Characters>
  <Application>Microsoft Office Word</Application>
  <DocSecurity>0</DocSecurity>
  <Lines>118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S26-PP-C-0081!A17!MSW-E</vt:lpstr>
    </vt:vector>
  </TitlesOfParts>
  <Manager/>
  <Company/>
  <LinksUpToDate>false</LinksUpToDate>
  <CharactersWithSpaces>1959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S26-PP-C-0081!A17!MSW-E</dc:title>
  <dc:subject>ITU Plenipotentiary Conference (PP-26)</dc:subject>
  <dc:creator>Documents Proposals Manager (DPM)</dc:creator>
  <cp:keywords>DPM_v2026.8.25.1_prod</cp:keywords>
  <cp:lastModifiedBy>GBS-2</cp:lastModifiedBy>
  <cp:revision>4</cp:revision>
  <dcterms:created xsi:type="dcterms:W3CDTF">2026-10-18T13:03:00Z</dcterms:created>
  <dcterms:modified xsi:type="dcterms:W3CDTF">2026-10-18T13:06:00Z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