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670509" w14:paraId="392F58E9" w14:textId="77777777" w:rsidTr="005A329F">
        <w:trPr>
          <w:cantSplit/>
          <w:jc w:val="center"/>
        </w:trPr>
        <w:tc>
          <w:tcPr>
            <w:tcW w:w="10031" w:type="dxa"/>
            <w:gridSpan w:val="2"/>
            <w:tcMar>
              <w:left w:w="0" w:type="dxa"/>
              <w:right w:w="0" w:type="dxa"/>
            </w:tcMar>
            <w:vAlign w:val="center"/>
          </w:tcPr>
          <w:p w14:paraId="10020966" w14:textId="77777777" w:rsidR="00BF32F2" w:rsidRPr="00670509" w:rsidRDefault="00BF32F2" w:rsidP="00695012">
            <w:pPr>
              <w:pStyle w:val="Agendaitem"/>
            </w:pPr>
            <w:bookmarkStart w:id="0" w:name="ditulogo"/>
            <w:bookmarkEnd w:id="0"/>
            <w:r w:rsidRPr="00670509">
              <w:rPr>
                <w:noProof/>
              </w:rPr>
              <w:drawing>
                <wp:anchor distT="0" distB="0" distL="0" distR="0" simplePos="0" relativeHeight="251658240" behindDoc="1" locked="0" layoutInCell="1" allowOverlap="1" wp14:anchorId="1B440892" wp14:editId="1C097B6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670509" w14:paraId="1199768C" w14:textId="77777777" w:rsidTr="005A329F">
        <w:trPr>
          <w:cantSplit/>
          <w:trHeight w:val="283"/>
          <w:jc w:val="center"/>
        </w:trPr>
        <w:tc>
          <w:tcPr>
            <w:tcW w:w="10031" w:type="dxa"/>
            <w:gridSpan w:val="2"/>
            <w:tcBorders>
              <w:bottom w:val="single" w:sz="12" w:space="0" w:color="71716F"/>
            </w:tcBorders>
          </w:tcPr>
          <w:p w14:paraId="6872A7BA" w14:textId="77777777" w:rsidR="00277985" w:rsidRPr="00670509" w:rsidRDefault="00277985" w:rsidP="00BF32F2">
            <w:pPr>
              <w:spacing w:before="0" w:line="240" w:lineRule="atLeast"/>
              <w:rPr>
                <w:rFonts w:cstheme="minorHAnsi"/>
                <w:b/>
                <w:smallCaps/>
                <w:szCs w:val="24"/>
              </w:rPr>
            </w:pPr>
            <w:bookmarkStart w:id="1" w:name="dhead"/>
          </w:p>
        </w:tc>
      </w:tr>
      <w:tr w:rsidR="00255FA1" w:rsidRPr="00670509" w14:paraId="514D0AB8" w14:textId="77777777" w:rsidTr="005A329F">
        <w:trPr>
          <w:cantSplit/>
          <w:trHeight w:val="255"/>
          <w:jc w:val="center"/>
        </w:trPr>
        <w:tc>
          <w:tcPr>
            <w:tcW w:w="7229" w:type="dxa"/>
            <w:tcBorders>
              <w:top w:val="single" w:sz="12" w:space="0" w:color="71716F"/>
            </w:tcBorders>
          </w:tcPr>
          <w:p w14:paraId="47658285" w14:textId="77777777" w:rsidR="00255FA1" w:rsidRPr="00670509" w:rsidRDefault="00255FA1" w:rsidP="00BF32F2">
            <w:pPr>
              <w:spacing w:before="0"/>
              <w:ind w:firstLine="720"/>
              <w:rPr>
                <w:rFonts w:cstheme="minorHAnsi"/>
                <w:b/>
                <w:smallCaps/>
                <w:szCs w:val="24"/>
              </w:rPr>
            </w:pPr>
          </w:p>
        </w:tc>
        <w:tc>
          <w:tcPr>
            <w:tcW w:w="2802" w:type="dxa"/>
            <w:tcBorders>
              <w:top w:val="single" w:sz="12" w:space="0" w:color="71716F"/>
            </w:tcBorders>
          </w:tcPr>
          <w:p w14:paraId="1C4D01DC" w14:textId="77777777" w:rsidR="00255FA1" w:rsidRPr="00670509" w:rsidRDefault="00255FA1" w:rsidP="00BF32F2">
            <w:pPr>
              <w:spacing w:before="0"/>
              <w:rPr>
                <w:rFonts w:cstheme="minorHAnsi"/>
                <w:szCs w:val="24"/>
              </w:rPr>
            </w:pPr>
          </w:p>
        </w:tc>
      </w:tr>
      <w:tr w:rsidR="00255FA1" w:rsidRPr="00670509" w14:paraId="358DCBE1" w14:textId="77777777" w:rsidTr="005A329F">
        <w:trPr>
          <w:cantSplit/>
          <w:jc w:val="center"/>
        </w:trPr>
        <w:tc>
          <w:tcPr>
            <w:tcW w:w="7229" w:type="dxa"/>
          </w:tcPr>
          <w:p w14:paraId="13A11EB8" w14:textId="77777777" w:rsidR="00255FA1" w:rsidRPr="00670509" w:rsidRDefault="00255FA1" w:rsidP="003B5DC9">
            <w:pPr>
              <w:pStyle w:val="Committee"/>
              <w:framePr w:hSpace="0" w:wrap="auto" w:hAnchor="text" w:yAlign="inline"/>
              <w:spacing w:after="0" w:line="240" w:lineRule="auto"/>
              <w:rPr>
                <w:lang w:val="es-ES_tradnl"/>
              </w:rPr>
            </w:pPr>
            <w:r w:rsidRPr="00670509">
              <w:rPr>
                <w:lang w:val="es-ES_tradnl"/>
              </w:rPr>
              <w:t>SESIÓN PLENARIA</w:t>
            </w:r>
          </w:p>
        </w:tc>
        <w:tc>
          <w:tcPr>
            <w:tcW w:w="2802" w:type="dxa"/>
          </w:tcPr>
          <w:p w14:paraId="27244592" w14:textId="77777777" w:rsidR="00255FA1" w:rsidRPr="00670509" w:rsidRDefault="00255FA1" w:rsidP="003B5DC9">
            <w:pPr>
              <w:spacing w:before="0"/>
              <w:rPr>
                <w:rFonts w:cstheme="minorHAnsi"/>
                <w:szCs w:val="24"/>
              </w:rPr>
            </w:pPr>
            <w:r w:rsidRPr="00670509">
              <w:rPr>
                <w:rFonts w:cstheme="minorHAnsi"/>
                <w:b/>
                <w:szCs w:val="24"/>
              </w:rPr>
              <w:t>Addéndum 10 al</w:t>
            </w:r>
            <w:r w:rsidRPr="00670509">
              <w:rPr>
                <w:rFonts w:cstheme="minorHAnsi"/>
                <w:b/>
                <w:szCs w:val="24"/>
              </w:rPr>
              <w:br/>
              <w:t>Documento 81</w:t>
            </w:r>
            <w:r w:rsidR="00262FF4" w:rsidRPr="00670509">
              <w:rPr>
                <w:rFonts w:cstheme="minorHAnsi"/>
                <w:b/>
                <w:szCs w:val="24"/>
              </w:rPr>
              <w:t>-S</w:t>
            </w:r>
          </w:p>
        </w:tc>
      </w:tr>
      <w:tr w:rsidR="00255FA1" w:rsidRPr="00670509" w14:paraId="3FACFEFF" w14:textId="77777777" w:rsidTr="005A329F">
        <w:trPr>
          <w:cantSplit/>
          <w:jc w:val="center"/>
        </w:trPr>
        <w:tc>
          <w:tcPr>
            <w:tcW w:w="7229" w:type="dxa"/>
          </w:tcPr>
          <w:p w14:paraId="1BD3486A" w14:textId="77777777" w:rsidR="00255FA1" w:rsidRPr="00670509" w:rsidRDefault="00255FA1" w:rsidP="003B5DC9">
            <w:pPr>
              <w:spacing w:before="0"/>
              <w:rPr>
                <w:rFonts w:cstheme="minorHAnsi"/>
                <w:b/>
                <w:szCs w:val="24"/>
              </w:rPr>
            </w:pPr>
          </w:p>
        </w:tc>
        <w:tc>
          <w:tcPr>
            <w:tcW w:w="2802" w:type="dxa"/>
          </w:tcPr>
          <w:p w14:paraId="138DBD89" w14:textId="77777777" w:rsidR="00255FA1" w:rsidRPr="00670509" w:rsidRDefault="00255FA1" w:rsidP="003B5DC9">
            <w:pPr>
              <w:spacing w:before="0"/>
              <w:rPr>
                <w:rFonts w:cstheme="minorHAnsi"/>
                <w:b/>
                <w:szCs w:val="24"/>
              </w:rPr>
            </w:pPr>
            <w:r w:rsidRPr="00670509">
              <w:rPr>
                <w:rFonts w:cstheme="minorHAnsi"/>
                <w:b/>
                <w:szCs w:val="24"/>
              </w:rPr>
              <w:t>15 de octubre de 2026</w:t>
            </w:r>
          </w:p>
        </w:tc>
      </w:tr>
      <w:tr w:rsidR="00255FA1" w:rsidRPr="00670509" w14:paraId="5437C138" w14:textId="77777777" w:rsidTr="005A329F">
        <w:trPr>
          <w:cantSplit/>
          <w:jc w:val="center"/>
        </w:trPr>
        <w:tc>
          <w:tcPr>
            <w:tcW w:w="7229" w:type="dxa"/>
          </w:tcPr>
          <w:p w14:paraId="6ABF4863" w14:textId="77777777" w:rsidR="00255FA1" w:rsidRPr="00670509" w:rsidRDefault="00255FA1" w:rsidP="003B5DC9">
            <w:pPr>
              <w:spacing w:before="0"/>
              <w:rPr>
                <w:rFonts w:cstheme="minorHAnsi"/>
                <w:b/>
                <w:smallCaps/>
                <w:szCs w:val="24"/>
              </w:rPr>
            </w:pPr>
          </w:p>
        </w:tc>
        <w:tc>
          <w:tcPr>
            <w:tcW w:w="2802" w:type="dxa"/>
          </w:tcPr>
          <w:p w14:paraId="4748F04E" w14:textId="77777777" w:rsidR="00255FA1" w:rsidRPr="00670509" w:rsidRDefault="00255FA1" w:rsidP="003B5DC9">
            <w:pPr>
              <w:spacing w:before="0"/>
              <w:rPr>
                <w:rFonts w:cstheme="minorHAnsi"/>
                <w:b/>
                <w:szCs w:val="24"/>
              </w:rPr>
            </w:pPr>
            <w:r w:rsidRPr="00670509">
              <w:rPr>
                <w:rFonts w:cstheme="minorHAnsi"/>
                <w:b/>
                <w:szCs w:val="24"/>
              </w:rPr>
              <w:t>Original: inglés</w:t>
            </w:r>
          </w:p>
        </w:tc>
      </w:tr>
      <w:tr w:rsidR="00255FA1" w:rsidRPr="00670509" w14:paraId="6076D4ED" w14:textId="77777777" w:rsidTr="005A329F">
        <w:trPr>
          <w:cantSplit/>
          <w:jc w:val="center"/>
        </w:trPr>
        <w:tc>
          <w:tcPr>
            <w:tcW w:w="10031" w:type="dxa"/>
            <w:gridSpan w:val="2"/>
          </w:tcPr>
          <w:p w14:paraId="79FC55DC" w14:textId="77777777" w:rsidR="00255FA1" w:rsidRPr="00670509" w:rsidRDefault="00255FA1" w:rsidP="003B5DC9">
            <w:pPr>
              <w:spacing w:before="0" w:line="240" w:lineRule="atLeast"/>
              <w:rPr>
                <w:rFonts w:cstheme="minorHAnsi"/>
                <w:b/>
                <w:szCs w:val="24"/>
              </w:rPr>
            </w:pPr>
          </w:p>
        </w:tc>
      </w:tr>
      <w:tr w:rsidR="00255FA1" w:rsidRPr="00670509" w14:paraId="50ED5CFE" w14:textId="77777777" w:rsidTr="005A329F">
        <w:trPr>
          <w:cantSplit/>
          <w:jc w:val="center"/>
        </w:trPr>
        <w:tc>
          <w:tcPr>
            <w:tcW w:w="10031" w:type="dxa"/>
            <w:gridSpan w:val="2"/>
          </w:tcPr>
          <w:p w14:paraId="49D3799D" w14:textId="77777777" w:rsidR="00255FA1" w:rsidRPr="00670509" w:rsidRDefault="00255FA1" w:rsidP="003B5DC9">
            <w:pPr>
              <w:pStyle w:val="Source"/>
            </w:pPr>
            <w:bookmarkStart w:id="2" w:name="dsource" w:colFirst="0" w:colLast="0"/>
            <w:bookmarkEnd w:id="1"/>
            <w:r w:rsidRPr="00670509">
              <w:t>Estados Miembros de la Comisión Interamericana de Telecomunicaciones (CITEL)Estados Miembros de la Comisión Interamericana de Telecomunicaciones (CITEL)</w:t>
            </w:r>
          </w:p>
        </w:tc>
      </w:tr>
      <w:tr w:rsidR="00670509" w:rsidRPr="00670509" w14:paraId="76D4A55C" w14:textId="77777777" w:rsidTr="005A329F">
        <w:trPr>
          <w:cantSplit/>
          <w:jc w:val="center"/>
        </w:trPr>
        <w:tc>
          <w:tcPr>
            <w:tcW w:w="10031" w:type="dxa"/>
            <w:gridSpan w:val="2"/>
          </w:tcPr>
          <w:p w14:paraId="3D1557C3" w14:textId="49F495EB" w:rsidR="00670509" w:rsidRPr="00670509" w:rsidRDefault="00670509" w:rsidP="00670509">
            <w:pPr>
              <w:pStyle w:val="Title1"/>
            </w:pPr>
            <w:bookmarkStart w:id="3" w:name="dtitle1" w:colFirst="0" w:colLast="0"/>
            <w:bookmarkEnd w:id="2"/>
            <w:r w:rsidRPr="00670509">
              <w:t>PROPUESTA DE SUPRESIÓN (SUP) DE LA RESOLUCIÓN 2</w:t>
            </w:r>
          </w:p>
        </w:tc>
      </w:tr>
      <w:tr w:rsidR="00670509" w:rsidRPr="00670509" w14:paraId="515476B4" w14:textId="77777777" w:rsidTr="005A329F">
        <w:trPr>
          <w:cantSplit/>
          <w:jc w:val="center"/>
        </w:trPr>
        <w:tc>
          <w:tcPr>
            <w:tcW w:w="10031" w:type="dxa"/>
            <w:gridSpan w:val="2"/>
          </w:tcPr>
          <w:p w14:paraId="56D8AC3D" w14:textId="6CFE2912" w:rsidR="00670509" w:rsidRPr="00670509" w:rsidRDefault="00670509" w:rsidP="00670509">
            <w:pPr>
              <w:pStyle w:val="Title2"/>
            </w:pPr>
            <w:bookmarkStart w:id="4" w:name="dtitle2" w:colFirst="0" w:colLast="0"/>
            <w:bookmarkEnd w:id="3"/>
            <w:r w:rsidRPr="00670509">
              <w:t>FORO MUNDIAL DE POLÍTICA DE LAS TELECOMUNICACIONES/TECNOLOGÍAS DE LA INFORMACIÓN Y LA COMUNICACIÓN</w:t>
            </w:r>
          </w:p>
        </w:tc>
      </w:tr>
      <w:tr w:rsidR="00255FA1" w:rsidRPr="00670509" w14:paraId="212023B0" w14:textId="77777777" w:rsidTr="005A329F">
        <w:trPr>
          <w:cantSplit/>
          <w:jc w:val="center"/>
        </w:trPr>
        <w:tc>
          <w:tcPr>
            <w:tcW w:w="10031" w:type="dxa"/>
            <w:gridSpan w:val="2"/>
          </w:tcPr>
          <w:p w14:paraId="305AA95D" w14:textId="77777777" w:rsidR="00255FA1" w:rsidRPr="00670509" w:rsidRDefault="00255FA1" w:rsidP="003B5DC9">
            <w:pPr>
              <w:pStyle w:val="Agendaitem"/>
            </w:pPr>
            <w:bookmarkStart w:id="5" w:name="dtitle3" w:colFirst="0" w:colLast="0"/>
            <w:bookmarkEnd w:id="4"/>
          </w:p>
        </w:tc>
      </w:tr>
    </w:tbl>
    <w:bookmarkEnd w:id="5"/>
    <w:p w14:paraId="55E00D8B" w14:textId="77777777" w:rsidR="00670509" w:rsidRPr="00670509" w:rsidRDefault="00670509" w:rsidP="00931DEA">
      <w:pPr>
        <w:pStyle w:val="Headingb"/>
      </w:pPr>
      <w:r w:rsidRPr="00670509">
        <w:t>Resumen:</w:t>
      </w:r>
    </w:p>
    <w:p w14:paraId="0F748396" w14:textId="77777777" w:rsidR="00670509" w:rsidRPr="00670509" w:rsidRDefault="00670509" w:rsidP="00670509">
      <w:r w:rsidRPr="00670509">
        <w:t>La CITEL propone la supresión de la Resolución 2 (Rev. Bucarest, 2022) de la Conferencia de Plenipotenciarios, señalando que el Foro Mundial de Política de las Telecomunicaciones/tecnologías de la información y la comunicación (FMPT) y su proceso preparatorio requieren tiempo y recursos considerables sin producir resultados concretos y mensurables. La terminación del FMPT no afectaría negativamente a los trabajos de la UIT y fomentaría una mayor eficacia organizativa y responsabilidad financiera, lo que permitiría reorientar el limitado tiempo y recursos a actividades de mayor prioridad.</w:t>
      </w:r>
    </w:p>
    <w:p w14:paraId="6905D4AD" w14:textId="03E8CF2A" w:rsidR="00504FD4" w:rsidRPr="00670509" w:rsidRDefault="00670509" w:rsidP="00670509">
      <w:r w:rsidRPr="00670509">
        <w:t>La CITEL expresa su sincero agradecimiento a nuestro país Miembro, las Bahamas, por haber sido el país anfitrión del FMPT-26.</w:t>
      </w:r>
    </w:p>
    <w:p w14:paraId="1FBCE477" w14:textId="77777777" w:rsidR="00255FA1" w:rsidRPr="00670509" w:rsidRDefault="00255FA1" w:rsidP="00695012">
      <w:pPr>
        <w:rPr>
          <w:rStyle w:val="PageNumber"/>
        </w:rPr>
      </w:pPr>
      <w:r w:rsidRPr="00670509">
        <w:rPr>
          <w:rStyle w:val="PageNumber"/>
        </w:rPr>
        <w:br w:type="page"/>
      </w:r>
    </w:p>
    <w:p w14:paraId="2C95671F" w14:textId="77777777" w:rsidR="0051181B" w:rsidRPr="00670509" w:rsidRDefault="00E7644E">
      <w:pPr>
        <w:pStyle w:val="Proposal"/>
        <w:rPr>
          <w:lang w:val="es-ES_tradnl"/>
        </w:rPr>
      </w:pPr>
      <w:r w:rsidRPr="00670509">
        <w:rPr>
          <w:lang w:val="es-ES_tradnl"/>
        </w:rPr>
        <w:lastRenderedPageBreak/>
        <w:t>SUP</w:t>
      </w:r>
      <w:r w:rsidRPr="00670509">
        <w:rPr>
          <w:lang w:val="es-ES_tradnl"/>
        </w:rPr>
        <w:tab/>
        <w:t>IAP/81A10/1</w:t>
      </w:r>
    </w:p>
    <w:p w14:paraId="7AA1EB72" w14:textId="77777777" w:rsidR="00703BB9" w:rsidRPr="00670509" w:rsidRDefault="00E7644E" w:rsidP="004D216B">
      <w:pPr>
        <w:pStyle w:val="ResNo"/>
      </w:pPr>
      <w:r w:rsidRPr="00670509">
        <w:t xml:space="preserve">RESOLUCIÓN </w:t>
      </w:r>
      <w:r w:rsidRPr="00670509">
        <w:rPr>
          <w:rStyle w:val="href"/>
        </w:rPr>
        <w:t>2</w:t>
      </w:r>
      <w:r w:rsidRPr="00670509">
        <w:t xml:space="preserve"> (REV. BUCAREST, 2022)</w:t>
      </w:r>
    </w:p>
    <w:p w14:paraId="30D276CA" w14:textId="77777777" w:rsidR="00703BB9" w:rsidRPr="00670509" w:rsidRDefault="00E7644E" w:rsidP="004D216B">
      <w:pPr>
        <w:pStyle w:val="Restitle"/>
      </w:pPr>
      <w:r w:rsidRPr="00670509">
        <w:t>Foro Mundial de Política de las Telecomunicaciones/</w:t>
      </w:r>
      <w:r w:rsidRPr="00670509">
        <w:br/>
        <w:t>tecnologías de la información y la comunicación</w:t>
      </w:r>
    </w:p>
    <w:p w14:paraId="1523FF53" w14:textId="77777777" w:rsidR="00703BB9" w:rsidRPr="00670509" w:rsidRDefault="00E7644E" w:rsidP="003575A4">
      <w:pPr>
        <w:pStyle w:val="Normalaftertitle"/>
        <w:spacing w:before="120"/>
      </w:pPr>
      <w:r w:rsidRPr="00670509">
        <w:t>La Conferencia de Plenipotenciarios de la Unión Internacional de Telecomunicaciones (Bucarest, 2022),</w:t>
      </w:r>
    </w:p>
    <w:p w14:paraId="0127DAC7" w14:textId="7D435631" w:rsidR="00670509" w:rsidRDefault="00E7644E" w:rsidP="00670509">
      <w:pPr>
        <w:pStyle w:val="Reasons"/>
      </w:pPr>
      <w:r w:rsidRPr="00670509">
        <w:rPr>
          <w:b/>
        </w:rPr>
        <w:t>Motivos:</w:t>
      </w:r>
      <w:r w:rsidRPr="00670509">
        <w:tab/>
      </w:r>
      <w:r w:rsidR="00670509">
        <w:t xml:space="preserve">El Foro Mundial de Política de las Telecomunicaciones/tecnologías de la información y la comunicación (FMPT) y su proceso preparatorio imponen demandas cada vez más insostenibles a los limitados recursos y tiempo de los Estados Miembros. Durante el ciclo actual, por ejemplo, el GIE-FMPT ocupó más tiempo de reunión que cualquier otro Grupo de Trabajo del Consejo o Grupo de Expertos, un proceso preparatorio drásticamente desproporcionado para un evento de tres días con resultados no vinculantes. Esta situación es insostenible, especialmente a la luz de las restricciones presupuestarias de la UIT, y es incompatible con el compromiso de la UIT con la eficiencia organizativa y la responsabilidad fiscal. </w:t>
      </w:r>
    </w:p>
    <w:p w14:paraId="7100AC01" w14:textId="79A77E65" w:rsidR="00670509" w:rsidRDefault="00670509" w:rsidP="00DC2C2B">
      <w:r>
        <w:t xml:space="preserve">Al mismo tiempo, las Opiniones del FMPT aportan poco – o ninguno – valor sustantivo, ya que en gran medida duplican (a veces literalmente) el contenido de Resoluciones de alto nivel de la UIT. Por consiguiente, la elaboración de las Opiniones del FMPT también reproduce y prolonga innecesariamente los debates asociados de las conferencias y asambleas de la UIT. Para el FMPT-26, por ejemplo: </w:t>
      </w:r>
    </w:p>
    <w:p w14:paraId="41D3868B" w14:textId="4F040AD9" w:rsidR="00670509" w:rsidRDefault="00670509" w:rsidP="003575A4">
      <w:pPr>
        <w:pStyle w:val="enumlev1"/>
        <w:spacing w:before="60"/>
      </w:pPr>
      <w:r>
        <w:t>•</w:t>
      </w:r>
      <w:r w:rsidR="00931DEA">
        <w:tab/>
      </w:r>
      <w:r>
        <w:t>el proyecto de Opinión 1 (brechas digitales) duplica, entre otras, la Resolución 139 (Rev.</w:t>
      </w:r>
      <w:r w:rsidR="00931DEA">
        <w:t> </w:t>
      </w:r>
      <w:r>
        <w:t>Bucarest, 2022) de la Conferencia de Plenipotenciarios y la Resolución 37 (Rev.</w:t>
      </w:r>
      <w:r w:rsidR="00931DEA">
        <w:t> </w:t>
      </w:r>
      <w:r>
        <w:t xml:space="preserve">Bakú, 2025) de la CMDT; </w:t>
      </w:r>
    </w:p>
    <w:p w14:paraId="6ADD6254" w14:textId="3F17124F" w:rsidR="00670509" w:rsidRDefault="00670509" w:rsidP="003575A4">
      <w:pPr>
        <w:pStyle w:val="enumlev1"/>
        <w:spacing w:before="60"/>
      </w:pPr>
      <w:r>
        <w:t>•</w:t>
      </w:r>
      <w:r>
        <w:tab/>
        <w:t>el proyecto de Opinión 2 (transformación digital ecológica) duplica la Resolución 182 (Rev.</w:t>
      </w:r>
      <w:r w:rsidR="00931DEA">
        <w:t> </w:t>
      </w:r>
      <w:r>
        <w:t>Bucarest, 2022) de la Conferencia de Plenipotenciarios, la Resolución 73 (Rev.</w:t>
      </w:r>
      <w:r w:rsidR="00931DEA">
        <w:t> </w:t>
      </w:r>
      <w:r>
        <w:t>Nueva</w:t>
      </w:r>
      <w:r w:rsidR="00931DEA">
        <w:t> </w:t>
      </w:r>
      <w:r>
        <w:t>Delhi, 2024) de la AMNT y la Resolución 66 (Rev. Bakú, 2025) de la CMDT, entre otras;</w:t>
      </w:r>
    </w:p>
    <w:p w14:paraId="4A121691" w14:textId="7D39CD74" w:rsidR="00670509" w:rsidRDefault="00670509" w:rsidP="003575A4">
      <w:pPr>
        <w:pStyle w:val="enumlev1"/>
        <w:spacing w:before="60"/>
      </w:pPr>
      <w:r>
        <w:t>•</w:t>
      </w:r>
      <w:r>
        <w:tab/>
        <w:t>el proyecto de Opinión 3 (resiliencia) duplica, entre otras, la Resolución 136 (Rev.</w:t>
      </w:r>
      <w:r w:rsidR="00931DEA">
        <w:t> </w:t>
      </w:r>
      <w:r>
        <w:t>Bucarest, 2022) de la Conferencia de Plenipotenciarios y la Resolución 34 (Rev.</w:t>
      </w:r>
      <w:r w:rsidR="00931DEA">
        <w:t> </w:t>
      </w:r>
      <w:r>
        <w:t>Bakú, 2025) de la CMDT;</w:t>
      </w:r>
    </w:p>
    <w:p w14:paraId="32F8A1CD" w14:textId="77777777" w:rsidR="00670509" w:rsidRDefault="00670509" w:rsidP="003575A4">
      <w:pPr>
        <w:pStyle w:val="enumlev1"/>
        <w:spacing w:before="60"/>
      </w:pPr>
      <w:r>
        <w:t>•</w:t>
      </w:r>
      <w:r>
        <w:tab/>
        <w:t xml:space="preserve">el proyecto de Opinión 4 (conectividad espacial) retoma los debates de la AMNT-24 y la CMDT-25 y se prevé que se celebre en la PP-26; y </w:t>
      </w:r>
    </w:p>
    <w:p w14:paraId="0764093F" w14:textId="77777777" w:rsidR="00670509" w:rsidRDefault="00670509" w:rsidP="003575A4">
      <w:pPr>
        <w:pStyle w:val="enumlev1"/>
        <w:spacing w:before="60"/>
      </w:pPr>
      <w:r>
        <w:t>•</w:t>
      </w:r>
      <w:r>
        <w:tab/>
        <w:t>el proyecto de Opinión 5 (iniciativas empresariales e innovación centrada en las TIC) duplica, entre otras, la Resolución 205 (Rev. Bucarest, 2022) de la Conferencia de Plenipotenciarios y la Resolución 90 (Rev. Bakú, 2025) de la CMDT;</w:t>
      </w:r>
    </w:p>
    <w:p w14:paraId="015302AA" w14:textId="77777777" w:rsidR="003575A4" w:rsidRDefault="00670509" w:rsidP="00DC2C2B">
      <w:r>
        <w:t xml:space="preserve">En resumen, el FMPT y su proceso preparatorio absorben una cantidad considerable de tiempo y recursos limitados, al tiempo que duplican otros eventos de alto nivel de la UIT. Por lo tanto, debería suprimirse la Resolución 2. El objetivo del FMPT – </w:t>
      </w:r>
      <w:r w:rsidR="00931DEA">
        <w:t>"</w:t>
      </w:r>
      <w:r>
        <w:t>continuar examinando asuntos de política y reglamentación de las telecomunicaciones/TIC e intercambiando opiniones e información al respecto</w:t>
      </w:r>
      <w:r w:rsidR="00931DEA">
        <w:t>"</w:t>
      </w:r>
      <w:r>
        <w:t xml:space="preserve"> – aún puede alcanzarse plenamente a través de otros mecanismos de la UIT, como el Simposio Mundial para Organismos Reguladores (GSR).</w:t>
      </w:r>
    </w:p>
    <w:p w14:paraId="6899F385" w14:textId="77777777" w:rsidR="003575A4" w:rsidRDefault="003575A4" w:rsidP="003575A4">
      <w:pPr>
        <w:spacing w:before="0"/>
        <w:jc w:val="center"/>
      </w:pPr>
      <w:r>
        <w:t>______________</w:t>
      </w:r>
    </w:p>
    <w:sectPr w:rsidR="003575A4">
      <w:headerReference w:type="even" r:id="rId12"/>
      <w:headerReference w:type="default" r:id="rId13"/>
      <w:footerReference w:type="even" r:id="rId14"/>
      <w:footerReference w:type="default" r:id="rId15"/>
      <w:headerReference w:type="first" r:id="rId16"/>
      <w:footerReference w:type="first" r:id="rId17"/>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E1547" w14:textId="77777777" w:rsidR="00766C0E" w:rsidRDefault="00766C0E">
      <w:r>
        <w:separator/>
      </w:r>
    </w:p>
  </w:endnote>
  <w:endnote w:type="continuationSeparator" w:id="0">
    <w:p w14:paraId="51E441C6" w14:textId="77777777" w:rsidR="00766C0E" w:rsidRDefault="00766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A371C"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81A74"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DD6D8"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62AB5" w14:textId="77777777" w:rsidR="00766C0E" w:rsidRDefault="00766C0E">
      <w:r>
        <w:t>____________________</w:t>
      </w:r>
    </w:p>
  </w:footnote>
  <w:footnote w:type="continuationSeparator" w:id="0">
    <w:p w14:paraId="4E65BB1A" w14:textId="77777777" w:rsidR="00766C0E" w:rsidRDefault="00766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98600"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BDAAB" w14:textId="77777777" w:rsidR="00255FA1" w:rsidRDefault="00255FA1" w:rsidP="00255FA1">
    <w:pPr>
      <w:pStyle w:val="Header"/>
    </w:pPr>
    <w:r>
      <w:fldChar w:fldCharType="begin"/>
    </w:r>
    <w:r>
      <w:instrText xml:space="preserve"> PAGE </w:instrText>
    </w:r>
    <w:r>
      <w:fldChar w:fldCharType="separate"/>
    </w:r>
    <w:r w:rsidR="00670509">
      <w:rPr>
        <w:noProof/>
      </w:rPr>
      <w:t>2</w:t>
    </w:r>
    <w:r>
      <w:fldChar w:fldCharType="end"/>
    </w:r>
  </w:p>
  <w:p w14:paraId="1BA0BDB8" w14:textId="77777777" w:rsidR="00255FA1" w:rsidRDefault="00255FA1" w:rsidP="00C43474">
    <w:pPr>
      <w:pStyle w:val="Header"/>
    </w:pPr>
    <w:r>
      <w:rPr>
        <w:lang w:val="en-US"/>
      </w:rPr>
      <w:t>PP</w:t>
    </w:r>
    <w:r w:rsidR="009D1BE0">
      <w:rPr>
        <w:lang w:val="en-US"/>
      </w:rPr>
      <w:t>2</w:t>
    </w:r>
    <w:r w:rsidR="009415B6">
      <w:rPr>
        <w:lang w:val="en-US"/>
      </w:rPr>
      <w:t>6</w:t>
    </w:r>
    <w:r>
      <w:t>/81(Add.10)-</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4E126" w14:textId="77777777" w:rsidR="00BF32F2" w:rsidRDefault="00BF32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0D6A75"/>
    <w:rsid w:val="0010546D"/>
    <w:rsid w:val="00135F93"/>
    <w:rsid w:val="001632E3"/>
    <w:rsid w:val="001C7980"/>
    <w:rsid w:val="001D4983"/>
    <w:rsid w:val="001D6EC3"/>
    <w:rsid w:val="001D787B"/>
    <w:rsid w:val="001E3D06"/>
    <w:rsid w:val="001F0B24"/>
    <w:rsid w:val="00213D70"/>
    <w:rsid w:val="00225F6B"/>
    <w:rsid w:val="00237C17"/>
    <w:rsid w:val="00242376"/>
    <w:rsid w:val="00255FA1"/>
    <w:rsid w:val="00262FF4"/>
    <w:rsid w:val="00277985"/>
    <w:rsid w:val="002C6527"/>
    <w:rsid w:val="002E44FC"/>
    <w:rsid w:val="00351381"/>
    <w:rsid w:val="003537B5"/>
    <w:rsid w:val="003575A4"/>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1181B"/>
    <w:rsid w:val="00523448"/>
    <w:rsid w:val="005359B6"/>
    <w:rsid w:val="00546BED"/>
    <w:rsid w:val="005470E8"/>
    <w:rsid w:val="00550FCF"/>
    <w:rsid w:val="005513A9"/>
    <w:rsid w:val="00556958"/>
    <w:rsid w:val="00567ED5"/>
    <w:rsid w:val="005A329F"/>
    <w:rsid w:val="005D1164"/>
    <w:rsid w:val="005D6488"/>
    <w:rsid w:val="005F6278"/>
    <w:rsid w:val="00601280"/>
    <w:rsid w:val="00631CCF"/>
    <w:rsid w:val="00641DBD"/>
    <w:rsid w:val="006426C0"/>
    <w:rsid w:val="006455D2"/>
    <w:rsid w:val="006537F3"/>
    <w:rsid w:val="00670509"/>
    <w:rsid w:val="00695012"/>
    <w:rsid w:val="006B5512"/>
    <w:rsid w:val="006C190D"/>
    <w:rsid w:val="00703BB9"/>
    <w:rsid w:val="00720686"/>
    <w:rsid w:val="00737EFF"/>
    <w:rsid w:val="00750806"/>
    <w:rsid w:val="00766C0E"/>
    <w:rsid w:val="00780430"/>
    <w:rsid w:val="007875D2"/>
    <w:rsid w:val="007D61E2"/>
    <w:rsid w:val="007F6EBC"/>
    <w:rsid w:val="00810D8B"/>
    <w:rsid w:val="00882773"/>
    <w:rsid w:val="008B30EF"/>
    <w:rsid w:val="008B4706"/>
    <w:rsid w:val="008B6676"/>
    <w:rsid w:val="008C3FA8"/>
    <w:rsid w:val="008E51C5"/>
    <w:rsid w:val="008F7109"/>
    <w:rsid w:val="009107B0"/>
    <w:rsid w:val="009220DE"/>
    <w:rsid w:val="00930E84"/>
    <w:rsid w:val="00931DEA"/>
    <w:rsid w:val="009415B6"/>
    <w:rsid w:val="00956FE6"/>
    <w:rsid w:val="0099270D"/>
    <w:rsid w:val="0099551E"/>
    <w:rsid w:val="009A1A86"/>
    <w:rsid w:val="009D1BE0"/>
    <w:rsid w:val="009E0C42"/>
    <w:rsid w:val="00A50BE3"/>
    <w:rsid w:val="00A70E95"/>
    <w:rsid w:val="00AA1F73"/>
    <w:rsid w:val="00AB190D"/>
    <w:rsid w:val="00AB34CA"/>
    <w:rsid w:val="00AD400E"/>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C2C2B"/>
    <w:rsid w:val="00DE3E41"/>
    <w:rsid w:val="00E05D81"/>
    <w:rsid w:val="00E53DFC"/>
    <w:rsid w:val="00E66FC3"/>
    <w:rsid w:val="00E677DD"/>
    <w:rsid w:val="00E7644E"/>
    <w:rsid w:val="00E77F17"/>
    <w:rsid w:val="00E809D8"/>
    <w:rsid w:val="00E921EC"/>
    <w:rsid w:val="00EB23D0"/>
    <w:rsid w:val="00EC395A"/>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57D940"/>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77ae6b8-39cf-4756-ad75-e1f47513afa8" targetNamespace="http://schemas.microsoft.com/office/2006/metadata/properties" ma:root="true" ma:fieldsID="d41af5c836d734370eb92e7ee5f83852" ns2:_="" ns3:_="">
    <xsd:import namespace="996b2e75-67fd-4955-a3b0-5ab9934cb50b"/>
    <xsd:import namespace="477ae6b8-39cf-4756-ad75-e1f47513afa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77ae6b8-39cf-4756-ad75-e1f47513afa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477ae6b8-39cf-4756-ad75-e1f47513afa8">DPM</DPM_x0020_Author>
    <DPM_x0020_File_x0020_name xmlns="477ae6b8-39cf-4756-ad75-e1f47513afa8">S26-PP-C-0081!A10!MSW-S</DPM_x0020_File_x0020_name>
    <DPM_x0020_Version xmlns="477ae6b8-39cf-4756-ad75-e1f47513afa8">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77ae6b8-39cf-4756-ad75-e1f47513a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77ae6b8-39cf-4756-ad75-e1f47513afa8"/>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S26-PP-C-0081!A10!MSW-S</vt:lpstr>
    </vt:vector>
  </TitlesOfParts>
  <Manager/>
  <Company/>
  <LinksUpToDate>false</LinksUpToDate>
  <CharactersWithSpaces>4065</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S26-PP-C-0081!A10!MSW-S</dc:title>
  <dc:subject>ITU Plenipotentiary Conference (PP-26)</dc:subject>
  <dc:creator>Documents Proposals Manager (DPM)</dc:creator>
  <cp:keywords>DPM_v2026.8.25.1_prod</cp:keywords>
  <dc:description/>
  <cp:lastModifiedBy>Spanish</cp:lastModifiedBy>
  <cp:revision>8</cp:revision>
  <dcterms:created xsi:type="dcterms:W3CDTF">2026-10-20T09:46:00Z</dcterms:created>
  <dcterms:modified xsi:type="dcterms:W3CDTF">2026-10-20T10:26:00Z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