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48613B" w14:paraId="7D062723" w14:textId="77777777" w:rsidTr="00EC1877">
        <w:trPr>
          <w:cantSplit/>
          <w:jc w:val="center"/>
        </w:trPr>
        <w:tc>
          <w:tcPr>
            <w:tcW w:w="10031" w:type="dxa"/>
            <w:gridSpan w:val="2"/>
            <w:tcMar>
              <w:left w:w="0" w:type="dxa"/>
              <w:right w:w="0" w:type="dxa"/>
            </w:tcMar>
            <w:vAlign w:val="center"/>
          </w:tcPr>
          <w:p w14:paraId="5BDB0971" w14:textId="77777777" w:rsidR="00CE496F" w:rsidRPr="0048613B" w:rsidRDefault="00CE496F" w:rsidP="00CE496F">
            <w:pPr>
              <w:spacing w:before="0" w:line="240" w:lineRule="atLeast"/>
              <w:rPr>
                <w:rFonts w:cstheme="minorHAnsi"/>
              </w:rPr>
            </w:pPr>
            <w:bookmarkStart w:id="0" w:name="ditulogo"/>
            <w:bookmarkEnd w:id="0"/>
            <w:r w:rsidRPr="0048613B">
              <w:rPr>
                <w:rFonts w:cstheme="minorHAnsi"/>
              </w:rPr>
              <w:drawing>
                <wp:anchor distT="0" distB="0" distL="0" distR="0" simplePos="0" relativeHeight="251658240" behindDoc="1" locked="0" layoutInCell="1" allowOverlap="1" wp14:anchorId="230D8641" wp14:editId="58E4284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48613B" w14:paraId="73A42E1D" w14:textId="77777777" w:rsidTr="00BD5C12">
        <w:trPr>
          <w:cantSplit/>
          <w:jc w:val="center"/>
        </w:trPr>
        <w:tc>
          <w:tcPr>
            <w:tcW w:w="10031" w:type="dxa"/>
            <w:gridSpan w:val="2"/>
            <w:tcBorders>
              <w:bottom w:val="single" w:sz="12" w:space="0" w:color="71716F"/>
            </w:tcBorders>
          </w:tcPr>
          <w:p w14:paraId="701869EA" w14:textId="77777777" w:rsidR="002E1AF7" w:rsidRPr="0048613B" w:rsidRDefault="002E1AF7" w:rsidP="00CE496F">
            <w:pPr>
              <w:spacing w:before="0" w:line="240" w:lineRule="atLeast"/>
              <w:rPr>
                <w:rFonts w:cstheme="minorHAnsi"/>
                <w:b/>
                <w:smallCaps/>
                <w:szCs w:val="24"/>
              </w:rPr>
            </w:pPr>
            <w:bookmarkStart w:id="1" w:name="dhead"/>
          </w:p>
        </w:tc>
      </w:tr>
      <w:tr w:rsidR="00BD1614" w:rsidRPr="0048613B" w14:paraId="2355EE98" w14:textId="77777777" w:rsidTr="00EC1877">
        <w:trPr>
          <w:cantSplit/>
          <w:jc w:val="center"/>
        </w:trPr>
        <w:tc>
          <w:tcPr>
            <w:tcW w:w="7229" w:type="dxa"/>
            <w:tcBorders>
              <w:top w:val="single" w:sz="12" w:space="0" w:color="71716F"/>
            </w:tcBorders>
          </w:tcPr>
          <w:p w14:paraId="7C8A1554" w14:textId="77777777" w:rsidR="00BD1614" w:rsidRPr="0048613B"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58612F06" w14:textId="77777777" w:rsidR="00BD1614" w:rsidRPr="0048613B" w:rsidRDefault="00BD1614" w:rsidP="007A47E9">
            <w:pPr>
              <w:spacing w:before="0"/>
              <w:rPr>
                <w:rFonts w:cstheme="minorHAnsi"/>
                <w:szCs w:val="24"/>
              </w:rPr>
            </w:pPr>
          </w:p>
        </w:tc>
      </w:tr>
      <w:tr w:rsidR="00BD1614" w:rsidRPr="0048613B" w14:paraId="7A888D50" w14:textId="77777777" w:rsidTr="00CE496F">
        <w:trPr>
          <w:cantSplit/>
          <w:jc w:val="center"/>
        </w:trPr>
        <w:tc>
          <w:tcPr>
            <w:tcW w:w="7229" w:type="dxa"/>
          </w:tcPr>
          <w:p w14:paraId="32AF08E6" w14:textId="77777777" w:rsidR="00BD1614" w:rsidRPr="0048613B" w:rsidRDefault="00BD1614" w:rsidP="007A47E9">
            <w:pPr>
              <w:pStyle w:val="Committee"/>
              <w:framePr w:hSpace="0" w:wrap="auto" w:hAnchor="text" w:yAlign="inline"/>
              <w:spacing w:after="0" w:line="240" w:lineRule="auto"/>
              <w:rPr>
                <w:lang w:val="fr-FR"/>
              </w:rPr>
            </w:pPr>
            <w:r w:rsidRPr="0048613B">
              <w:rPr>
                <w:lang w:val="fr-FR"/>
              </w:rPr>
              <w:t>SÉANCE PLÉNIÈRE</w:t>
            </w:r>
          </w:p>
        </w:tc>
        <w:tc>
          <w:tcPr>
            <w:tcW w:w="2802" w:type="dxa"/>
            <w:tcMar>
              <w:left w:w="142" w:type="dxa"/>
              <w:right w:w="0" w:type="dxa"/>
            </w:tcMar>
          </w:tcPr>
          <w:p w14:paraId="7FF5248F" w14:textId="77777777" w:rsidR="00BD1614" w:rsidRPr="0048613B" w:rsidRDefault="00BD1614" w:rsidP="007A47E9">
            <w:pPr>
              <w:spacing w:before="0"/>
              <w:rPr>
                <w:rFonts w:cstheme="minorHAnsi"/>
                <w:szCs w:val="24"/>
              </w:rPr>
            </w:pPr>
            <w:r w:rsidRPr="0048613B">
              <w:rPr>
                <w:rFonts w:cstheme="minorHAnsi"/>
                <w:b/>
                <w:szCs w:val="24"/>
              </w:rPr>
              <w:t>Addendum 10 au</w:t>
            </w:r>
            <w:r w:rsidRPr="0048613B">
              <w:rPr>
                <w:rFonts w:cstheme="minorHAnsi"/>
                <w:b/>
                <w:szCs w:val="24"/>
              </w:rPr>
              <w:br/>
              <w:t>Document 81</w:t>
            </w:r>
            <w:r w:rsidR="005F63BD" w:rsidRPr="0048613B">
              <w:rPr>
                <w:rFonts w:cstheme="minorHAnsi"/>
                <w:b/>
                <w:szCs w:val="24"/>
              </w:rPr>
              <w:t>-F</w:t>
            </w:r>
          </w:p>
        </w:tc>
      </w:tr>
      <w:tr w:rsidR="00BD1614" w:rsidRPr="0048613B" w14:paraId="6618CC71" w14:textId="77777777" w:rsidTr="00CE496F">
        <w:trPr>
          <w:cantSplit/>
          <w:jc w:val="center"/>
        </w:trPr>
        <w:tc>
          <w:tcPr>
            <w:tcW w:w="7229" w:type="dxa"/>
          </w:tcPr>
          <w:p w14:paraId="63A23092" w14:textId="77777777" w:rsidR="00BD1614" w:rsidRPr="0048613B" w:rsidRDefault="00BD1614" w:rsidP="007A47E9">
            <w:pPr>
              <w:spacing w:before="0"/>
              <w:rPr>
                <w:rFonts w:cstheme="minorHAnsi"/>
                <w:b/>
                <w:szCs w:val="24"/>
              </w:rPr>
            </w:pPr>
          </w:p>
        </w:tc>
        <w:tc>
          <w:tcPr>
            <w:tcW w:w="2802" w:type="dxa"/>
            <w:tcMar>
              <w:left w:w="142" w:type="dxa"/>
              <w:right w:w="0" w:type="dxa"/>
            </w:tcMar>
          </w:tcPr>
          <w:p w14:paraId="602E2A47" w14:textId="77777777" w:rsidR="00BD1614" w:rsidRPr="0048613B" w:rsidRDefault="00BD1614" w:rsidP="007A47E9">
            <w:pPr>
              <w:spacing w:before="0"/>
              <w:rPr>
                <w:rFonts w:cstheme="minorHAnsi"/>
                <w:b/>
                <w:szCs w:val="24"/>
              </w:rPr>
            </w:pPr>
            <w:r w:rsidRPr="0048613B">
              <w:rPr>
                <w:rFonts w:cstheme="minorHAnsi"/>
                <w:b/>
                <w:szCs w:val="24"/>
              </w:rPr>
              <w:t>15 octobre 2026</w:t>
            </w:r>
          </w:p>
        </w:tc>
      </w:tr>
      <w:tr w:rsidR="00BD1614" w:rsidRPr="0048613B" w14:paraId="68DF1C6F" w14:textId="77777777" w:rsidTr="00CE496F">
        <w:trPr>
          <w:cantSplit/>
          <w:jc w:val="center"/>
        </w:trPr>
        <w:tc>
          <w:tcPr>
            <w:tcW w:w="7229" w:type="dxa"/>
          </w:tcPr>
          <w:p w14:paraId="60680568" w14:textId="77777777" w:rsidR="00BD1614" w:rsidRPr="0048613B" w:rsidRDefault="00BD1614" w:rsidP="007A47E9">
            <w:pPr>
              <w:spacing w:before="0"/>
              <w:rPr>
                <w:rFonts w:cstheme="minorHAnsi"/>
                <w:b/>
                <w:smallCaps/>
                <w:szCs w:val="24"/>
              </w:rPr>
            </w:pPr>
          </w:p>
        </w:tc>
        <w:tc>
          <w:tcPr>
            <w:tcW w:w="2802" w:type="dxa"/>
            <w:tcMar>
              <w:left w:w="142" w:type="dxa"/>
              <w:right w:w="0" w:type="dxa"/>
            </w:tcMar>
          </w:tcPr>
          <w:p w14:paraId="11A45860" w14:textId="77777777" w:rsidR="00BD1614" w:rsidRPr="0048613B" w:rsidRDefault="00BD1614" w:rsidP="007A47E9">
            <w:pPr>
              <w:spacing w:before="0"/>
              <w:rPr>
                <w:rFonts w:cstheme="minorHAnsi"/>
                <w:b/>
                <w:szCs w:val="24"/>
              </w:rPr>
            </w:pPr>
            <w:r w:rsidRPr="0048613B">
              <w:rPr>
                <w:rFonts w:cstheme="minorHAnsi"/>
                <w:b/>
                <w:szCs w:val="24"/>
              </w:rPr>
              <w:t>Original: anglais</w:t>
            </w:r>
          </w:p>
        </w:tc>
      </w:tr>
      <w:tr w:rsidR="00BD1614" w:rsidRPr="0048613B" w14:paraId="4D6B06FB" w14:textId="77777777" w:rsidTr="002E1AF7">
        <w:trPr>
          <w:cantSplit/>
          <w:jc w:val="center"/>
        </w:trPr>
        <w:tc>
          <w:tcPr>
            <w:tcW w:w="10031" w:type="dxa"/>
            <w:gridSpan w:val="2"/>
          </w:tcPr>
          <w:p w14:paraId="5252CC0E" w14:textId="77777777" w:rsidR="00BD1614" w:rsidRPr="0048613B" w:rsidRDefault="00BD1614" w:rsidP="007A47E9">
            <w:pPr>
              <w:spacing w:before="0" w:line="240" w:lineRule="atLeast"/>
              <w:rPr>
                <w:rFonts w:cstheme="minorHAnsi"/>
                <w:b/>
                <w:szCs w:val="24"/>
              </w:rPr>
            </w:pPr>
          </w:p>
        </w:tc>
      </w:tr>
      <w:tr w:rsidR="00BD1614" w:rsidRPr="0048613B" w14:paraId="4393658C" w14:textId="77777777" w:rsidTr="002E1AF7">
        <w:trPr>
          <w:cantSplit/>
          <w:jc w:val="center"/>
        </w:trPr>
        <w:tc>
          <w:tcPr>
            <w:tcW w:w="10031" w:type="dxa"/>
            <w:gridSpan w:val="2"/>
          </w:tcPr>
          <w:p w14:paraId="1DF7B97B" w14:textId="540DB937" w:rsidR="00BD1614" w:rsidRPr="0048613B" w:rsidRDefault="00BD1614" w:rsidP="007A47E9">
            <w:pPr>
              <w:pStyle w:val="Source"/>
            </w:pPr>
            <w:bookmarkStart w:id="2" w:name="dsource" w:colFirst="0" w:colLast="0"/>
            <w:bookmarkEnd w:id="1"/>
            <w:r w:rsidRPr="0048613B">
              <w:t>États Membres de la Commission interaméricaine</w:t>
            </w:r>
            <w:r w:rsidR="00F86895" w:rsidRPr="0048613B">
              <w:br/>
            </w:r>
            <w:r w:rsidRPr="0048613B">
              <w:t>des télécommunications (CITEL</w:t>
            </w:r>
            <w:r w:rsidR="00EF4DE1" w:rsidRPr="0048613B">
              <w:t>)</w:t>
            </w:r>
          </w:p>
        </w:tc>
      </w:tr>
      <w:tr w:rsidR="00BD1614" w:rsidRPr="0048613B" w14:paraId="3543AC13" w14:textId="77777777" w:rsidTr="002E1AF7">
        <w:trPr>
          <w:cantSplit/>
          <w:jc w:val="center"/>
        </w:trPr>
        <w:tc>
          <w:tcPr>
            <w:tcW w:w="10031" w:type="dxa"/>
            <w:gridSpan w:val="2"/>
          </w:tcPr>
          <w:p w14:paraId="08AB78BD" w14:textId="7E50DC9F" w:rsidR="00BD1614" w:rsidRPr="0048613B" w:rsidRDefault="00F40BD7" w:rsidP="0048613B">
            <w:pPr>
              <w:pStyle w:val="Title1"/>
            </w:pPr>
            <w:bookmarkStart w:id="3" w:name="dtitle1" w:colFirst="0" w:colLast="0"/>
            <w:bookmarkEnd w:id="2"/>
            <w:r w:rsidRPr="0048613B">
              <w:t>proposition de suppression</w:t>
            </w:r>
            <w:r w:rsidR="00BD1614" w:rsidRPr="0048613B">
              <w:t xml:space="preserve"> (SUP) </w:t>
            </w:r>
            <w:r w:rsidRPr="0048613B">
              <w:t>de la résolution</w:t>
            </w:r>
            <w:r w:rsidR="00BD1614" w:rsidRPr="0048613B">
              <w:t xml:space="preserve"> 2</w:t>
            </w:r>
            <w:r w:rsidR="0048613B" w:rsidRPr="0048613B">
              <w:t xml:space="preserve"> </w:t>
            </w:r>
            <w:r w:rsidR="00EF4DE1" w:rsidRPr="0048613B">
              <w:t>(rév. bucarest, 2022)</w:t>
            </w:r>
          </w:p>
        </w:tc>
      </w:tr>
      <w:tr w:rsidR="00BD1614" w:rsidRPr="0048613B" w14:paraId="5DF17D04" w14:textId="77777777" w:rsidTr="002E1AF7">
        <w:trPr>
          <w:cantSplit/>
          <w:jc w:val="center"/>
        </w:trPr>
        <w:tc>
          <w:tcPr>
            <w:tcW w:w="10031" w:type="dxa"/>
            <w:gridSpan w:val="2"/>
          </w:tcPr>
          <w:p w14:paraId="002D1E56" w14:textId="30D62BAB" w:rsidR="00BD1614" w:rsidRPr="0048613B" w:rsidRDefault="00F40BD7" w:rsidP="0048613B">
            <w:pPr>
              <w:pStyle w:val="Title2"/>
            </w:pPr>
            <w:bookmarkStart w:id="4" w:name="dtitle2" w:colFirst="0" w:colLast="0"/>
            <w:bookmarkEnd w:id="3"/>
            <w:r w:rsidRPr="0048613B">
              <w:t xml:space="preserve">Forum mondial des politiques de télécommunication </w:t>
            </w:r>
            <w:r w:rsidR="00F86895" w:rsidRPr="0048613B">
              <w:br/>
            </w:r>
            <w:r w:rsidRPr="0048613B">
              <w:t xml:space="preserve">et des technologies de l'information </w:t>
            </w:r>
            <w:r w:rsidR="00F86895" w:rsidRPr="0048613B">
              <w:br/>
            </w:r>
            <w:r w:rsidRPr="0048613B">
              <w:t>et de</w:t>
            </w:r>
            <w:r w:rsidR="000F646D" w:rsidRPr="0048613B">
              <w:t>S</w:t>
            </w:r>
            <w:r w:rsidRPr="0048613B">
              <w:t xml:space="preserve"> communication</w:t>
            </w:r>
            <w:r w:rsidR="000F646D" w:rsidRPr="0048613B">
              <w:t>S</w:t>
            </w:r>
          </w:p>
        </w:tc>
      </w:tr>
      <w:tr w:rsidR="00BD1614" w:rsidRPr="0048613B" w14:paraId="3FE5074B" w14:textId="77777777" w:rsidTr="002E1AF7">
        <w:trPr>
          <w:cantSplit/>
          <w:jc w:val="center"/>
        </w:trPr>
        <w:tc>
          <w:tcPr>
            <w:tcW w:w="10031" w:type="dxa"/>
            <w:gridSpan w:val="2"/>
          </w:tcPr>
          <w:p w14:paraId="1455F001" w14:textId="77777777" w:rsidR="00BD1614" w:rsidRPr="0048613B" w:rsidRDefault="00BD1614" w:rsidP="007A47E9">
            <w:pPr>
              <w:pStyle w:val="Agendaitem"/>
              <w:rPr>
                <w:lang w:val="fr-FR"/>
              </w:rPr>
            </w:pPr>
            <w:bookmarkStart w:id="5" w:name="dtitle3" w:colFirst="0" w:colLast="0"/>
            <w:bookmarkEnd w:id="4"/>
          </w:p>
        </w:tc>
      </w:tr>
    </w:tbl>
    <w:bookmarkEnd w:id="5"/>
    <w:p w14:paraId="5E4E78AB" w14:textId="77777777" w:rsidR="000F646D" w:rsidRPr="0048613B" w:rsidRDefault="00F40BD7" w:rsidP="0048613B">
      <w:pPr>
        <w:pStyle w:val="Headingb"/>
      </w:pPr>
      <w:r w:rsidRPr="0048613B">
        <w:t>Résumé:</w:t>
      </w:r>
    </w:p>
    <w:p w14:paraId="236D2EE9" w14:textId="70918402" w:rsidR="000F646D" w:rsidRPr="0048613B" w:rsidRDefault="000F646D" w:rsidP="000F646D">
      <w:pPr>
        <w:rPr>
          <w:b/>
          <w:bCs/>
        </w:rPr>
      </w:pPr>
      <w:r w:rsidRPr="0048613B">
        <w:t xml:space="preserve">La CITEL propose de supprimer la Résolution 2 (Rév. Bucarest, 2022) de la Conférence de plénipotentiaires, </w:t>
      </w:r>
      <w:r w:rsidR="0006374A" w:rsidRPr="0048613B">
        <w:t xml:space="preserve">sachant </w:t>
      </w:r>
      <w:r w:rsidRPr="0048613B">
        <w:t>que le Forum mondial des politiques de télécommunication/technologies de l</w:t>
      </w:r>
      <w:r w:rsidR="00F86895" w:rsidRPr="0048613B">
        <w:t>'</w:t>
      </w:r>
      <w:r w:rsidRPr="0048613B">
        <w:t>information et des communications (FMPT) et son processus préparatoire demandent beaucoup de temps et de ressources, sans produire pour autant de résultats concrets et mesurables. L'arrêt du FMPT ne nuirait en rien aux travaux de l</w:t>
      </w:r>
      <w:r w:rsidR="00F86895" w:rsidRPr="0048613B">
        <w:t>'</w:t>
      </w:r>
      <w:r w:rsidRPr="0048613B">
        <w:t xml:space="preserve">UIT et </w:t>
      </w:r>
      <w:r w:rsidR="0006374A" w:rsidRPr="0048613B">
        <w:t>favoriserait</w:t>
      </w:r>
      <w:r w:rsidRPr="0048613B">
        <w:t xml:space="preserve"> l'efficacité organisationnelle et la responsabilité financière, </w:t>
      </w:r>
      <w:r w:rsidR="0006374A" w:rsidRPr="0048613B">
        <w:t>en permettant</w:t>
      </w:r>
      <w:r w:rsidRPr="0048613B">
        <w:t xml:space="preserve"> de réaffecter du temps et des ressources </w:t>
      </w:r>
      <w:r w:rsidR="0006374A" w:rsidRPr="0048613B">
        <w:t xml:space="preserve">limités </w:t>
      </w:r>
      <w:r w:rsidRPr="0048613B">
        <w:t>vers des activités plus</w:t>
      </w:r>
      <w:r w:rsidR="00F86895" w:rsidRPr="0048613B">
        <w:t xml:space="preserve"> </w:t>
      </w:r>
      <w:r w:rsidR="0006374A" w:rsidRPr="0048613B">
        <w:t>prioritaires</w:t>
      </w:r>
      <w:r w:rsidRPr="0048613B">
        <w:t>.</w:t>
      </w:r>
    </w:p>
    <w:p w14:paraId="6A27D005" w14:textId="77777777" w:rsidR="0048613B" w:rsidRPr="0048613B" w:rsidRDefault="00FD582C" w:rsidP="0048613B">
      <w:r w:rsidRPr="0048613B">
        <w:t>Par ailleurs, l</w:t>
      </w:r>
      <w:r w:rsidR="000F646D" w:rsidRPr="0048613B">
        <w:t>a CITEL adresse ses sincères remerciements aux Bahamas, qui ont accueilli le FMPT-26.</w:t>
      </w:r>
    </w:p>
    <w:p w14:paraId="7DFBF165" w14:textId="4FDCF174" w:rsidR="00BD1614" w:rsidRPr="0048613B" w:rsidRDefault="00BD1614" w:rsidP="0048613B">
      <w:r w:rsidRPr="0048613B">
        <w:br w:type="page"/>
      </w:r>
    </w:p>
    <w:p w14:paraId="4568BDE8" w14:textId="77777777" w:rsidR="00CD66B6" w:rsidRPr="0048613B" w:rsidRDefault="006D7736">
      <w:pPr>
        <w:pStyle w:val="Proposal"/>
      </w:pPr>
      <w:r w:rsidRPr="0048613B">
        <w:lastRenderedPageBreak/>
        <w:t>SUP</w:t>
      </w:r>
      <w:r w:rsidRPr="0048613B">
        <w:tab/>
        <w:t>IAP/81A10/1</w:t>
      </w:r>
    </w:p>
    <w:p w14:paraId="5E4A3DD4" w14:textId="77777777" w:rsidR="006D7736" w:rsidRPr="0048613B" w:rsidRDefault="006D7736" w:rsidP="005E1B5A">
      <w:pPr>
        <w:pStyle w:val="ResNo"/>
      </w:pPr>
      <w:r w:rsidRPr="0048613B">
        <w:t xml:space="preserve">RÉSOLUTION </w:t>
      </w:r>
      <w:r w:rsidRPr="0048613B">
        <w:rPr>
          <w:rStyle w:val="href"/>
        </w:rPr>
        <w:t>2</w:t>
      </w:r>
      <w:r w:rsidRPr="0048613B">
        <w:t xml:space="preserve"> (RÉV. BUCAREST, 2022)</w:t>
      </w:r>
    </w:p>
    <w:p w14:paraId="6132D1F8" w14:textId="77777777" w:rsidR="006D7736" w:rsidRPr="0048613B" w:rsidRDefault="006D7736" w:rsidP="00AA2995">
      <w:pPr>
        <w:pStyle w:val="Restitle"/>
      </w:pPr>
      <w:r w:rsidRPr="0048613B">
        <w:t>Forum mondial des politiques de télécommunication et des</w:t>
      </w:r>
      <w:r w:rsidRPr="0048613B">
        <w:br/>
        <w:t>technologies de l'information et des communications</w:t>
      </w:r>
    </w:p>
    <w:p w14:paraId="75ADFCC5" w14:textId="77777777" w:rsidR="006D7736" w:rsidRPr="0048613B" w:rsidRDefault="006D7736" w:rsidP="009D0316">
      <w:pPr>
        <w:pStyle w:val="Normalaftertitle"/>
      </w:pPr>
      <w:r w:rsidRPr="0048613B">
        <w:t>La Conférence de plénipotentiaires de l'Union internationale des télécommunications (Bucarest, 2022),</w:t>
      </w:r>
    </w:p>
    <w:p w14:paraId="236AD8D4" w14:textId="2E2A7D4C" w:rsidR="000F646D" w:rsidRPr="0048613B" w:rsidRDefault="006D7736" w:rsidP="000F646D">
      <w:pPr>
        <w:pStyle w:val="Reasons"/>
      </w:pPr>
      <w:r w:rsidRPr="0048613B">
        <w:rPr>
          <w:b/>
        </w:rPr>
        <w:t>Motifs:</w:t>
      </w:r>
      <w:r w:rsidRPr="0048613B">
        <w:tab/>
      </w:r>
      <w:r w:rsidR="000F646D" w:rsidRPr="0048613B">
        <w:t>Le Forum mondial des politiques de télécommunication/technologies de l</w:t>
      </w:r>
      <w:r w:rsidR="008B4702" w:rsidRPr="0048613B">
        <w:t>'</w:t>
      </w:r>
      <w:r w:rsidR="000F646D" w:rsidRPr="0048613B">
        <w:t xml:space="preserve">information et </w:t>
      </w:r>
      <w:r w:rsidR="00B10992" w:rsidRPr="0048613B">
        <w:t>des</w:t>
      </w:r>
      <w:r w:rsidR="000F646D" w:rsidRPr="0048613B">
        <w:t xml:space="preserve"> communication</w:t>
      </w:r>
      <w:r w:rsidR="00B10992" w:rsidRPr="0048613B">
        <w:t>s</w:t>
      </w:r>
      <w:r w:rsidR="000F646D" w:rsidRPr="0048613B">
        <w:t xml:space="preserve"> (FMPT) et son processus préparatoire </w:t>
      </w:r>
      <w:r w:rsidR="0006374A" w:rsidRPr="0048613B">
        <w:t>représentent pour les</w:t>
      </w:r>
      <w:r w:rsidR="000F646D" w:rsidRPr="0048613B">
        <w:t xml:space="preserve"> </w:t>
      </w:r>
      <w:r w:rsidR="00B10992" w:rsidRPr="0048613B">
        <w:t>États</w:t>
      </w:r>
      <w:r w:rsidR="000F646D" w:rsidRPr="0048613B">
        <w:t xml:space="preserve"> Membres, dont le temps et les ressources sont limités, </w:t>
      </w:r>
      <w:r w:rsidR="0006374A" w:rsidRPr="0048613B">
        <w:t xml:space="preserve">un poids </w:t>
      </w:r>
      <w:r w:rsidR="000F646D" w:rsidRPr="0048613B">
        <w:t xml:space="preserve">de plus en plus </w:t>
      </w:r>
      <w:r w:rsidR="0006374A" w:rsidRPr="0048613B">
        <w:t>difficile à supporter</w:t>
      </w:r>
      <w:r w:rsidR="000F646D" w:rsidRPr="0048613B">
        <w:t>. Au cours du cycle actuel, par exemple, le Groupe d'experts informel sur le FMPT</w:t>
      </w:r>
      <w:r w:rsidR="0048613B" w:rsidRPr="0048613B">
        <w:t xml:space="preserve"> </w:t>
      </w:r>
      <w:r w:rsidR="000F646D" w:rsidRPr="0048613B">
        <w:t xml:space="preserve">(GEI-FMPT) a </w:t>
      </w:r>
      <w:r w:rsidR="0006374A" w:rsidRPr="0048613B">
        <w:t xml:space="preserve">passé </w:t>
      </w:r>
      <w:r w:rsidR="000F646D" w:rsidRPr="0048613B">
        <w:t>plus de temps</w:t>
      </w:r>
      <w:r w:rsidR="0006374A" w:rsidRPr="0048613B">
        <w:t xml:space="preserve"> à tenir</w:t>
      </w:r>
      <w:r w:rsidR="000F646D" w:rsidRPr="0048613B">
        <w:t xml:space="preserve"> de</w:t>
      </w:r>
      <w:r w:rsidR="0006374A" w:rsidRPr="0048613B">
        <w:t>s</w:t>
      </w:r>
      <w:r w:rsidR="000F646D" w:rsidRPr="0048613B">
        <w:t xml:space="preserve"> réunion</w:t>
      </w:r>
      <w:r w:rsidR="0006374A" w:rsidRPr="0048613B">
        <w:t>s</w:t>
      </w:r>
      <w:r w:rsidR="000F646D" w:rsidRPr="0048613B">
        <w:t xml:space="preserve"> que </w:t>
      </w:r>
      <w:r w:rsidR="0006374A" w:rsidRPr="0048613B">
        <w:t xml:space="preserve">n'importe quel </w:t>
      </w:r>
      <w:r w:rsidR="000F646D" w:rsidRPr="0048613B">
        <w:t>autre Groupe de travail du Conseil ou Groupe d</w:t>
      </w:r>
      <w:r w:rsidR="004C6C7A" w:rsidRPr="0048613B">
        <w:t>'</w:t>
      </w:r>
      <w:r w:rsidR="000F646D" w:rsidRPr="0048613B">
        <w:t xml:space="preserve">experts; cela représente un processus préparatoire </w:t>
      </w:r>
      <w:r w:rsidR="0006374A" w:rsidRPr="0048613B">
        <w:t xml:space="preserve">particulièrement </w:t>
      </w:r>
      <w:r w:rsidR="000F646D" w:rsidRPr="0048613B">
        <w:t xml:space="preserve">disproportionné pour une manifestation de trois jours dont les résultats ne sont pas contraignants. Cette situation </w:t>
      </w:r>
      <w:r w:rsidR="00B10992" w:rsidRPr="0048613B">
        <w:t>ne peut plus durer</w:t>
      </w:r>
      <w:r w:rsidR="000F646D" w:rsidRPr="0048613B">
        <w:t xml:space="preserve">, en particulier </w:t>
      </w:r>
      <w:r w:rsidR="00954C2E" w:rsidRPr="0048613B">
        <w:t>vu l</w:t>
      </w:r>
      <w:r w:rsidR="000F646D" w:rsidRPr="0048613B">
        <w:t>es contraintes budgétaires</w:t>
      </w:r>
      <w:r w:rsidR="00954C2E" w:rsidRPr="0048613B">
        <w:t xml:space="preserve"> qui pèsent sur </w:t>
      </w:r>
      <w:r w:rsidR="000F646D" w:rsidRPr="0048613B">
        <w:t>l</w:t>
      </w:r>
      <w:r w:rsidR="004C6C7A" w:rsidRPr="0048613B">
        <w:t>'</w:t>
      </w:r>
      <w:r w:rsidR="000F646D" w:rsidRPr="0048613B">
        <w:t>UIT, et va à l</w:t>
      </w:r>
      <w:r w:rsidR="004C6C7A" w:rsidRPr="0048613B">
        <w:t>'</w:t>
      </w:r>
      <w:r w:rsidR="000F646D" w:rsidRPr="0048613B">
        <w:t>encontre de l</w:t>
      </w:r>
      <w:r w:rsidR="004C6C7A" w:rsidRPr="0048613B">
        <w:t>'</w:t>
      </w:r>
      <w:r w:rsidR="000F646D" w:rsidRPr="0048613B">
        <w:t>engagement de l</w:t>
      </w:r>
      <w:r w:rsidR="004C6C7A" w:rsidRPr="0048613B">
        <w:t>'</w:t>
      </w:r>
      <w:r w:rsidR="000F646D" w:rsidRPr="0048613B">
        <w:t>Union en faveur de l</w:t>
      </w:r>
      <w:r w:rsidR="004C6C7A" w:rsidRPr="0048613B">
        <w:t>'</w:t>
      </w:r>
      <w:r w:rsidR="000F646D" w:rsidRPr="0048613B">
        <w:t>efficacité organisationnelle et de la responsabilité budgétaire.</w:t>
      </w:r>
    </w:p>
    <w:p w14:paraId="2EC6FE10" w14:textId="68BFA810" w:rsidR="00CD66B6" w:rsidRPr="0048613B" w:rsidRDefault="000F646D" w:rsidP="0048613B">
      <w:r w:rsidRPr="0048613B">
        <w:t xml:space="preserve">En parallèle, les Avis du FMPT </w:t>
      </w:r>
      <w:r w:rsidR="00954C2E" w:rsidRPr="0048613B">
        <w:t>n'ont que peu de valeur ajoutée, voire aucune, quant au fond</w:t>
      </w:r>
      <w:r w:rsidRPr="0048613B">
        <w:t xml:space="preserve"> en ce qu</w:t>
      </w:r>
      <w:r w:rsidR="004C6C7A" w:rsidRPr="0048613B">
        <w:t>'</w:t>
      </w:r>
      <w:r w:rsidRPr="0048613B">
        <w:t>ils reproduisent en grande partie (parfois mot pour mot) le contenu des Résolutions de haut niveau de l</w:t>
      </w:r>
      <w:r w:rsidR="004C6C7A" w:rsidRPr="0048613B">
        <w:t>'</w:t>
      </w:r>
      <w:r w:rsidRPr="0048613B">
        <w:t>UIT. Ainsi, l</w:t>
      </w:r>
      <w:r w:rsidR="004C6C7A" w:rsidRPr="0048613B">
        <w:t>'</w:t>
      </w:r>
      <w:r w:rsidRPr="0048613B">
        <w:t>élaboration des Avis du FMPT reproduit et prolonge inutilement les débats connexes qui ont lieu lors des conférences et assemblées de l</w:t>
      </w:r>
      <w:r w:rsidR="004C6C7A" w:rsidRPr="0048613B">
        <w:t>'</w:t>
      </w:r>
      <w:r w:rsidRPr="0048613B">
        <w:t>UIT. Dans le cas du</w:t>
      </w:r>
      <w:r w:rsidR="0048613B" w:rsidRPr="0048613B">
        <w:t> </w:t>
      </w:r>
      <w:r w:rsidRPr="0048613B">
        <w:t>FMPT</w:t>
      </w:r>
      <w:r w:rsidR="000654F1" w:rsidRPr="0048613B">
        <w:noBreakHyphen/>
      </w:r>
      <w:r w:rsidRPr="0048613B">
        <w:t>26, par exemple:</w:t>
      </w:r>
    </w:p>
    <w:p w14:paraId="39623C39" w14:textId="43983633" w:rsidR="00F40BD7" w:rsidRPr="0048613B" w:rsidRDefault="00F40BD7" w:rsidP="00C453A2">
      <w:pPr>
        <w:pStyle w:val="enumlev1"/>
      </w:pPr>
      <w:r w:rsidRPr="0048613B">
        <w:t>•</w:t>
      </w:r>
      <w:r w:rsidRPr="0048613B">
        <w:tab/>
      </w:r>
      <w:r w:rsidR="00B10992" w:rsidRPr="0048613B">
        <w:t>l</w:t>
      </w:r>
      <w:r w:rsidR="000F646D" w:rsidRPr="0048613B">
        <w:t>e projet d</w:t>
      </w:r>
      <w:r w:rsidR="004C6C7A" w:rsidRPr="0048613B">
        <w:t>'</w:t>
      </w:r>
      <w:r w:rsidR="000F646D" w:rsidRPr="0048613B">
        <w:t xml:space="preserve">Avis 1 (Fractures numériques) fait double emploi, entre autres, avec la Résolution 139 (Rév. Bucarest, 2022) de la Conférence de plénipotentiaires </w:t>
      </w:r>
      <w:r w:rsidR="00EF4DE1" w:rsidRPr="0048613B">
        <w:t xml:space="preserve">(PP) </w:t>
      </w:r>
      <w:r w:rsidR="000F646D" w:rsidRPr="0048613B">
        <w:t>et la Résolution 37 (Rév. Bakou, 2025) de la Conférence mondiale d</w:t>
      </w:r>
      <w:r w:rsidR="00FD582C" w:rsidRPr="0048613B">
        <w:t>e</w:t>
      </w:r>
      <w:r w:rsidR="000F646D" w:rsidRPr="0048613B">
        <w:t xml:space="preserve"> développement des télécommunications (CMDT);</w:t>
      </w:r>
    </w:p>
    <w:p w14:paraId="5BD2EED5" w14:textId="4E943DE4" w:rsidR="00F40BD7" w:rsidRPr="0048613B" w:rsidRDefault="00F40BD7" w:rsidP="00C453A2">
      <w:pPr>
        <w:pStyle w:val="enumlev1"/>
      </w:pPr>
      <w:r w:rsidRPr="0048613B">
        <w:t>•</w:t>
      </w:r>
      <w:r w:rsidRPr="0048613B">
        <w:tab/>
      </w:r>
      <w:r w:rsidR="00B10992" w:rsidRPr="0048613B">
        <w:t>l</w:t>
      </w:r>
      <w:r w:rsidR="000F646D" w:rsidRPr="0048613B">
        <w:t>e projet d</w:t>
      </w:r>
      <w:r w:rsidR="004C6C7A" w:rsidRPr="0048613B">
        <w:t>'</w:t>
      </w:r>
      <w:r w:rsidR="000F646D" w:rsidRPr="0048613B">
        <w:t xml:space="preserve">Avis 2 (Transformation numérique écologique) fait double emploi, entre autres, avec la Résolution 182 (Rév. Bucarest, 2022) de la </w:t>
      </w:r>
      <w:r w:rsidR="00EF4DE1" w:rsidRPr="0048613B">
        <w:t>PP</w:t>
      </w:r>
      <w:r w:rsidR="000F646D" w:rsidRPr="0048613B">
        <w:t>, la Résolution</w:t>
      </w:r>
      <w:r w:rsidR="00C453A2" w:rsidRPr="0048613B">
        <w:t> </w:t>
      </w:r>
      <w:r w:rsidR="000F646D" w:rsidRPr="0048613B">
        <w:t>73</w:t>
      </w:r>
      <w:r w:rsidR="0048613B" w:rsidRPr="0048613B">
        <w:t xml:space="preserve"> </w:t>
      </w:r>
      <w:r w:rsidR="000F646D" w:rsidRPr="0048613B">
        <w:t>(Rév.</w:t>
      </w:r>
      <w:r w:rsidR="00C453A2" w:rsidRPr="0048613B">
        <w:t> </w:t>
      </w:r>
      <w:r w:rsidR="000F646D" w:rsidRPr="0048613B">
        <w:t>New</w:t>
      </w:r>
      <w:r w:rsidR="00C453A2" w:rsidRPr="0048613B">
        <w:t> </w:t>
      </w:r>
      <w:r w:rsidR="000F646D" w:rsidRPr="0048613B">
        <w:t>Delhi, 2024) de l</w:t>
      </w:r>
      <w:r w:rsidR="004C6C7A" w:rsidRPr="0048613B">
        <w:t>'</w:t>
      </w:r>
      <w:r w:rsidR="000F646D" w:rsidRPr="0048613B">
        <w:t>Assemblée mondiale de normalisation des télécommunications (AMNT) et la Résolution 66 (Rév. Bakou, 2025) de la CMDT;</w:t>
      </w:r>
    </w:p>
    <w:p w14:paraId="51DDBDA9" w14:textId="4B7F52D0" w:rsidR="00F40BD7" w:rsidRPr="0048613B" w:rsidRDefault="00F40BD7" w:rsidP="00C453A2">
      <w:pPr>
        <w:pStyle w:val="enumlev1"/>
      </w:pPr>
      <w:r w:rsidRPr="0048613B">
        <w:t>•</w:t>
      </w:r>
      <w:r w:rsidRPr="0048613B">
        <w:tab/>
      </w:r>
      <w:r w:rsidR="00B10992" w:rsidRPr="0048613B">
        <w:t>l</w:t>
      </w:r>
      <w:r w:rsidR="000F646D" w:rsidRPr="0048613B">
        <w:t>e projet d</w:t>
      </w:r>
      <w:r w:rsidR="004C6C7A" w:rsidRPr="0048613B">
        <w:t>'</w:t>
      </w:r>
      <w:r w:rsidR="000F646D" w:rsidRPr="0048613B">
        <w:t>Avis 3 (Résilience) fait double emploi, entre autres, avec la Résolution</w:t>
      </w:r>
      <w:r w:rsidR="00C453A2" w:rsidRPr="0048613B">
        <w:t> </w:t>
      </w:r>
      <w:r w:rsidR="000F646D" w:rsidRPr="0048613B">
        <w:t>136</w:t>
      </w:r>
      <w:r w:rsidR="0048613B" w:rsidRPr="0048613B">
        <w:t xml:space="preserve"> </w:t>
      </w:r>
      <w:r w:rsidR="000F646D" w:rsidRPr="0048613B">
        <w:t xml:space="preserve">(Rév. Bucarest, 2022) de la </w:t>
      </w:r>
      <w:r w:rsidR="00EF4DE1" w:rsidRPr="0048613B">
        <w:t>PP</w:t>
      </w:r>
      <w:r w:rsidR="000F646D" w:rsidRPr="0048613B">
        <w:t xml:space="preserve"> et la Résolution 34 (Rév. Bakou, 2025) de</w:t>
      </w:r>
      <w:r w:rsidR="0048613B" w:rsidRPr="0048613B">
        <w:t xml:space="preserve"> </w:t>
      </w:r>
      <w:r w:rsidR="000F646D" w:rsidRPr="0048613B">
        <w:t>la</w:t>
      </w:r>
      <w:r w:rsidR="0048613B" w:rsidRPr="0048613B">
        <w:t xml:space="preserve"> </w:t>
      </w:r>
      <w:r w:rsidR="000F646D" w:rsidRPr="0048613B">
        <w:t>CMDT;</w:t>
      </w:r>
    </w:p>
    <w:p w14:paraId="6C18E997" w14:textId="75EC6483" w:rsidR="00F40BD7" w:rsidRPr="0048613B" w:rsidRDefault="00F40BD7" w:rsidP="00C453A2">
      <w:pPr>
        <w:pStyle w:val="enumlev1"/>
      </w:pPr>
      <w:r w:rsidRPr="0048613B">
        <w:t>•</w:t>
      </w:r>
      <w:r w:rsidRPr="0048613B">
        <w:tab/>
      </w:r>
      <w:r w:rsidR="00B10992" w:rsidRPr="0048613B">
        <w:t>l</w:t>
      </w:r>
      <w:r w:rsidR="000F646D" w:rsidRPr="0048613B">
        <w:t>e projet d</w:t>
      </w:r>
      <w:r w:rsidR="004C6C7A" w:rsidRPr="0048613B">
        <w:t>'</w:t>
      </w:r>
      <w:r w:rsidR="000F646D" w:rsidRPr="0048613B">
        <w:t>Avis 4 (Connectivité spatiale) reprend les débats de l</w:t>
      </w:r>
      <w:r w:rsidR="004C6C7A" w:rsidRPr="0048613B">
        <w:t>'</w:t>
      </w:r>
      <w:r w:rsidR="000F646D" w:rsidRPr="0048613B">
        <w:t>AMNT-24 et de la</w:t>
      </w:r>
      <w:r w:rsidR="0048613B" w:rsidRPr="0048613B">
        <w:t> </w:t>
      </w:r>
      <w:r w:rsidR="000F646D" w:rsidRPr="0048613B">
        <w:t>CMDT</w:t>
      </w:r>
      <w:r w:rsidR="00C453A2" w:rsidRPr="0048613B">
        <w:noBreakHyphen/>
      </w:r>
      <w:r w:rsidR="000F646D" w:rsidRPr="0048613B">
        <w:t xml:space="preserve">25 et ceux attendus à la </w:t>
      </w:r>
      <w:r w:rsidR="00EF4DE1" w:rsidRPr="0048613B">
        <w:t>PP</w:t>
      </w:r>
      <w:r w:rsidR="00B10992" w:rsidRPr="0048613B">
        <w:t xml:space="preserve"> de 2026 (</w:t>
      </w:r>
      <w:r w:rsidR="000F646D" w:rsidRPr="0048613B">
        <w:t>PP-26</w:t>
      </w:r>
      <w:r w:rsidR="00B10992" w:rsidRPr="0048613B">
        <w:t>)</w:t>
      </w:r>
      <w:r w:rsidR="000F646D" w:rsidRPr="0048613B">
        <w:t>; et</w:t>
      </w:r>
    </w:p>
    <w:p w14:paraId="57C2ED5D" w14:textId="043DD6CF" w:rsidR="00F40BD7" w:rsidRPr="0048613B" w:rsidRDefault="00F40BD7" w:rsidP="00C453A2">
      <w:pPr>
        <w:pStyle w:val="enumlev1"/>
      </w:pPr>
      <w:r w:rsidRPr="0048613B">
        <w:t>•</w:t>
      </w:r>
      <w:r w:rsidRPr="0048613B">
        <w:tab/>
      </w:r>
      <w:r w:rsidR="00B10992" w:rsidRPr="0048613B">
        <w:t>l</w:t>
      </w:r>
      <w:r w:rsidR="000F646D" w:rsidRPr="0048613B">
        <w:t>e projet d</w:t>
      </w:r>
      <w:r w:rsidR="004C6C7A" w:rsidRPr="0048613B">
        <w:t>'</w:t>
      </w:r>
      <w:r w:rsidR="000F646D" w:rsidRPr="0048613B">
        <w:t xml:space="preserve">Avis 5 (Innovation et entrepreneuriat centrés sur les TIC) fait double emploi, entre autres, avec la Résolution 205 (Rév. Bucarest, 2022) de la </w:t>
      </w:r>
      <w:r w:rsidR="00EF4DE1" w:rsidRPr="0048613B">
        <w:t>PP</w:t>
      </w:r>
      <w:r w:rsidR="000F646D" w:rsidRPr="0048613B">
        <w:t xml:space="preserve"> et la Résolution</w:t>
      </w:r>
      <w:r w:rsidR="00C453A2" w:rsidRPr="0048613B">
        <w:t> </w:t>
      </w:r>
      <w:r w:rsidR="000F646D" w:rsidRPr="0048613B">
        <w:t>90</w:t>
      </w:r>
      <w:r w:rsidR="0048613B" w:rsidRPr="0048613B">
        <w:t xml:space="preserve"> </w:t>
      </w:r>
      <w:r w:rsidR="000F646D" w:rsidRPr="0048613B">
        <w:t>(Rév. Bakou, 2025) de la CMDT.</w:t>
      </w:r>
    </w:p>
    <w:p w14:paraId="30FC503F" w14:textId="054DBD41" w:rsidR="000F646D" w:rsidRPr="0048613B" w:rsidRDefault="000F646D" w:rsidP="0048613B">
      <w:r w:rsidRPr="0048613B">
        <w:t xml:space="preserve">En résumé, le FMPT et son processus préparatoire mobilisent </w:t>
      </w:r>
      <w:r w:rsidR="00954C2E" w:rsidRPr="0048613B">
        <w:t>beaucoup</w:t>
      </w:r>
      <w:r w:rsidRPr="0048613B">
        <w:t xml:space="preserve"> de temps et de ressources</w:t>
      </w:r>
      <w:r w:rsidR="00D725E8" w:rsidRPr="0048613B">
        <w:t xml:space="preserve"> pourtant disponibles en quantité limitée</w:t>
      </w:r>
      <w:r w:rsidRPr="0048613B">
        <w:t>, tout en faisant double emploi avec d</w:t>
      </w:r>
      <w:r w:rsidR="004C6C7A" w:rsidRPr="0048613B">
        <w:t>'</w:t>
      </w:r>
      <w:r w:rsidRPr="0048613B">
        <w:t>autres manifestations de haut niveau de l</w:t>
      </w:r>
      <w:r w:rsidR="004C6C7A" w:rsidRPr="0048613B">
        <w:t>'</w:t>
      </w:r>
      <w:r w:rsidRPr="0048613B">
        <w:t>UIT. Il convient donc de supprimer la Résolution</w:t>
      </w:r>
      <w:r w:rsidR="004C6C7A" w:rsidRPr="0048613B">
        <w:t> </w:t>
      </w:r>
      <w:r w:rsidRPr="0048613B">
        <w:t>2. L</w:t>
      </w:r>
      <w:r w:rsidR="004C6C7A" w:rsidRPr="0048613B">
        <w:t>'</w:t>
      </w:r>
      <w:r w:rsidRPr="0048613B">
        <w:t xml:space="preserve">objectif du FMPT, à savoir "continuer de débattre des politiques de télécommunication/TIC et </w:t>
      </w:r>
      <w:r w:rsidRPr="0048613B">
        <w:lastRenderedPageBreak/>
        <w:t>des questions de réglementation", peut encore être pleinement atteint grâce à d</w:t>
      </w:r>
      <w:r w:rsidR="004C6C7A" w:rsidRPr="0048613B">
        <w:t>'</w:t>
      </w:r>
      <w:r w:rsidRPr="0048613B">
        <w:t>autres mécanismes existants de l</w:t>
      </w:r>
      <w:r w:rsidR="004C6C7A" w:rsidRPr="0048613B">
        <w:t>'</w:t>
      </w:r>
      <w:r w:rsidRPr="0048613B">
        <w:t>UIT, tels que le Colloque mondial des régulateurs (GSR).</w:t>
      </w:r>
    </w:p>
    <w:p w14:paraId="5C0C1702" w14:textId="77777777" w:rsidR="00F40BD7" w:rsidRPr="0048613B" w:rsidRDefault="00F40BD7" w:rsidP="00C453A2">
      <w:pPr>
        <w:keepLines/>
        <w:jc w:val="center"/>
      </w:pPr>
      <w:r w:rsidRPr="0048613B">
        <w:t>______________</w:t>
      </w:r>
    </w:p>
    <w:sectPr w:rsidR="00F40BD7" w:rsidRPr="0048613B">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0E04E" w14:textId="77777777" w:rsidR="0024602B" w:rsidRDefault="0024602B">
      <w:r>
        <w:separator/>
      </w:r>
    </w:p>
  </w:endnote>
  <w:endnote w:type="continuationSeparator" w:id="0">
    <w:p w14:paraId="7AC62F9E" w14:textId="77777777" w:rsidR="0024602B" w:rsidRDefault="00246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C17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w:t>
      </w:r>
      <w:r w:rsidRPr="00EF3B7A">
        <w:rPr>
          <w:rStyle w:val="Hyperlink"/>
          <w:color w:val="00A3E0"/>
          <w:sz w:val="22"/>
          <w:szCs w:val="22"/>
          <w:lang w:val="en-GB"/>
        </w:rPr>
        <w:t>i</w:t>
      </w:r>
      <w:r w:rsidRPr="00EF3B7A">
        <w:rPr>
          <w:rStyle w:val="Hyperlink"/>
          <w:color w:val="00A3E0"/>
          <w:sz w:val="22"/>
          <w:szCs w:val="22"/>
          <w:lang w:val="en-GB"/>
        </w:rPr>
        <w:t>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F55B0" w14:textId="77777777" w:rsidR="0024602B" w:rsidRDefault="0024602B">
      <w:r>
        <w:t>____________________</w:t>
      </w:r>
    </w:p>
  </w:footnote>
  <w:footnote w:type="continuationSeparator" w:id="0">
    <w:p w14:paraId="29007A70" w14:textId="77777777" w:rsidR="0024602B" w:rsidRDefault="00246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71CC"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F5E5FC5" w14:textId="77777777" w:rsidR="00BD1614" w:rsidRDefault="00BD1614" w:rsidP="001E2226">
    <w:pPr>
      <w:pStyle w:val="Header"/>
    </w:pPr>
    <w:r>
      <w:t>PP</w:t>
    </w:r>
    <w:r w:rsidR="002A7A1D">
      <w:t>2</w:t>
    </w:r>
    <w:r w:rsidR="008407A7">
      <w:t>6</w:t>
    </w:r>
    <w:r>
      <w:t>/81(Add.10)-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1656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2AE0D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1A1B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6C2C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DE09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627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9E43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30F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0665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1A2AF2"/>
    <w:lvl w:ilvl="0">
      <w:start w:val="1"/>
      <w:numFmt w:val="bullet"/>
      <w:lvlText w:val=""/>
      <w:lvlJc w:val="left"/>
      <w:pPr>
        <w:tabs>
          <w:tab w:val="num" w:pos="360"/>
        </w:tabs>
        <w:ind w:left="360" w:hanging="360"/>
      </w:pPr>
      <w:rPr>
        <w:rFonts w:ascii="Symbol" w:hAnsi="Symbol" w:hint="default"/>
      </w:rPr>
    </w:lvl>
  </w:abstractNum>
  <w:num w:numId="1" w16cid:durableId="1479418251">
    <w:abstractNumId w:val="9"/>
  </w:num>
  <w:num w:numId="2" w16cid:durableId="112868538">
    <w:abstractNumId w:val="7"/>
  </w:num>
  <w:num w:numId="3" w16cid:durableId="1011687078">
    <w:abstractNumId w:val="6"/>
  </w:num>
  <w:num w:numId="4" w16cid:durableId="2064282438">
    <w:abstractNumId w:val="5"/>
  </w:num>
  <w:num w:numId="5" w16cid:durableId="1179084530">
    <w:abstractNumId w:val="4"/>
  </w:num>
  <w:num w:numId="6" w16cid:durableId="974800572">
    <w:abstractNumId w:val="8"/>
  </w:num>
  <w:num w:numId="7" w16cid:durableId="970674368">
    <w:abstractNumId w:val="3"/>
  </w:num>
  <w:num w:numId="8" w16cid:durableId="846863671">
    <w:abstractNumId w:val="2"/>
  </w:num>
  <w:num w:numId="9" w16cid:durableId="123429752">
    <w:abstractNumId w:val="1"/>
  </w:num>
  <w:num w:numId="10" w16cid:durableId="172692204">
    <w:abstractNumId w:val="0"/>
  </w:num>
  <w:num w:numId="11" w16cid:durableId="462773777">
    <w:abstractNumId w:val="8"/>
  </w:num>
  <w:num w:numId="12" w16cid:durableId="1353192001">
    <w:abstractNumId w:val="3"/>
  </w:num>
  <w:num w:numId="13" w16cid:durableId="323317337">
    <w:abstractNumId w:val="2"/>
  </w:num>
  <w:num w:numId="14" w16cid:durableId="1621574369">
    <w:abstractNumId w:val="1"/>
  </w:num>
  <w:num w:numId="15" w16cid:durableId="1193151621">
    <w:abstractNumId w:val="0"/>
  </w:num>
  <w:num w:numId="16" w16cid:durableId="928001107">
    <w:abstractNumId w:val="8"/>
  </w:num>
  <w:num w:numId="17" w16cid:durableId="1561789963">
    <w:abstractNumId w:val="3"/>
  </w:num>
  <w:num w:numId="18" w16cid:durableId="453135159">
    <w:abstractNumId w:val="2"/>
  </w:num>
  <w:num w:numId="19" w16cid:durableId="230624165">
    <w:abstractNumId w:val="1"/>
  </w:num>
  <w:num w:numId="20" w16cid:durableId="2037266823">
    <w:abstractNumId w:val="0"/>
  </w:num>
  <w:num w:numId="21" w16cid:durableId="1903590994">
    <w:abstractNumId w:val="8"/>
  </w:num>
  <w:num w:numId="22" w16cid:durableId="1105465616">
    <w:abstractNumId w:val="3"/>
  </w:num>
  <w:num w:numId="23" w16cid:durableId="1521434882">
    <w:abstractNumId w:val="2"/>
  </w:num>
  <w:num w:numId="24" w16cid:durableId="300694124">
    <w:abstractNumId w:val="1"/>
  </w:num>
  <w:num w:numId="25" w16cid:durableId="1710295897">
    <w:abstractNumId w:val="0"/>
  </w:num>
  <w:num w:numId="26" w16cid:durableId="1100831303">
    <w:abstractNumId w:val="8"/>
  </w:num>
  <w:num w:numId="27" w16cid:durableId="1560360197">
    <w:abstractNumId w:val="3"/>
  </w:num>
  <w:num w:numId="28" w16cid:durableId="692271044">
    <w:abstractNumId w:val="2"/>
  </w:num>
  <w:num w:numId="29" w16cid:durableId="151023371">
    <w:abstractNumId w:val="1"/>
  </w:num>
  <w:num w:numId="30" w16cid:durableId="1601640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374A"/>
    <w:rsid w:val="000654F1"/>
    <w:rsid w:val="00072D5C"/>
    <w:rsid w:val="0008398C"/>
    <w:rsid w:val="00084308"/>
    <w:rsid w:val="000B14B6"/>
    <w:rsid w:val="000C467B"/>
    <w:rsid w:val="000D15FB"/>
    <w:rsid w:val="000F58F7"/>
    <w:rsid w:val="000F646D"/>
    <w:rsid w:val="000F6F9B"/>
    <w:rsid w:val="001051E4"/>
    <w:rsid w:val="001354EA"/>
    <w:rsid w:val="00136FCE"/>
    <w:rsid w:val="00153BA4"/>
    <w:rsid w:val="00175894"/>
    <w:rsid w:val="001941AD"/>
    <w:rsid w:val="0019732C"/>
    <w:rsid w:val="001A0682"/>
    <w:rsid w:val="001B4D8D"/>
    <w:rsid w:val="001C3790"/>
    <w:rsid w:val="001D31B2"/>
    <w:rsid w:val="001E1B9B"/>
    <w:rsid w:val="001E2226"/>
    <w:rsid w:val="001F0B24"/>
    <w:rsid w:val="001F6233"/>
    <w:rsid w:val="00214288"/>
    <w:rsid w:val="002355CD"/>
    <w:rsid w:val="0024602B"/>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3F1435"/>
    <w:rsid w:val="00413CB9"/>
    <w:rsid w:val="00430015"/>
    <w:rsid w:val="004678D0"/>
    <w:rsid w:val="00482954"/>
    <w:rsid w:val="0048613B"/>
    <w:rsid w:val="004951C0"/>
    <w:rsid w:val="004C6C7A"/>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D7736"/>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264FC"/>
    <w:rsid w:val="008407A7"/>
    <w:rsid w:val="008703CB"/>
    <w:rsid w:val="008B4702"/>
    <w:rsid w:val="008B61AF"/>
    <w:rsid w:val="008C33C2"/>
    <w:rsid w:val="008C6137"/>
    <w:rsid w:val="008E2DB4"/>
    <w:rsid w:val="00901DD5"/>
    <w:rsid w:val="00901E77"/>
    <w:rsid w:val="0090735B"/>
    <w:rsid w:val="00912D5E"/>
    <w:rsid w:val="00934340"/>
    <w:rsid w:val="00954C2E"/>
    <w:rsid w:val="00956DC7"/>
    <w:rsid w:val="00966CD3"/>
    <w:rsid w:val="00987A20"/>
    <w:rsid w:val="009A0E15"/>
    <w:rsid w:val="009D4037"/>
    <w:rsid w:val="009F0592"/>
    <w:rsid w:val="00A20E72"/>
    <w:rsid w:val="00A246DC"/>
    <w:rsid w:val="00A4756D"/>
    <w:rsid w:val="00A47BAF"/>
    <w:rsid w:val="00A542D3"/>
    <w:rsid w:val="00A5784F"/>
    <w:rsid w:val="00A8436E"/>
    <w:rsid w:val="00A95B66"/>
    <w:rsid w:val="00AB190D"/>
    <w:rsid w:val="00AE0667"/>
    <w:rsid w:val="00B10992"/>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453A2"/>
    <w:rsid w:val="00C54CE6"/>
    <w:rsid w:val="00C575E2"/>
    <w:rsid w:val="00C7368B"/>
    <w:rsid w:val="00C92746"/>
    <w:rsid w:val="00CA2498"/>
    <w:rsid w:val="00CC4DC5"/>
    <w:rsid w:val="00CD66B6"/>
    <w:rsid w:val="00CE1A7C"/>
    <w:rsid w:val="00CE496F"/>
    <w:rsid w:val="00D0464B"/>
    <w:rsid w:val="00D12C74"/>
    <w:rsid w:val="00D2263F"/>
    <w:rsid w:val="00D56483"/>
    <w:rsid w:val="00D5658F"/>
    <w:rsid w:val="00D56AD6"/>
    <w:rsid w:val="00D70019"/>
    <w:rsid w:val="00D725E8"/>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1DB1"/>
    <w:rsid w:val="00E921A2"/>
    <w:rsid w:val="00E93D35"/>
    <w:rsid w:val="00EA45DB"/>
    <w:rsid w:val="00EC1877"/>
    <w:rsid w:val="00ED2CD9"/>
    <w:rsid w:val="00EF4DE1"/>
    <w:rsid w:val="00F07DA7"/>
    <w:rsid w:val="00F2346B"/>
    <w:rsid w:val="00F3254F"/>
    <w:rsid w:val="00F40BD7"/>
    <w:rsid w:val="00F564C1"/>
    <w:rsid w:val="00F77FA2"/>
    <w:rsid w:val="00F8357A"/>
    <w:rsid w:val="00F86895"/>
    <w:rsid w:val="00FA1B77"/>
    <w:rsid w:val="00FB4B65"/>
    <w:rsid w:val="00FB74B8"/>
    <w:rsid w:val="00FC49E0"/>
    <w:rsid w:val="00FD582C"/>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D1D0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6374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0f7d51e-af6c-4d34-b920-9cbc1d9b5e6b" targetNamespace="http://schemas.microsoft.com/office/2006/metadata/properties" ma:root="true" ma:fieldsID="d41af5c836d734370eb92e7ee5f83852" ns2:_="" ns3:_="">
    <xsd:import namespace="996b2e75-67fd-4955-a3b0-5ab9934cb50b"/>
    <xsd:import namespace="a0f7d51e-af6c-4d34-b920-9cbc1d9b5e6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0f7d51e-af6c-4d34-b920-9cbc1d9b5e6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0f7d51e-af6c-4d34-b920-9cbc1d9b5e6b">DPM</DPM_x0020_Author>
    <DPM_x0020_File_x0020_name xmlns="a0f7d51e-af6c-4d34-b920-9cbc1d9b5e6b">S26-PP-C-0081!A10!MSW-F</DPM_x0020_File_x0020_name>
    <DPM_x0020_Version xmlns="a0f7d51e-af6c-4d34-b920-9cbc1d9b5e6b">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0f7d51e-af6c-4d34-b920-9cbc1d9b5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0f7d51e-af6c-4d34-b920-9cbc1d9b5e6b"/>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633</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S26-PP-C-0081!A10!MSW-F</vt:lpstr>
    </vt:vector>
  </TitlesOfParts>
  <Manager/>
  <Company/>
  <LinksUpToDate>false</LinksUpToDate>
  <CharactersWithSpaces>4271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S26-PP-C-0081!A10!MSW-F</dc:title>
  <dc:subject>ITU Plenipotentiary Conference (PP-26)</dc:subject>
  <dc:creator>Documents Proposals Manager (DPM)</dc:creator>
  <cp:keywords>DPM_v2026.8.25.1_prod</cp:keywords>
  <dc:description/>
  <cp:lastModifiedBy>Froehly, Mathilde</cp:lastModifiedBy>
  <cp:revision>7</cp:revision>
  <dcterms:created xsi:type="dcterms:W3CDTF">2026-10-22T06:00:00Z</dcterms:created>
  <dcterms:modified xsi:type="dcterms:W3CDTF">2026-10-22T06:35:00Z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