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7F65DD1" w14:textId="77777777" w:rsidTr="00C70164">
        <w:trPr>
          <w:cantSplit/>
          <w:jc w:val="center"/>
        </w:trPr>
        <w:tc>
          <w:tcPr>
            <w:tcW w:w="10031" w:type="dxa"/>
            <w:gridSpan w:val="2"/>
            <w:tcMar>
              <w:left w:w="0" w:type="dxa"/>
              <w:right w:w="0" w:type="dxa"/>
            </w:tcMar>
            <w:vAlign w:val="center"/>
          </w:tcPr>
          <w:p w14:paraId="6EC85F2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75EC2E6" wp14:editId="59679CDD">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99C8F55" w14:textId="77777777" w:rsidTr="00C70164">
        <w:trPr>
          <w:cantSplit/>
          <w:trHeight w:val="283"/>
          <w:jc w:val="center"/>
        </w:trPr>
        <w:tc>
          <w:tcPr>
            <w:tcW w:w="10031" w:type="dxa"/>
            <w:gridSpan w:val="2"/>
            <w:tcBorders>
              <w:bottom w:val="single" w:sz="12" w:space="0" w:color="71716F"/>
            </w:tcBorders>
          </w:tcPr>
          <w:p w14:paraId="6179D2E5"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CE3BBED" w14:textId="77777777" w:rsidTr="00C70164">
        <w:trPr>
          <w:cantSplit/>
          <w:trHeight w:val="255"/>
          <w:jc w:val="center"/>
        </w:trPr>
        <w:tc>
          <w:tcPr>
            <w:tcW w:w="7230" w:type="dxa"/>
            <w:tcBorders>
              <w:top w:val="single" w:sz="12" w:space="0" w:color="71716F"/>
            </w:tcBorders>
          </w:tcPr>
          <w:p w14:paraId="2633783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F9687C8" w14:textId="77777777" w:rsidR="001A16ED" w:rsidRPr="00D96B4B" w:rsidRDefault="001A16ED" w:rsidP="000B596F">
            <w:pPr>
              <w:spacing w:before="0"/>
              <w:rPr>
                <w:rFonts w:cstheme="minorHAnsi"/>
                <w:sz w:val="20"/>
              </w:rPr>
            </w:pPr>
          </w:p>
        </w:tc>
      </w:tr>
      <w:tr w:rsidR="001A16ED" w:rsidRPr="00C324A8" w14:paraId="39D22C0F" w14:textId="77777777" w:rsidTr="00C70164">
        <w:trPr>
          <w:cantSplit/>
          <w:trHeight w:val="23"/>
          <w:jc w:val="center"/>
        </w:trPr>
        <w:tc>
          <w:tcPr>
            <w:tcW w:w="7230" w:type="dxa"/>
          </w:tcPr>
          <w:p w14:paraId="77AD5CBE"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0CBE9B9" w14:textId="77777777" w:rsidR="001A16ED" w:rsidRPr="00F44B1A" w:rsidRDefault="001A16ED" w:rsidP="000B596F">
            <w:pPr>
              <w:tabs>
                <w:tab w:val="left" w:pos="851"/>
              </w:tabs>
              <w:spacing w:before="0"/>
              <w:rPr>
                <w:rFonts w:cstheme="minorHAnsi"/>
                <w:b/>
                <w:szCs w:val="24"/>
              </w:rPr>
            </w:pPr>
            <w:r>
              <w:rPr>
                <w:rFonts w:cstheme="minorHAnsi"/>
                <w:b/>
                <w:szCs w:val="24"/>
              </w:rPr>
              <w:t>Addendum 10 to</w:t>
            </w:r>
            <w:r>
              <w:rPr>
                <w:rFonts w:cstheme="minorHAnsi"/>
                <w:b/>
                <w:szCs w:val="24"/>
              </w:rPr>
              <w:br/>
              <w:t>Document 81</w:t>
            </w:r>
            <w:r w:rsidR="00F44B1A" w:rsidRPr="00F44B1A">
              <w:rPr>
                <w:rFonts w:cstheme="minorHAnsi"/>
                <w:b/>
                <w:szCs w:val="24"/>
              </w:rPr>
              <w:t>-E</w:t>
            </w:r>
          </w:p>
        </w:tc>
      </w:tr>
      <w:tr w:rsidR="001A16ED" w:rsidRPr="00C324A8" w14:paraId="65439364" w14:textId="77777777" w:rsidTr="00C70164">
        <w:trPr>
          <w:cantSplit/>
          <w:trHeight w:val="23"/>
          <w:jc w:val="center"/>
        </w:trPr>
        <w:tc>
          <w:tcPr>
            <w:tcW w:w="7230" w:type="dxa"/>
          </w:tcPr>
          <w:p w14:paraId="4EF10AB9"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0353BCB" w14:textId="77777777" w:rsidR="001A16ED" w:rsidRPr="00D96B4B" w:rsidRDefault="001A16ED" w:rsidP="000B596F">
            <w:pPr>
              <w:spacing w:before="0"/>
              <w:rPr>
                <w:rFonts w:cstheme="minorHAnsi"/>
                <w:szCs w:val="24"/>
              </w:rPr>
            </w:pPr>
            <w:r w:rsidRPr="00D96B4B">
              <w:rPr>
                <w:rFonts w:cstheme="minorHAnsi"/>
                <w:b/>
                <w:szCs w:val="24"/>
              </w:rPr>
              <w:t>15 October 2026</w:t>
            </w:r>
          </w:p>
        </w:tc>
      </w:tr>
      <w:tr w:rsidR="001A16ED" w:rsidRPr="00C324A8" w14:paraId="602828DA" w14:textId="77777777" w:rsidTr="00C70164">
        <w:trPr>
          <w:cantSplit/>
          <w:trHeight w:val="23"/>
          <w:jc w:val="center"/>
        </w:trPr>
        <w:tc>
          <w:tcPr>
            <w:tcW w:w="7230" w:type="dxa"/>
          </w:tcPr>
          <w:p w14:paraId="6C7A4974"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A60D716"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D33581A" w14:textId="77777777" w:rsidTr="00C70164">
        <w:trPr>
          <w:cantSplit/>
          <w:trHeight w:val="23"/>
          <w:jc w:val="center"/>
        </w:trPr>
        <w:tc>
          <w:tcPr>
            <w:tcW w:w="10031" w:type="dxa"/>
            <w:gridSpan w:val="2"/>
          </w:tcPr>
          <w:p w14:paraId="7FB4266E" w14:textId="77777777" w:rsidR="001A16ED" w:rsidRPr="00D96B4B" w:rsidRDefault="001A16ED" w:rsidP="000B596F">
            <w:pPr>
              <w:tabs>
                <w:tab w:val="left" w:pos="993"/>
              </w:tabs>
              <w:rPr>
                <w:rFonts w:ascii="Verdana" w:hAnsi="Verdana"/>
                <w:b/>
                <w:szCs w:val="24"/>
              </w:rPr>
            </w:pPr>
          </w:p>
        </w:tc>
      </w:tr>
      <w:tr w:rsidR="001A16ED" w:rsidRPr="00C324A8" w14:paraId="075C9963" w14:textId="77777777" w:rsidTr="00C70164">
        <w:trPr>
          <w:cantSplit/>
          <w:trHeight w:val="23"/>
          <w:jc w:val="center"/>
        </w:trPr>
        <w:tc>
          <w:tcPr>
            <w:tcW w:w="10031" w:type="dxa"/>
            <w:gridSpan w:val="2"/>
          </w:tcPr>
          <w:p w14:paraId="75C7A6F2" w14:textId="77777777" w:rsidR="001A16ED" w:rsidRDefault="001A16ED" w:rsidP="000B596F">
            <w:pPr>
              <w:pStyle w:val="Source"/>
            </w:pPr>
            <w:r>
              <w:t>Member States of the Inter-American Telecommunication Commission (CITEL)</w:t>
            </w:r>
          </w:p>
        </w:tc>
      </w:tr>
      <w:tr w:rsidR="001A16ED" w:rsidRPr="00C324A8" w14:paraId="58738BD2" w14:textId="77777777" w:rsidTr="00C70164">
        <w:trPr>
          <w:cantSplit/>
          <w:trHeight w:val="23"/>
          <w:jc w:val="center"/>
        </w:trPr>
        <w:tc>
          <w:tcPr>
            <w:tcW w:w="10031" w:type="dxa"/>
            <w:gridSpan w:val="2"/>
          </w:tcPr>
          <w:p w14:paraId="06752E08" w14:textId="77777777" w:rsidR="001A16ED" w:rsidRDefault="001A16ED" w:rsidP="000B596F">
            <w:pPr>
              <w:pStyle w:val="Title1"/>
            </w:pPr>
            <w:r>
              <w:t>Proposal for suppression (SUP) of Resolution 2</w:t>
            </w:r>
          </w:p>
        </w:tc>
      </w:tr>
      <w:tr w:rsidR="001A16ED" w:rsidRPr="00C324A8" w14:paraId="076345FD" w14:textId="77777777" w:rsidTr="00C70164">
        <w:trPr>
          <w:cantSplit/>
          <w:trHeight w:val="23"/>
          <w:jc w:val="center"/>
        </w:trPr>
        <w:tc>
          <w:tcPr>
            <w:tcW w:w="10031" w:type="dxa"/>
            <w:gridSpan w:val="2"/>
          </w:tcPr>
          <w:p w14:paraId="63C7E9DA" w14:textId="77777777" w:rsidR="001A16ED" w:rsidRDefault="001A16ED" w:rsidP="000B596F">
            <w:pPr>
              <w:pStyle w:val="Title2"/>
            </w:pPr>
            <w:r>
              <w:t>World telecommunication/information and communication technology policy forum</w:t>
            </w:r>
          </w:p>
        </w:tc>
      </w:tr>
      <w:tr w:rsidR="001A16ED" w:rsidRPr="00C324A8" w14:paraId="0F087C29" w14:textId="77777777" w:rsidTr="00C70164">
        <w:trPr>
          <w:cantSplit/>
          <w:trHeight w:val="23"/>
          <w:jc w:val="center"/>
        </w:trPr>
        <w:tc>
          <w:tcPr>
            <w:tcW w:w="10031" w:type="dxa"/>
            <w:gridSpan w:val="2"/>
          </w:tcPr>
          <w:p w14:paraId="06809CB5" w14:textId="77777777" w:rsidR="001A16ED" w:rsidRPr="00557706" w:rsidRDefault="001A16ED" w:rsidP="000B596F">
            <w:pPr>
              <w:pStyle w:val="Agendaitem"/>
              <w:rPr>
                <w:lang w:val="en-GB"/>
              </w:rPr>
            </w:pPr>
          </w:p>
        </w:tc>
      </w:tr>
    </w:tbl>
    <w:bookmarkEnd w:id="6"/>
    <w:bookmarkEnd w:id="7"/>
    <w:p w14:paraId="538FF168" w14:textId="23098890" w:rsidR="001A16ED" w:rsidRDefault="00557706" w:rsidP="00AB2D04">
      <w:r>
        <w:rPr>
          <w:b/>
          <w:bCs/>
        </w:rPr>
        <w:t>Abstract:</w:t>
      </w:r>
    </w:p>
    <w:p w14:paraId="141A02A3" w14:textId="25FF08C1" w:rsidR="00557706" w:rsidRDefault="00557706" w:rsidP="00557706">
      <w:r>
        <w:t xml:space="preserve">CITEL proposes the suppression of Plenipotentiary Resolution 2 (Rev. Bucharest, 2022), noting that the </w:t>
      </w:r>
      <w:r w:rsidRPr="00557706">
        <w:t>World telecommunication/information and communication technology</w:t>
      </w:r>
      <w:r>
        <w:t xml:space="preserve"> </w:t>
      </w:r>
      <w:r w:rsidRPr="00557706">
        <w:t>policy</w:t>
      </w:r>
      <w:r>
        <w:t xml:space="preserve"> </w:t>
      </w:r>
      <w:r w:rsidRPr="00557706">
        <w:t>forum</w:t>
      </w:r>
      <w:r>
        <w:t xml:space="preserve"> (</w:t>
      </w:r>
      <w:r>
        <w:t>WTPF</w:t>
      </w:r>
      <w:r>
        <w:t>)</w:t>
      </w:r>
      <w:r>
        <w:t xml:space="preserve"> and its preparatory process require substantial time and resources without producing concrete, measurable outcomes. Terminating the WTPF would not adversely affect the ITU’s work and would promote greater organizational efficiency and financial responsibility, allowing limited time and resources to be redirected toward higher-priority activities.</w:t>
      </w:r>
    </w:p>
    <w:p w14:paraId="161A2FDC" w14:textId="44E3DFB6" w:rsidR="00557706" w:rsidRPr="00557706" w:rsidRDefault="00557706" w:rsidP="00557706">
      <w:r>
        <w:t>CITEL extends its sincere gratitude to our fellow Member State, The Bahamas, for serving as the host country of WTPF-26.</w:t>
      </w:r>
    </w:p>
    <w:p w14:paraId="542D0BAE" w14:textId="77777777" w:rsidR="0008540E" w:rsidRPr="0008540E" w:rsidRDefault="001A16ED" w:rsidP="00004F8B">
      <w:r>
        <w:br w:type="page"/>
      </w:r>
    </w:p>
    <w:p w14:paraId="5F25F770" w14:textId="77777777" w:rsidR="004B63B0" w:rsidRDefault="003540DF">
      <w:pPr>
        <w:pStyle w:val="Proposal"/>
      </w:pPr>
      <w:r>
        <w:lastRenderedPageBreak/>
        <w:t>SUP</w:t>
      </w:r>
      <w:r>
        <w:tab/>
        <w:t>IAP/81A10/1</w:t>
      </w:r>
    </w:p>
    <w:p w14:paraId="4E926CBD" w14:textId="77777777" w:rsidR="003540DF" w:rsidRPr="00B66444" w:rsidRDefault="003540DF" w:rsidP="002D6687">
      <w:pPr>
        <w:pStyle w:val="ResNo"/>
      </w:pPr>
      <w:r w:rsidRPr="00B66444">
        <w:t>RESOLUTION</w:t>
      </w:r>
      <w:r w:rsidRPr="00B66444">
        <w:t xml:space="preserve"> </w:t>
      </w:r>
      <w:r w:rsidRPr="00B66444">
        <w:rPr>
          <w:rStyle w:val="href"/>
        </w:rPr>
        <w:t>2</w:t>
      </w:r>
      <w:r w:rsidRPr="00B66444">
        <w:t xml:space="preserve"> (</w:t>
      </w:r>
      <w:r w:rsidRPr="00B66444">
        <w:t xml:space="preserve">REV. </w:t>
      </w:r>
      <w:r w:rsidRPr="00B66444">
        <w:t>BUCHAREST, 2022)</w:t>
      </w:r>
    </w:p>
    <w:p w14:paraId="62625B76" w14:textId="77777777" w:rsidR="003540DF" w:rsidRPr="00B66444" w:rsidRDefault="003540DF" w:rsidP="007F4EDE">
      <w:pPr>
        <w:pStyle w:val="Restitle"/>
      </w:pPr>
      <w:r w:rsidRPr="00B66444">
        <w:t>World telecommunication/information and communication technology policy forum</w:t>
      </w:r>
    </w:p>
    <w:p w14:paraId="725B9EAC" w14:textId="77777777" w:rsidR="003540DF" w:rsidRPr="00B66444" w:rsidRDefault="003540DF" w:rsidP="007F4EDE">
      <w:pPr>
        <w:pStyle w:val="Normalaftertitle"/>
      </w:pPr>
      <w:r w:rsidRPr="00B66444">
        <w:t>The Plenipotentiary Conference of the International Telecommunication Union (Bucharest, 2022),</w:t>
      </w:r>
    </w:p>
    <w:p w14:paraId="1225D7AB" w14:textId="6FD0CAD4" w:rsidR="00D06EC6" w:rsidRPr="00D06EC6" w:rsidRDefault="003540DF" w:rsidP="00D06EC6">
      <w:pPr>
        <w:pStyle w:val="Reasons"/>
        <w:rPr>
          <w:lang w:val="en-US"/>
        </w:rPr>
      </w:pPr>
      <w:r>
        <w:rPr>
          <w:b/>
        </w:rPr>
        <w:t>Reasons:</w:t>
      </w:r>
      <w:r>
        <w:tab/>
      </w:r>
      <w:r w:rsidR="00D06EC6" w:rsidRPr="00D06EC6">
        <w:rPr>
          <w:lang w:val="en-US"/>
        </w:rPr>
        <w:t xml:space="preserve">The </w:t>
      </w:r>
      <w:r w:rsidR="0057295C" w:rsidRPr="0057295C">
        <w:t>World telecommunication/information and communication technology</w:t>
      </w:r>
      <w:r w:rsidR="0057295C">
        <w:t xml:space="preserve"> </w:t>
      </w:r>
      <w:r w:rsidR="0057295C" w:rsidRPr="0057295C">
        <w:t>policy</w:t>
      </w:r>
      <w:r w:rsidR="0057295C">
        <w:t xml:space="preserve"> </w:t>
      </w:r>
      <w:r w:rsidR="0057295C" w:rsidRPr="0057295C">
        <w:t>forum</w:t>
      </w:r>
      <w:r w:rsidR="0057295C">
        <w:t xml:space="preserve"> (</w:t>
      </w:r>
      <w:r w:rsidR="00D06EC6" w:rsidRPr="00D06EC6">
        <w:rPr>
          <w:lang w:val="en-US"/>
        </w:rPr>
        <w:t>WTPF</w:t>
      </w:r>
      <w:r w:rsidR="0057295C">
        <w:rPr>
          <w:lang w:val="en-US"/>
        </w:rPr>
        <w:t>)</w:t>
      </w:r>
      <w:r w:rsidR="00D06EC6" w:rsidRPr="00D06EC6">
        <w:rPr>
          <w:lang w:val="en-US"/>
        </w:rPr>
        <w:t xml:space="preserve"> and its preparatory process place increasingly untenable demands on Member States’ limited time and resources.  During the present cycle, for example, the IEG-WTPF took up more meeting time than any other Council Working Group or Expert Group, a preparatory process drastically disproportional to a three-day event with non-binding outcomes.  This situation is unsustainable, especially </w:t>
      </w:r>
      <w:proofErr w:type="gramStart"/>
      <w:r w:rsidR="00D06EC6" w:rsidRPr="00D06EC6">
        <w:rPr>
          <w:lang w:val="en-US"/>
        </w:rPr>
        <w:t>in light of</w:t>
      </w:r>
      <w:proofErr w:type="gramEnd"/>
      <w:r w:rsidR="00D06EC6" w:rsidRPr="00D06EC6">
        <w:rPr>
          <w:lang w:val="en-US"/>
        </w:rPr>
        <w:t xml:space="preserve"> the ITU’s budgetary constraints, and is inconsistent with the ITU’s commitment to organizational efficiency and fiscal responsibility.  </w:t>
      </w:r>
    </w:p>
    <w:p w14:paraId="50CF7F4E" w14:textId="77777777" w:rsidR="00D06EC6" w:rsidRPr="00D06EC6" w:rsidRDefault="00D06EC6" w:rsidP="00D06EC6">
      <w:pPr>
        <w:pStyle w:val="Reasons"/>
        <w:rPr>
          <w:lang w:val="en-US"/>
        </w:rPr>
      </w:pPr>
      <w:r w:rsidRPr="00D06EC6">
        <w:rPr>
          <w:lang w:val="en-US"/>
        </w:rPr>
        <w:t xml:space="preserve">At the same time, WTPF Opinions add little – if any – substantive value, in that they largely duplicate (sometimes verbatim) the content of higher-level ITU Resolutions.  As such, the development of WTPF Opinions also needlessly repeats and prolongs associated debates from ITU conferences and assemblies.  For WTPF-26, for example: </w:t>
      </w:r>
    </w:p>
    <w:p w14:paraId="4353B86A" w14:textId="77777777" w:rsidR="00D06EC6" w:rsidRPr="00D06EC6" w:rsidRDefault="00D06EC6" w:rsidP="00D06EC6">
      <w:pPr>
        <w:pStyle w:val="Reasons"/>
        <w:numPr>
          <w:ilvl w:val="0"/>
          <w:numId w:val="1"/>
        </w:numPr>
        <w:ind w:left="567" w:hanging="567"/>
        <w:rPr>
          <w:lang w:val="en-US"/>
        </w:rPr>
      </w:pPr>
      <w:r w:rsidRPr="00D06EC6">
        <w:rPr>
          <w:lang w:val="en-US"/>
        </w:rPr>
        <w:t xml:space="preserve">Draft Opinion 1 (digital divides) duplicates Plenipotentiary Resolution 139 (Rev. Bucharest, 2022) and WTDC Resolution 37 (Rev. Baku, 2025), among others; </w:t>
      </w:r>
    </w:p>
    <w:p w14:paraId="7DD6959E" w14:textId="77777777" w:rsidR="00D06EC6" w:rsidRPr="00D06EC6" w:rsidRDefault="00D06EC6" w:rsidP="00D06EC6">
      <w:pPr>
        <w:pStyle w:val="Reasons"/>
        <w:numPr>
          <w:ilvl w:val="0"/>
          <w:numId w:val="1"/>
        </w:numPr>
        <w:ind w:left="567" w:hanging="567"/>
        <w:rPr>
          <w:lang w:val="en-US"/>
        </w:rPr>
      </w:pPr>
      <w:r w:rsidRPr="00D06EC6">
        <w:rPr>
          <w:lang w:val="en-US"/>
        </w:rPr>
        <w:t>Draft Opinion 2 (green digital transformation) duplicates Plenipotentiary Resolution 182 (Rev. Bucharest, 2022), WTSA Resolution 73 (Rev. New Delhi, 2024), and WTDC Resolution 66 (Rev. Baku, 2025), among others;</w:t>
      </w:r>
    </w:p>
    <w:p w14:paraId="2C36C9CF" w14:textId="77777777" w:rsidR="00D06EC6" w:rsidRPr="00D06EC6" w:rsidRDefault="00D06EC6" w:rsidP="00D06EC6">
      <w:pPr>
        <w:pStyle w:val="Reasons"/>
        <w:numPr>
          <w:ilvl w:val="0"/>
          <w:numId w:val="1"/>
        </w:numPr>
        <w:ind w:left="567" w:hanging="567"/>
        <w:rPr>
          <w:lang w:val="en-US"/>
        </w:rPr>
      </w:pPr>
      <w:r w:rsidRPr="00D06EC6">
        <w:rPr>
          <w:lang w:val="en-US"/>
        </w:rPr>
        <w:t>Draft Opinion 3 (resilience) duplicates Plenipotentiary Resolution 136 (Rev. Bucharest, 2022) and WTDC Resolution 34 (Rev. Baku, 2025), among others;</w:t>
      </w:r>
    </w:p>
    <w:p w14:paraId="4CE8C3F8" w14:textId="77777777" w:rsidR="00D06EC6" w:rsidRPr="00D06EC6" w:rsidRDefault="00D06EC6" w:rsidP="00D06EC6">
      <w:pPr>
        <w:pStyle w:val="Reasons"/>
        <w:numPr>
          <w:ilvl w:val="0"/>
          <w:numId w:val="1"/>
        </w:numPr>
        <w:ind w:left="567" w:hanging="567"/>
        <w:rPr>
          <w:lang w:val="en-US"/>
        </w:rPr>
      </w:pPr>
      <w:r w:rsidRPr="00D06EC6">
        <w:rPr>
          <w:lang w:val="en-US"/>
        </w:rPr>
        <w:t xml:space="preserve">Draft Opinion 4 (space connectivity) rehashes debates from WTSA-24 and WTDC-25 and anticipated at PP-26; and </w:t>
      </w:r>
    </w:p>
    <w:p w14:paraId="18B2DCA9" w14:textId="77777777" w:rsidR="00D06EC6" w:rsidRPr="00D06EC6" w:rsidRDefault="00D06EC6" w:rsidP="00D06EC6">
      <w:pPr>
        <w:pStyle w:val="Reasons"/>
        <w:numPr>
          <w:ilvl w:val="0"/>
          <w:numId w:val="1"/>
        </w:numPr>
        <w:ind w:left="567" w:hanging="567"/>
        <w:rPr>
          <w:lang w:val="en-US"/>
        </w:rPr>
      </w:pPr>
      <w:r w:rsidRPr="00D06EC6">
        <w:rPr>
          <w:lang w:val="en-US"/>
        </w:rPr>
        <w:t>Draft Opinion 5 (ICT-centric innovation and entrepreneurship) duplicates Plenipotentiary Resolution 205 (Rev. Bucharest, 2022) and WTDC Resolution 90 (Rev. Baku, 2025), among others.</w:t>
      </w:r>
    </w:p>
    <w:p w14:paraId="3FE32066" w14:textId="20C7F186" w:rsidR="004B63B0" w:rsidRDefault="00D06EC6" w:rsidP="00D06EC6">
      <w:pPr>
        <w:pStyle w:val="Reasons"/>
        <w:rPr>
          <w:lang w:val="en-US"/>
        </w:rPr>
      </w:pPr>
      <w:r w:rsidRPr="00D06EC6">
        <w:rPr>
          <w:lang w:val="en-US"/>
        </w:rPr>
        <w:t>In sum, WTPF and its preparatory process absorb a significant amount of limited time and resources while duplicating other ITU high-level events.  Resolution 2 should therefore be suppressed.  The goal of the WTPF – “to continue discussing and exchanging views and information on telecommunication/ICT policy and regulatory matters” – can still be fully achieved through other existing ITU mechanisms, such as the Global Symposium for Regulators (GSR).</w:t>
      </w:r>
    </w:p>
    <w:p w14:paraId="4656B920" w14:textId="4A5737FB" w:rsidR="0057295C" w:rsidRDefault="0057295C" w:rsidP="0057295C">
      <w:pPr>
        <w:jc w:val="center"/>
      </w:pPr>
      <w:r>
        <w:t>_________________</w:t>
      </w:r>
    </w:p>
    <w:sectPr w:rsidR="0057295C">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3EE07" w14:textId="77777777" w:rsidR="003540DF" w:rsidRDefault="003540DF">
      <w:r>
        <w:separator/>
      </w:r>
    </w:p>
  </w:endnote>
  <w:endnote w:type="continuationSeparator" w:id="0">
    <w:p w14:paraId="10ED3CF1" w14:textId="77777777" w:rsidR="003540DF" w:rsidRDefault="00354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EF592"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88F6"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F60B"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E55A3" w14:textId="77777777" w:rsidR="003540DF" w:rsidRDefault="003540DF">
      <w:r>
        <w:t>____________________</w:t>
      </w:r>
    </w:p>
  </w:footnote>
  <w:footnote w:type="continuationSeparator" w:id="0">
    <w:p w14:paraId="0A01940F" w14:textId="77777777" w:rsidR="003540DF" w:rsidRDefault="00354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C473"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B80A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4837F9B" w14:textId="77777777" w:rsidR="00CE1B90" w:rsidRDefault="00CE1B90" w:rsidP="004F7925">
    <w:pPr>
      <w:pStyle w:val="Header"/>
    </w:pPr>
    <w:r>
      <w:t>PP</w:t>
    </w:r>
    <w:r w:rsidR="000235EC">
      <w:t>2</w:t>
    </w:r>
    <w:r w:rsidR="00EF3B7A">
      <w:t>6</w:t>
    </w:r>
    <w:r>
      <w:t>/81(Add.10)-E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E951E"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80BD6"/>
    <w:multiLevelType w:val="hybridMultilevel"/>
    <w:tmpl w:val="9954B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6502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40DF"/>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B63B0"/>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57706"/>
    <w:rsid w:val="00567130"/>
    <w:rsid w:val="0057034B"/>
    <w:rsid w:val="0057295C"/>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523E"/>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6EC6"/>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58E820"/>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1d9ec9d-e276-42ed-be81-22af7e094ac1" targetNamespace="http://schemas.microsoft.com/office/2006/metadata/properties" ma:root="true" ma:fieldsID="d41af5c836d734370eb92e7ee5f83852" ns2:_="" ns3:_="">
    <xsd:import namespace="996b2e75-67fd-4955-a3b0-5ab9934cb50b"/>
    <xsd:import namespace="01d9ec9d-e276-42ed-be81-22af7e094ac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1d9ec9d-e276-42ed-be81-22af7e094ac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1d9ec9d-e276-42ed-be81-22af7e094a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1d9ec9d-e276-42ed-be81-22af7e094ac1"/>
  </ds:schemaRefs>
</ds:datastoreItem>
</file>

<file path=customXml/itemProps4.xml><?xml version="1.0" encoding="utf-8"?>
<ds:datastoreItem xmlns:ds="http://schemas.openxmlformats.org/officeDocument/2006/customXml" ds:itemID="{02B53C7C-E21A-487D-B758-398BCAA99B05}"/>
</file>

<file path=docProps/app.xml><?xml version="1.0" encoding="utf-8"?>
<Properties xmlns="http://schemas.openxmlformats.org/officeDocument/2006/extended-properties" xmlns:vt="http://schemas.openxmlformats.org/officeDocument/2006/docPropsVTypes">
  <Template>Normal.dotm</Template>
  <TotalTime>3</TotalTime>
  <Pages>2</Pages>
  <Words>396</Words>
  <Characters>3046</Characters>
  <Application>Microsoft Office Word</Application>
  <DocSecurity>0</DocSecurity>
  <Lines>179</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3347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S26-PP-C-0081!A10!MSW-E</dc:title>
  <dc:subject>ITU Plenipotentiary Conference (PP-26)</dc:subject>
  <dc:creator>Documents Proposals Manager (DPM)</dc:creator>
  <cp:keywords>DPM_v2026.8.25.1_prod</cp:keywords>
  <cp:lastModifiedBy>MCB</cp:lastModifiedBy>
  <cp:revision>4</cp:revision>
  <dcterms:created xsi:type="dcterms:W3CDTF">2026-10-19T09:32:00Z</dcterms:created>
  <dcterms:modified xsi:type="dcterms:W3CDTF">2026-10-19T09:33:00Z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