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BF32F2" w:rsidRPr="0002785D" w14:paraId="64778A7C" w14:textId="77777777" w:rsidTr="005A329F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57B40F4" w14:textId="77777777" w:rsidR="00BF32F2" w:rsidRPr="00BF32F2" w:rsidRDefault="00BF32F2" w:rsidP="00BF32F2">
            <w:pPr>
              <w:spacing w:before="0" w:line="240" w:lineRule="atLeast"/>
              <w:rPr>
                <w:rFonts w:cstheme="minorHAnsi"/>
              </w:rPr>
            </w:pPr>
            <w:bookmarkStart w:id="0" w:name="ditulogo"/>
            <w:bookmarkEnd w:id="0"/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5B434897" wp14:editId="3F44BDAB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7045" y="16094"/>
                      <wp:lineTo x="19206" y="15247"/>
                      <wp:lineTo x="19144" y="7200"/>
                      <wp:lineTo x="16921" y="6353"/>
                      <wp:lineTo x="432" y="1694"/>
                      <wp:lineTo x="124" y="1694"/>
                    </wp:wrapPolygon>
                  </wp:wrapTight>
                  <wp:docPr id="13302119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2119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7985" w:rsidRPr="00930E84" w14:paraId="39F89723" w14:textId="77777777" w:rsidTr="005A329F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59089994" w14:textId="77777777" w:rsidR="00277985" w:rsidRPr="00DE3E41" w:rsidRDefault="00277985" w:rsidP="00BF32F2">
            <w:pPr>
              <w:spacing w:before="0" w:line="240" w:lineRule="atLeast"/>
              <w:rPr>
                <w:rFonts w:cstheme="minorHAnsi"/>
                <w:b/>
                <w:smallCaps/>
                <w:szCs w:val="24"/>
                <w:lang w:val="fr-CH"/>
              </w:rPr>
            </w:pPr>
            <w:bookmarkStart w:id="1" w:name="dhead"/>
          </w:p>
        </w:tc>
      </w:tr>
      <w:tr w:rsidR="00255FA1" w:rsidRPr="0002785D" w14:paraId="195F83D4" w14:textId="77777777" w:rsidTr="005A329F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10CAE16D" w14:textId="77777777" w:rsidR="00255FA1" w:rsidRPr="00DE3E41" w:rsidRDefault="00255FA1" w:rsidP="00BF32F2">
            <w:pPr>
              <w:spacing w:before="0"/>
              <w:ind w:firstLine="720"/>
              <w:rPr>
                <w:rFonts w:cstheme="minorHAnsi"/>
                <w:b/>
                <w:smallCaps/>
                <w:szCs w:val="24"/>
                <w:lang w:val="fr-CH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5236BF8E" w14:textId="77777777" w:rsidR="00255FA1" w:rsidRPr="00DE3E41" w:rsidRDefault="00255FA1" w:rsidP="00BF32F2">
            <w:pPr>
              <w:spacing w:before="0"/>
              <w:rPr>
                <w:rFonts w:cstheme="minorHAnsi"/>
                <w:szCs w:val="24"/>
                <w:lang w:val="fr-CH"/>
              </w:rPr>
            </w:pPr>
          </w:p>
        </w:tc>
      </w:tr>
      <w:tr w:rsidR="00255FA1" w:rsidRPr="0002785D" w14:paraId="1BF4781C" w14:textId="77777777" w:rsidTr="005A329F">
        <w:trPr>
          <w:cantSplit/>
          <w:jc w:val="center"/>
        </w:trPr>
        <w:tc>
          <w:tcPr>
            <w:tcW w:w="7229" w:type="dxa"/>
          </w:tcPr>
          <w:p w14:paraId="00511C4F" w14:textId="77777777" w:rsidR="00255FA1" w:rsidRPr="00265392" w:rsidRDefault="00255FA1" w:rsidP="003B5DC9">
            <w:pPr>
              <w:pStyle w:val="Committee"/>
              <w:framePr w:hSpace="0" w:wrap="auto" w:hAnchor="text" w:yAlign="inline"/>
              <w:spacing w:after="0" w:line="240" w:lineRule="auto"/>
              <w:rPr>
                <w:lang w:val="es-ES"/>
              </w:rPr>
            </w:pPr>
            <w:r w:rsidRPr="00265392">
              <w:rPr>
                <w:lang w:val="es-ES"/>
              </w:rPr>
              <w:t>SESIÓN PLENARIA</w:t>
            </w:r>
          </w:p>
        </w:tc>
        <w:tc>
          <w:tcPr>
            <w:tcW w:w="2802" w:type="dxa"/>
          </w:tcPr>
          <w:p w14:paraId="42B7B055" w14:textId="77777777" w:rsidR="00255FA1" w:rsidRPr="00265392" w:rsidRDefault="00255FA1" w:rsidP="00265392">
            <w:pPr>
              <w:spacing w:before="0"/>
              <w:rPr>
                <w:b/>
                <w:bCs/>
                <w:lang w:val="es-ES"/>
              </w:rPr>
            </w:pPr>
            <w:r w:rsidRPr="00265392">
              <w:rPr>
                <w:b/>
                <w:bCs/>
                <w:lang w:val="es-ES"/>
              </w:rPr>
              <w:t>Addéndum 25 al</w:t>
            </w:r>
            <w:r w:rsidRPr="00265392">
              <w:rPr>
                <w:b/>
                <w:bCs/>
                <w:lang w:val="es-ES"/>
              </w:rPr>
              <w:br/>
              <w:t>Documento 79</w:t>
            </w:r>
            <w:r w:rsidR="00262FF4" w:rsidRPr="00265392">
              <w:rPr>
                <w:b/>
                <w:bCs/>
                <w:lang w:val="es-ES"/>
              </w:rPr>
              <w:t>-S</w:t>
            </w:r>
          </w:p>
        </w:tc>
      </w:tr>
      <w:tr w:rsidR="00255FA1" w:rsidRPr="0002785D" w14:paraId="4689F0A9" w14:textId="77777777" w:rsidTr="005A329F">
        <w:trPr>
          <w:cantSplit/>
          <w:jc w:val="center"/>
        </w:trPr>
        <w:tc>
          <w:tcPr>
            <w:tcW w:w="7229" w:type="dxa"/>
          </w:tcPr>
          <w:p w14:paraId="0CB09A20" w14:textId="77777777" w:rsidR="00255FA1" w:rsidRPr="00265392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</w:p>
        </w:tc>
        <w:tc>
          <w:tcPr>
            <w:tcW w:w="2802" w:type="dxa"/>
          </w:tcPr>
          <w:p w14:paraId="6E1569D5" w14:textId="77777777" w:rsidR="00255FA1" w:rsidRPr="00265392" w:rsidRDefault="00255FA1" w:rsidP="00265392">
            <w:pPr>
              <w:spacing w:before="0"/>
              <w:rPr>
                <w:b/>
                <w:bCs/>
                <w:lang w:val="es-ES"/>
              </w:rPr>
            </w:pPr>
            <w:r w:rsidRPr="00265392">
              <w:rPr>
                <w:b/>
                <w:bCs/>
                <w:lang w:val="es-ES"/>
              </w:rPr>
              <w:t>16 de octubre de 2026</w:t>
            </w:r>
          </w:p>
        </w:tc>
      </w:tr>
      <w:tr w:rsidR="00255FA1" w:rsidRPr="0002785D" w14:paraId="2BEBEA06" w14:textId="77777777" w:rsidTr="005A329F">
        <w:trPr>
          <w:cantSplit/>
          <w:jc w:val="center"/>
        </w:trPr>
        <w:tc>
          <w:tcPr>
            <w:tcW w:w="7229" w:type="dxa"/>
          </w:tcPr>
          <w:p w14:paraId="34E26CF8" w14:textId="77777777" w:rsidR="00255FA1" w:rsidRPr="00265392" w:rsidRDefault="00255FA1" w:rsidP="003B5DC9">
            <w:pPr>
              <w:spacing w:before="0"/>
              <w:rPr>
                <w:rFonts w:cstheme="minorHAnsi"/>
                <w:b/>
                <w:smallCaps/>
                <w:szCs w:val="24"/>
                <w:lang w:val="es-ES"/>
              </w:rPr>
            </w:pPr>
          </w:p>
        </w:tc>
        <w:tc>
          <w:tcPr>
            <w:tcW w:w="2802" w:type="dxa"/>
          </w:tcPr>
          <w:p w14:paraId="6D7B3D4F" w14:textId="77777777" w:rsidR="00255FA1" w:rsidRPr="00265392" w:rsidRDefault="00255FA1" w:rsidP="00265392">
            <w:pPr>
              <w:spacing w:before="0"/>
              <w:rPr>
                <w:b/>
                <w:bCs/>
                <w:lang w:val="es-ES"/>
              </w:rPr>
            </w:pPr>
            <w:r w:rsidRPr="00265392">
              <w:rPr>
                <w:b/>
                <w:bCs/>
                <w:lang w:val="es-ES"/>
              </w:rPr>
              <w:t>Original: inglés</w:t>
            </w:r>
          </w:p>
        </w:tc>
      </w:tr>
      <w:tr w:rsidR="00255FA1" w:rsidRPr="0002785D" w14:paraId="36191C0B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147DB86E" w14:textId="77777777" w:rsidR="00255FA1" w:rsidRPr="00265392" w:rsidRDefault="00255FA1" w:rsidP="003B5DC9">
            <w:pPr>
              <w:spacing w:before="0" w:line="240" w:lineRule="atLeast"/>
              <w:rPr>
                <w:rFonts w:cstheme="minorHAnsi"/>
                <w:b/>
                <w:szCs w:val="24"/>
                <w:lang w:val="es-ES"/>
              </w:rPr>
            </w:pPr>
          </w:p>
        </w:tc>
      </w:tr>
      <w:tr w:rsidR="00255FA1" w:rsidRPr="0002785D" w14:paraId="7C2CD3BE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7C55A1CB" w14:textId="77777777" w:rsidR="00255FA1" w:rsidRPr="00265392" w:rsidRDefault="00255FA1" w:rsidP="003B5DC9">
            <w:pPr>
              <w:pStyle w:val="Source"/>
              <w:rPr>
                <w:lang w:val="es-ES"/>
              </w:rPr>
            </w:pPr>
            <w:bookmarkStart w:id="2" w:name="dsource" w:colFirst="0" w:colLast="0"/>
            <w:bookmarkEnd w:id="1"/>
            <w:r w:rsidRPr="00265392">
              <w:rPr>
                <w:lang w:val="es-ES"/>
              </w:rPr>
              <w:t>Administraciones de la Telecomunidad Asia-Pacífico</w:t>
            </w:r>
          </w:p>
        </w:tc>
      </w:tr>
      <w:tr w:rsidR="00255FA1" w:rsidRPr="00D2522A" w14:paraId="2188CBB0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5EC4088C" w14:textId="43C95125" w:rsidR="00255FA1" w:rsidRPr="00265392" w:rsidRDefault="00D2522A" w:rsidP="003B5DC9">
            <w:pPr>
              <w:pStyle w:val="Title1"/>
              <w:rPr>
                <w:lang w:val="es-ES"/>
              </w:rPr>
            </w:pPr>
            <w:bookmarkStart w:id="3" w:name="dtitle1" w:colFirst="0" w:colLast="0"/>
            <w:bookmarkEnd w:id="2"/>
            <w:r w:rsidRPr="00265392">
              <w:rPr>
                <w:lang w:val="es-ES"/>
              </w:rPr>
              <w:t>PROPUESTA DE NUEVA RESOLUCIÓN</w:t>
            </w:r>
            <w:r w:rsidR="00255FA1" w:rsidRPr="00265392">
              <w:rPr>
                <w:lang w:val="es-ES"/>
              </w:rPr>
              <w:t xml:space="preserve">: </w:t>
            </w:r>
            <w:r w:rsidRPr="00265392">
              <w:rPr>
                <w:lang w:val="es-ES"/>
              </w:rPr>
              <w:t xml:space="preserve">mEJORA DE LA TRANSPARENCIA </w:t>
            </w:r>
            <w:r w:rsidR="00265392">
              <w:rPr>
                <w:lang w:val="es-ES"/>
              </w:rPr>
              <w:br/>
            </w:r>
            <w:r w:rsidRPr="00265392">
              <w:rPr>
                <w:lang w:val="es-ES"/>
              </w:rPr>
              <w:t>EN LA GESTIÓN FINANCIERA DE LA uit</w:t>
            </w:r>
          </w:p>
        </w:tc>
      </w:tr>
      <w:tr w:rsidR="00255FA1" w:rsidRPr="00D2522A" w14:paraId="0D10968E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17FAD6D6" w14:textId="77777777" w:rsidR="00255FA1" w:rsidRPr="00265392" w:rsidRDefault="00255FA1" w:rsidP="003B5DC9">
            <w:pPr>
              <w:pStyle w:val="Title2"/>
              <w:rPr>
                <w:lang w:val="es-ES"/>
              </w:rPr>
            </w:pPr>
            <w:bookmarkStart w:id="4" w:name="dtitle2" w:colFirst="0" w:colLast="0"/>
            <w:bookmarkEnd w:id="3"/>
          </w:p>
        </w:tc>
      </w:tr>
      <w:tr w:rsidR="00255FA1" w:rsidRPr="00D2522A" w14:paraId="6A6AA3A2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506C6BA6" w14:textId="77777777" w:rsidR="00255FA1" w:rsidRPr="00265392" w:rsidRDefault="00255FA1" w:rsidP="003B5DC9">
            <w:pPr>
              <w:pStyle w:val="Agendaitem"/>
              <w:rPr>
                <w:lang w:val="es-ES"/>
              </w:rPr>
            </w:pPr>
            <w:bookmarkStart w:id="5" w:name="dtitle3" w:colFirst="0" w:colLast="0"/>
            <w:bookmarkEnd w:id="4"/>
          </w:p>
        </w:tc>
      </w:tr>
      <w:bookmarkEnd w:id="5"/>
    </w:tbl>
    <w:p w14:paraId="60B4049E" w14:textId="77777777" w:rsidR="00255FA1" w:rsidRPr="002A7E68" w:rsidRDefault="00255FA1" w:rsidP="002A7E68">
      <w:r w:rsidRPr="002A7E68">
        <w:br w:type="page"/>
      </w:r>
    </w:p>
    <w:p w14:paraId="7521FDB5" w14:textId="77777777" w:rsidR="001A4055" w:rsidRPr="00333E76" w:rsidRDefault="00491A7A">
      <w:pPr>
        <w:pStyle w:val="Proposal"/>
        <w:rPr>
          <w:lang w:val="es-ES"/>
        </w:rPr>
      </w:pPr>
      <w:r w:rsidRPr="00333E76">
        <w:rPr>
          <w:lang w:val="es-ES"/>
        </w:rPr>
        <w:lastRenderedPageBreak/>
        <w:t>ADD</w:t>
      </w:r>
      <w:r w:rsidRPr="00333E76">
        <w:rPr>
          <w:lang w:val="es-ES"/>
        </w:rPr>
        <w:tab/>
        <w:t>ACP/79A25/1</w:t>
      </w:r>
    </w:p>
    <w:p w14:paraId="340F0091" w14:textId="77777777" w:rsidR="001A4055" w:rsidRDefault="00491A7A">
      <w:pPr>
        <w:pStyle w:val="ResNo"/>
      </w:pPr>
      <w:r>
        <w:t>Proyecto de nueva Resolución [ACP-1]</w:t>
      </w:r>
    </w:p>
    <w:p w14:paraId="3E957F3C" w14:textId="4C0A888D" w:rsidR="001A4055" w:rsidRDefault="00D2522A">
      <w:pPr>
        <w:pStyle w:val="Restitle"/>
      </w:pPr>
      <w:r>
        <w:t>Mejora de la transparencia en la gestión financiera de la UIT</w:t>
      </w:r>
    </w:p>
    <w:p w14:paraId="62DB5B7E" w14:textId="7B06B710" w:rsidR="00D86030" w:rsidRPr="0068664C" w:rsidRDefault="00D86030" w:rsidP="00D86030">
      <w:pPr>
        <w:pStyle w:val="Normalaftertitle"/>
        <w:rPr>
          <w:lang w:val="es-ES"/>
        </w:rPr>
      </w:pPr>
      <w:r>
        <w:rPr>
          <w:lang w:val="es-ES"/>
        </w:rPr>
        <w:t>La Conferencia de Plenipotenciarios de la Unión Internacional de Telecomunicaciones (Doha,</w:t>
      </w:r>
      <w:r w:rsidR="00265392">
        <w:rPr>
          <w:lang w:val="es-ES"/>
        </w:rPr>
        <w:t> </w:t>
      </w:r>
      <w:r>
        <w:rPr>
          <w:lang w:val="es-ES"/>
        </w:rPr>
        <w:t>2026),</w:t>
      </w:r>
    </w:p>
    <w:p w14:paraId="1451D7E1" w14:textId="77777777" w:rsidR="00D86030" w:rsidRPr="00265392" w:rsidRDefault="00D86030" w:rsidP="00D86030">
      <w:pPr>
        <w:pStyle w:val="Call"/>
      </w:pPr>
      <w:r w:rsidRPr="00265392">
        <w:t>recordando</w:t>
      </w:r>
    </w:p>
    <w:p w14:paraId="22D383D2" w14:textId="4E16349D" w:rsidR="00D86030" w:rsidRPr="0068664C" w:rsidRDefault="00D86030" w:rsidP="00D86030">
      <w:pPr>
        <w:rPr>
          <w:lang w:val="es-ES"/>
        </w:rPr>
      </w:pPr>
      <w:r>
        <w:rPr>
          <w:i/>
          <w:iCs/>
          <w:lang w:val="es-ES"/>
        </w:rPr>
        <w:t>a)</w:t>
      </w:r>
      <w:r>
        <w:rPr>
          <w:lang w:val="es-ES"/>
        </w:rPr>
        <w:tab/>
        <w:t xml:space="preserve">que </w:t>
      </w:r>
      <w:r w:rsidR="00AA770E" w:rsidRPr="00AA770E">
        <w:t>la Constitución y el Convenio de la</w:t>
      </w:r>
      <w:r w:rsidR="00265392">
        <w:t> </w:t>
      </w:r>
      <w:r w:rsidR="00AA770E" w:rsidRPr="00AA770E">
        <w:t>UIT reconocen la gran importancia de la gestión financiera y facultan al Consejo para aprobar y revisar los reglamentos pertinentes, cuando lo considere necesario, de conformidad con las disposiciones pertinentes del Artículo</w:t>
      </w:r>
      <w:r w:rsidR="00AA770E">
        <w:t> </w:t>
      </w:r>
      <w:r w:rsidR="00AA770E" w:rsidRPr="00AA770E">
        <w:t xml:space="preserve">10 de la Constitución y los </w:t>
      </w:r>
      <w:r w:rsidR="00454D3B">
        <w:t>números</w:t>
      </w:r>
      <w:r w:rsidR="00080026">
        <w:t> 33 y</w:t>
      </w:r>
      <w:r w:rsidR="00AA770E" w:rsidRPr="00AA770E">
        <w:t xml:space="preserve"> 34 del Convenio</w:t>
      </w:r>
      <w:r>
        <w:rPr>
          <w:lang w:val="es-ES"/>
        </w:rPr>
        <w:t>;</w:t>
      </w:r>
    </w:p>
    <w:p w14:paraId="2774C1CB" w14:textId="77777777" w:rsidR="00D86030" w:rsidRPr="0068664C" w:rsidRDefault="00D86030" w:rsidP="00D86030">
      <w:pPr>
        <w:rPr>
          <w:lang w:val="es-ES"/>
        </w:rPr>
      </w:pPr>
      <w:r>
        <w:rPr>
          <w:i/>
          <w:iCs/>
          <w:lang w:val="es-ES"/>
        </w:rPr>
        <w:t>b)</w:t>
      </w:r>
      <w:r>
        <w:rPr>
          <w:lang w:val="es-ES"/>
        </w:rPr>
        <w:tab/>
        <w:t>que otras Resoluciones pertinentes de la Conferencia de Plenipotenciarios abordan cuestiones de gestión en general, entre ellas:</w:t>
      </w:r>
    </w:p>
    <w:p w14:paraId="453B4C8E" w14:textId="3B230A86" w:rsidR="00D86030" w:rsidRPr="0068664C" w:rsidRDefault="00265392" w:rsidP="00D86030">
      <w:pPr>
        <w:pStyle w:val="enumlev1"/>
        <w:rPr>
          <w:lang w:val="es-ES"/>
        </w:rPr>
      </w:pPr>
      <w:r>
        <w:t>–</w:t>
      </w:r>
      <w:r>
        <w:tab/>
      </w:r>
      <w:r w:rsidR="00D86030">
        <w:rPr>
          <w:lang w:val="es-ES"/>
        </w:rPr>
        <w:t>la Decisión</w:t>
      </w:r>
      <w:r w:rsidR="00933B07">
        <w:rPr>
          <w:lang w:val="es-ES"/>
        </w:rPr>
        <w:t> </w:t>
      </w:r>
      <w:r w:rsidR="00D86030">
        <w:rPr>
          <w:lang w:val="es-ES"/>
        </w:rPr>
        <w:t>5 (Rev.</w:t>
      </w:r>
      <w:r>
        <w:rPr>
          <w:lang w:val="es-ES"/>
        </w:rPr>
        <w:t> </w:t>
      </w:r>
      <w:r w:rsidR="00D86030">
        <w:rPr>
          <w:lang w:val="es-ES"/>
        </w:rPr>
        <w:t>Bucarest,</w:t>
      </w:r>
      <w:r>
        <w:rPr>
          <w:lang w:val="es-ES"/>
        </w:rPr>
        <w:t> </w:t>
      </w:r>
      <w:r w:rsidR="00D86030">
        <w:rPr>
          <w:lang w:val="es-ES"/>
        </w:rPr>
        <w:t>2022) sobre la metodología para establecer el presupuesto cuadrienal y bienal;</w:t>
      </w:r>
    </w:p>
    <w:p w14:paraId="0EF4CC30" w14:textId="1377FD99" w:rsidR="00D86030" w:rsidRPr="0068664C" w:rsidRDefault="00D86030" w:rsidP="00D86030">
      <w:pPr>
        <w:pStyle w:val="enumlev1"/>
        <w:rPr>
          <w:lang w:val="es-ES"/>
        </w:rPr>
      </w:pPr>
      <w:r>
        <w:rPr>
          <w:lang w:val="es-ES"/>
        </w:rPr>
        <w:t>─</w:t>
      </w:r>
      <w:r>
        <w:rPr>
          <w:lang w:val="es-ES"/>
        </w:rPr>
        <w:tab/>
        <w:t>la Resolución</w:t>
      </w:r>
      <w:r w:rsidR="00B1096D">
        <w:rPr>
          <w:lang w:val="es-ES"/>
        </w:rPr>
        <w:t> </w:t>
      </w:r>
      <w:r>
        <w:rPr>
          <w:lang w:val="es-ES"/>
        </w:rPr>
        <w:t>100 (Minneápolis,</w:t>
      </w:r>
      <w:r w:rsidR="00265392">
        <w:rPr>
          <w:lang w:val="es-ES"/>
        </w:rPr>
        <w:t> </w:t>
      </w:r>
      <w:r>
        <w:rPr>
          <w:lang w:val="es-ES"/>
        </w:rPr>
        <w:t xml:space="preserve">1998) sobre garantizar que las acciones de cooperación mediante la conclusión de </w:t>
      </w:r>
      <w:r w:rsidR="00265392">
        <w:rPr>
          <w:lang w:val="es-ES"/>
        </w:rPr>
        <w:t xml:space="preserve">Memorandos </w:t>
      </w:r>
      <w:r>
        <w:rPr>
          <w:lang w:val="es-ES"/>
        </w:rPr>
        <w:t xml:space="preserve">de </w:t>
      </w:r>
      <w:r w:rsidR="00265392">
        <w:rPr>
          <w:lang w:val="es-ES"/>
        </w:rPr>
        <w:t>Entendimiento</w:t>
      </w:r>
      <w:r w:rsidR="00831917">
        <w:rPr>
          <w:lang w:val="es-ES"/>
        </w:rPr>
        <w:t xml:space="preserve"> (MdE)</w:t>
      </w:r>
      <w:r w:rsidR="00265392">
        <w:rPr>
          <w:lang w:val="es-ES"/>
        </w:rPr>
        <w:t xml:space="preserve"> </w:t>
      </w:r>
      <w:r>
        <w:rPr>
          <w:lang w:val="es-ES"/>
        </w:rPr>
        <w:t>sean de interés general para la Unión;</w:t>
      </w:r>
    </w:p>
    <w:p w14:paraId="604A16CA" w14:textId="5885D175" w:rsidR="00D86030" w:rsidRPr="0068664C" w:rsidRDefault="00D86030" w:rsidP="00D86030">
      <w:pPr>
        <w:pStyle w:val="enumlev1"/>
        <w:rPr>
          <w:lang w:val="es-ES"/>
        </w:rPr>
      </w:pPr>
      <w:r>
        <w:rPr>
          <w:lang w:val="es-ES"/>
        </w:rPr>
        <w:t>─</w:t>
      </w:r>
      <w:r>
        <w:rPr>
          <w:lang w:val="es-ES"/>
        </w:rPr>
        <w:tab/>
        <w:t>la Resolución</w:t>
      </w:r>
      <w:r w:rsidR="00BB7764">
        <w:rPr>
          <w:lang w:val="es-ES"/>
        </w:rPr>
        <w:t> </w:t>
      </w:r>
      <w:r>
        <w:rPr>
          <w:lang w:val="es-ES"/>
        </w:rPr>
        <w:t>151 (Rev.</w:t>
      </w:r>
      <w:r w:rsidR="00265392">
        <w:rPr>
          <w:lang w:val="es-ES"/>
        </w:rPr>
        <w:t> </w:t>
      </w:r>
      <w:r>
        <w:rPr>
          <w:lang w:val="es-ES"/>
        </w:rPr>
        <w:t>Bucarest,</w:t>
      </w:r>
      <w:r w:rsidR="00265392">
        <w:rPr>
          <w:lang w:val="es-ES"/>
        </w:rPr>
        <w:t> </w:t>
      </w:r>
      <w:r>
        <w:rPr>
          <w:lang w:val="es-ES"/>
        </w:rPr>
        <w:t>2022) sobre la elaboración de un marco de resultados de la</w:t>
      </w:r>
      <w:r w:rsidR="00265392">
        <w:rPr>
          <w:lang w:val="es-ES"/>
        </w:rPr>
        <w:t> </w:t>
      </w:r>
      <w:r>
        <w:rPr>
          <w:lang w:val="es-ES"/>
        </w:rPr>
        <w:t>UIT exhaustivo</w:t>
      </w:r>
      <w:r w:rsidR="00265392">
        <w:rPr>
          <w:lang w:val="es-ES"/>
        </w:rPr>
        <w:t>;</w:t>
      </w:r>
      <w:r>
        <w:rPr>
          <w:lang w:val="es-ES"/>
        </w:rPr>
        <w:t xml:space="preserve"> y</w:t>
      </w:r>
    </w:p>
    <w:p w14:paraId="15593CEB" w14:textId="29698939" w:rsidR="00D86030" w:rsidRPr="0068664C" w:rsidRDefault="00D86030" w:rsidP="00D86030">
      <w:pPr>
        <w:pStyle w:val="enumlev1"/>
        <w:rPr>
          <w:lang w:val="es-ES"/>
        </w:rPr>
      </w:pPr>
      <w:r>
        <w:rPr>
          <w:lang w:val="es-ES"/>
        </w:rPr>
        <w:t>─</w:t>
      </w:r>
      <w:r>
        <w:rPr>
          <w:lang w:val="es-ES"/>
        </w:rPr>
        <w:tab/>
        <w:t>la Resolución</w:t>
      </w:r>
      <w:r w:rsidR="00CB5F4E">
        <w:rPr>
          <w:lang w:val="es-ES"/>
        </w:rPr>
        <w:t> </w:t>
      </w:r>
      <w:r>
        <w:rPr>
          <w:lang w:val="es-ES"/>
        </w:rPr>
        <w:t>158 (Rev.</w:t>
      </w:r>
      <w:r w:rsidR="00265392">
        <w:rPr>
          <w:lang w:val="es-ES"/>
        </w:rPr>
        <w:t> </w:t>
      </w:r>
      <w:r>
        <w:rPr>
          <w:lang w:val="es-ES"/>
        </w:rPr>
        <w:t>Busán,</w:t>
      </w:r>
      <w:r w:rsidR="00265392">
        <w:rPr>
          <w:lang w:val="es-ES"/>
        </w:rPr>
        <w:t> </w:t>
      </w:r>
      <w:r>
        <w:rPr>
          <w:lang w:val="es-ES"/>
        </w:rPr>
        <w:t>2014) sobre el posible establecimiento de mecanismos para garantizar la estabilidad financiera de la Unión;</w:t>
      </w:r>
    </w:p>
    <w:p w14:paraId="1B82CEAD" w14:textId="02B1F7EB" w:rsidR="00D86030" w:rsidRPr="0068664C" w:rsidRDefault="00D86030" w:rsidP="00D86030">
      <w:pPr>
        <w:rPr>
          <w:lang w:val="es-ES"/>
        </w:rPr>
      </w:pPr>
      <w:r>
        <w:rPr>
          <w:i/>
          <w:iCs/>
          <w:lang w:val="es-ES"/>
        </w:rPr>
        <w:t>c)</w:t>
      </w:r>
      <w:r>
        <w:rPr>
          <w:lang w:val="es-ES"/>
        </w:rPr>
        <w:tab/>
        <w:t>que la Conferencia de Plenipotenciarios de</w:t>
      </w:r>
      <w:r w:rsidR="00265392">
        <w:rPr>
          <w:lang w:val="es-ES"/>
        </w:rPr>
        <w:t> </w:t>
      </w:r>
      <w:r>
        <w:rPr>
          <w:lang w:val="es-ES"/>
        </w:rPr>
        <w:t>2022 decidió encargar al Secretario General que siguiera "presentando a la reunión ordinaria del Consejo</w:t>
      </w:r>
      <w:r w:rsidR="00E701AF" w:rsidRPr="00E241E3">
        <w:t>, para su aprobación previa, los</w:t>
      </w:r>
      <w:r w:rsidR="00831917">
        <w:t> MdE</w:t>
      </w:r>
      <w:r w:rsidR="00265392" w:rsidRPr="00E241E3">
        <w:t xml:space="preserve"> </w:t>
      </w:r>
      <w:r w:rsidR="00E701AF" w:rsidRPr="00E241E3">
        <w:t>que tengan repercusiones financieras o estratégicas sustanciales</w:t>
      </w:r>
      <w:r>
        <w:rPr>
          <w:lang w:val="es-ES"/>
        </w:rPr>
        <w:t>" y decidió además que "</w:t>
      </w:r>
      <w:r w:rsidR="00F7549B" w:rsidRPr="00E241E3">
        <w:t xml:space="preserve">se seguirá presentando un informe sobre los demás </w:t>
      </w:r>
      <w:r w:rsidR="00831917">
        <w:t>MdE</w:t>
      </w:r>
      <w:r w:rsidR="00F7549B" w:rsidRPr="00E241E3">
        <w:t xml:space="preserve"> concertados por la</w:t>
      </w:r>
      <w:r w:rsidR="00265392">
        <w:t> </w:t>
      </w:r>
      <w:r w:rsidR="00F7549B" w:rsidRPr="00E241E3">
        <w:t>UIT durante el periodo pertinente</w:t>
      </w:r>
      <w:r>
        <w:rPr>
          <w:lang w:val="es-ES"/>
        </w:rPr>
        <w:t>",</w:t>
      </w:r>
    </w:p>
    <w:p w14:paraId="043F8B62" w14:textId="77777777" w:rsidR="00D86030" w:rsidRPr="00265392" w:rsidRDefault="00D86030" w:rsidP="00D86030">
      <w:pPr>
        <w:pStyle w:val="Call"/>
      </w:pPr>
      <w:r w:rsidRPr="00265392">
        <w:t>reconociendo</w:t>
      </w:r>
    </w:p>
    <w:p w14:paraId="14D2DB7D" w14:textId="77777777" w:rsidR="00D86030" w:rsidRPr="0068664C" w:rsidRDefault="00D86030" w:rsidP="00D86030">
      <w:pPr>
        <w:rPr>
          <w:lang w:val="es-ES"/>
        </w:rPr>
      </w:pPr>
      <w:r>
        <w:rPr>
          <w:i/>
          <w:iCs/>
          <w:lang w:val="es-ES"/>
        </w:rPr>
        <w:t>a)</w:t>
      </w:r>
      <w:r>
        <w:rPr>
          <w:lang w:val="es-ES"/>
        </w:rPr>
        <w:tab/>
        <w:t>que, para aprovechar el papel de la gestión de los recursos financieros en el apoyo de la Unión a cumplir su misión y su visión, se hagan esfuerzos para fortalecer los vínculos entre la planificación estratégica, financiera y operacional;</w:t>
      </w:r>
    </w:p>
    <w:p w14:paraId="783AF651" w14:textId="77777777" w:rsidR="00D86030" w:rsidRPr="0068664C" w:rsidRDefault="00D86030" w:rsidP="00D86030">
      <w:pPr>
        <w:rPr>
          <w:lang w:val="es-ES"/>
        </w:rPr>
      </w:pPr>
      <w:r>
        <w:rPr>
          <w:i/>
          <w:iCs/>
          <w:lang w:val="es-ES"/>
        </w:rPr>
        <w:t>b)</w:t>
      </w:r>
      <w:r>
        <w:rPr>
          <w:lang w:val="es-ES"/>
        </w:rPr>
        <w:tab/>
        <w:t>que la Unión debe esforzarse por garantizar que el Reglamento Financiero de la Unión se mantenga actualizado, que la gestión financiera se guíe por objetivos claros e indicadores de rendimiento, y que la información financiera sea transparente y accesible;</w:t>
      </w:r>
    </w:p>
    <w:p w14:paraId="09086C34" w14:textId="0D211D10" w:rsidR="00D86030" w:rsidRPr="0068664C" w:rsidRDefault="00D86030" w:rsidP="00D86030">
      <w:pPr>
        <w:rPr>
          <w:lang w:val="es-ES"/>
        </w:rPr>
      </w:pPr>
      <w:r>
        <w:rPr>
          <w:i/>
          <w:iCs/>
          <w:lang w:val="es-ES"/>
        </w:rPr>
        <w:t>c)</w:t>
      </w:r>
      <w:r>
        <w:rPr>
          <w:lang w:val="es-ES"/>
        </w:rPr>
        <w:tab/>
      </w:r>
      <w:r w:rsidR="00E25982" w:rsidRPr="00E25982">
        <w:t xml:space="preserve">que, en el caso de las actividades con importantes repercusiones financieras y/o estratégicas, la accesibilidad, fiabilidad, pertinencia y oportunidad de la información conexa son esenciales para que los </w:t>
      </w:r>
      <w:r w:rsidR="001059B8">
        <w:t>M</w:t>
      </w:r>
      <w:r w:rsidR="001059B8" w:rsidRPr="00E25982">
        <w:t xml:space="preserve">iembros </w:t>
      </w:r>
      <w:r w:rsidR="00E25982" w:rsidRPr="00E25982">
        <w:t xml:space="preserve">tomen decisiones informadas, así como para la rendición de cuentas de la Unión y la confianza de los </w:t>
      </w:r>
      <w:r w:rsidR="001059B8">
        <w:t>M</w:t>
      </w:r>
      <w:r w:rsidR="001059B8" w:rsidRPr="00E25982">
        <w:t>iembros</w:t>
      </w:r>
      <w:r w:rsidR="00E25982" w:rsidRPr="00E25982">
        <w:t>;</w:t>
      </w:r>
    </w:p>
    <w:p w14:paraId="232BB439" w14:textId="29E41140" w:rsidR="00D86030" w:rsidRPr="0068664C" w:rsidRDefault="00D86030" w:rsidP="00D86030">
      <w:pPr>
        <w:rPr>
          <w:lang w:val="es-ES"/>
        </w:rPr>
      </w:pPr>
      <w:r>
        <w:rPr>
          <w:i/>
          <w:iCs/>
          <w:lang w:val="es-ES"/>
        </w:rPr>
        <w:lastRenderedPageBreak/>
        <w:t>d)</w:t>
      </w:r>
      <w:r>
        <w:rPr>
          <w:lang w:val="es-ES"/>
        </w:rPr>
        <w:tab/>
      </w:r>
      <w:r w:rsidR="00C52FCC" w:rsidRPr="00C52FCC">
        <w:t>que la Secretaría debe esforzarse por utilizar eficazmente los recursos financieros de la Unión en el marco del mandato autorizado por la Conferencia de Plenipotenciarios o el Consejo, y que debe darse prioridad a la asignación de recursos entre la Secretaría General y las tres Oficinas de conformidad con los objetivos estratégicos de la Unión,</w:t>
      </w:r>
    </w:p>
    <w:p w14:paraId="5EADC46C" w14:textId="77777777" w:rsidR="00D86030" w:rsidRPr="00265392" w:rsidRDefault="00D86030" w:rsidP="00D86030">
      <w:pPr>
        <w:pStyle w:val="Call"/>
      </w:pPr>
      <w:r w:rsidRPr="00265392">
        <w:t>observando</w:t>
      </w:r>
    </w:p>
    <w:p w14:paraId="4B555BA5" w14:textId="36B6B81E" w:rsidR="00D86030" w:rsidRPr="0068664C" w:rsidRDefault="00D86030" w:rsidP="00D86030">
      <w:pPr>
        <w:rPr>
          <w:lang w:val="es-ES"/>
        </w:rPr>
      </w:pPr>
      <w:r>
        <w:rPr>
          <w:i/>
          <w:iCs/>
          <w:lang w:val="es-ES"/>
        </w:rPr>
        <w:t>a)</w:t>
      </w:r>
      <w:r>
        <w:rPr>
          <w:lang w:val="es-ES"/>
        </w:rPr>
        <w:tab/>
      </w:r>
      <w:r w:rsidR="00DB598B" w:rsidRPr="00DB598B">
        <w:t>que la transparencia y la coherencia en la gestión financiera han sido durante mucho tiempo y siguen siendo una prioridad para el Consejo y su Grupo de Trabajo sobre Recursos Humanos y Financieros</w:t>
      </w:r>
      <w:r w:rsidR="00831917">
        <w:t xml:space="preserve"> (</w:t>
      </w:r>
      <w:r w:rsidR="00831917">
        <w:rPr>
          <w:lang w:val="es-ES"/>
        </w:rPr>
        <w:t>GTC-RHF</w:t>
      </w:r>
      <w:r w:rsidR="00831917">
        <w:t>)</w:t>
      </w:r>
      <w:r>
        <w:rPr>
          <w:lang w:val="es-ES"/>
        </w:rPr>
        <w:t>;</w:t>
      </w:r>
    </w:p>
    <w:p w14:paraId="24A99ED0" w14:textId="4AB488E8" w:rsidR="00D86030" w:rsidRPr="0068664C" w:rsidRDefault="00D86030" w:rsidP="00D86030">
      <w:pPr>
        <w:rPr>
          <w:lang w:val="es-ES"/>
        </w:rPr>
      </w:pPr>
      <w:r>
        <w:rPr>
          <w:i/>
          <w:iCs/>
          <w:lang w:val="es-ES"/>
        </w:rPr>
        <w:t>b)</w:t>
      </w:r>
      <w:r>
        <w:rPr>
          <w:lang w:val="es-ES"/>
        </w:rPr>
        <w:tab/>
      </w:r>
      <w:r w:rsidR="00DC6630" w:rsidRPr="00DC6630">
        <w:t>que la</w:t>
      </w:r>
      <w:r w:rsidR="00265392">
        <w:t> </w:t>
      </w:r>
      <w:r w:rsidR="00DC6630" w:rsidRPr="00DC6630">
        <w:t xml:space="preserve">UIT ha establecido asociaciones de cooperación con los Miembros y otras partes interesadas, que pueden contribuir a la ejecución del mandato de la Unión, a la movilización de expertos y recursos y a la realización de actividades en beneficio de los </w:t>
      </w:r>
      <w:r w:rsidR="001059B8">
        <w:t>M</w:t>
      </w:r>
      <w:r w:rsidR="001059B8" w:rsidRPr="00DC6630">
        <w:t>iembros</w:t>
      </w:r>
      <w:r w:rsidR="00DC6630" w:rsidRPr="00DC6630">
        <w:t>, si bien las repercusiones de dichas asociaciones pueden trascender a las partes participantes y afectar, por consiguiente, a otros Miembros, y que, dado su carácter no planificado y temporal, dichas asociaciones pueden afectar a la capacidad de la</w:t>
      </w:r>
      <w:r w:rsidR="00265392">
        <w:t> </w:t>
      </w:r>
      <w:r w:rsidR="00DC6630" w:rsidRPr="00DC6630">
        <w:t>UIT para ejecutar los Planes Estratégico y Operacional establecidos, mediante la reasignación de recursos presupuestarios ordinarios o de personal</w:t>
      </w:r>
      <w:r>
        <w:rPr>
          <w:lang w:val="es-ES"/>
        </w:rPr>
        <w:t>,</w:t>
      </w:r>
    </w:p>
    <w:p w14:paraId="1A3E4B2F" w14:textId="77777777" w:rsidR="00D86030" w:rsidRPr="00265392" w:rsidRDefault="00D86030" w:rsidP="00265392">
      <w:pPr>
        <w:pStyle w:val="Call"/>
      </w:pPr>
      <w:r w:rsidRPr="00265392">
        <w:t>resuelve</w:t>
      </w:r>
    </w:p>
    <w:p w14:paraId="62D717B3" w14:textId="77777777" w:rsidR="00D86030" w:rsidRPr="0068664C" w:rsidRDefault="00D86030" w:rsidP="00D86030">
      <w:pPr>
        <w:rPr>
          <w:lang w:val="es-ES"/>
        </w:rPr>
      </w:pPr>
      <w:r>
        <w:rPr>
          <w:lang w:val="es-ES"/>
        </w:rPr>
        <w:t>1</w:t>
      </w:r>
      <w:r>
        <w:rPr>
          <w:lang w:val="es-ES"/>
        </w:rPr>
        <w:tab/>
        <w:t>que fortalezca los vínculos entre la gestión financiera y las prioridades estratégicas de la Unión, garantizando que los recursos se asignen a toda la Unión en función de su importancia y urgencia;</w:t>
      </w:r>
    </w:p>
    <w:p w14:paraId="70B50EC2" w14:textId="77777777" w:rsidR="00D86030" w:rsidRPr="0068664C" w:rsidRDefault="00D86030" w:rsidP="00D86030">
      <w:pPr>
        <w:rPr>
          <w:lang w:val="es-ES"/>
        </w:rPr>
      </w:pPr>
      <w:r>
        <w:rPr>
          <w:lang w:val="es-ES"/>
        </w:rPr>
        <w:t>2</w:t>
      </w:r>
      <w:r>
        <w:rPr>
          <w:lang w:val="es-ES"/>
        </w:rPr>
        <w:tab/>
        <w:t>que adopte un enfoque prudente en la atribución de recursos financieros, velando por que la gestión financiera se lleve a cabo de conformidad con el Reglamento Financiero y las Reglas Financieras, y que se base en objetivos claros e indicadores de rendimiento;</w:t>
      </w:r>
    </w:p>
    <w:p w14:paraId="6D04156B" w14:textId="4A9B51A1" w:rsidR="00D86030" w:rsidRPr="0068664C" w:rsidRDefault="00D86030" w:rsidP="00D86030">
      <w:pPr>
        <w:rPr>
          <w:lang w:val="es-ES"/>
        </w:rPr>
      </w:pPr>
      <w:r>
        <w:rPr>
          <w:lang w:val="es-ES"/>
        </w:rPr>
        <w:t>3</w:t>
      </w:r>
      <w:r>
        <w:rPr>
          <w:lang w:val="es-ES"/>
        </w:rPr>
        <w:tab/>
      </w:r>
      <w:r w:rsidR="008A504A" w:rsidRPr="008A504A">
        <w:t>que examine exhaustivamente los beneficios y los riesgos del establecimiento de asociaciones de cooperación con los Miembros u otras partes interesadas, a fin de que dichas asociaciones contribuyan a la consecución de los objetivos de la Unión y se ajusten a ellos</w:t>
      </w:r>
      <w:r>
        <w:rPr>
          <w:lang w:val="es-ES"/>
        </w:rPr>
        <w:t>,</w:t>
      </w:r>
    </w:p>
    <w:p w14:paraId="50B6AE45" w14:textId="77777777" w:rsidR="00D86030" w:rsidRPr="00265392" w:rsidRDefault="00D86030" w:rsidP="00D86030">
      <w:pPr>
        <w:pStyle w:val="Call"/>
      </w:pPr>
      <w:r w:rsidRPr="00265392">
        <w:t>encarga al Secretario General que, en estrecha colaboración con los Directores de las tres Oficinas</w:t>
      </w:r>
    </w:p>
    <w:p w14:paraId="0B486569" w14:textId="45A8560C" w:rsidR="00D86030" w:rsidRPr="0068664C" w:rsidRDefault="00D86030" w:rsidP="00D86030">
      <w:pPr>
        <w:rPr>
          <w:lang w:val="es-ES"/>
        </w:rPr>
      </w:pPr>
      <w:r>
        <w:rPr>
          <w:lang w:val="es-ES"/>
        </w:rPr>
        <w:t>1</w:t>
      </w:r>
      <w:r>
        <w:rPr>
          <w:lang w:val="es-ES"/>
        </w:rPr>
        <w:tab/>
      </w:r>
      <w:r w:rsidR="0052370C" w:rsidRPr="0052370C">
        <w:t>especifique en los informes anuales presentados a las reuniones ordinarias del Consejo lo siguiente:</w:t>
      </w:r>
    </w:p>
    <w:p w14:paraId="73672689" w14:textId="1AC47604" w:rsidR="00D86030" w:rsidRPr="00265392" w:rsidRDefault="00265392" w:rsidP="00265392">
      <w:pPr>
        <w:pStyle w:val="enumlev1"/>
      </w:pPr>
      <w:r>
        <w:t>–</w:t>
      </w:r>
      <w:r>
        <w:tab/>
      </w:r>
      <w:r w:rsidR="00D86030" w:rsidRPr="00265392">
        <w:t>las actividades prioritarias planificadas y la estimación preliminar de los costes de los recursos humanos y financieros conexos (tanto internos como externos), especialmente cuando se lanzan nuevas iniciativas con repercusiones financieras;</w:t>
      </w:r>
    </w:p>
    <w:p w14:paraId="417A84F7" w14:textId="34FE6628" w:rsidR="00474422" w:rsidRPr="00265392" w:rsidRDefault="00265392" w:rsidP="00265392">
      <w:pPr>
        <w:pStyle w:val="enumlev1"/>
      </w:pPr>
      <w:r>
        <w:t>–</w:t>
      </w:r>
      <w:r>
        <w:tab/>
      </w:r>
      <w:r w:rsidR="00474422" w:rsidRPr="00265392">
        <w:t>las asociaciones de cooperación actuales y previstas que tengan implicaciones financieras y/o estratégicas significativas, incluidas sus disposiciones financieras y de personal, así como las oportunidades y los riesgos estratégicos, y solicite orientación al Consejo;</w:t>
      </w:r>
    </w:p>
    <w:p w14:paraId="0E3E3A28" w14:textId="1EA1EF97" w:rsidR="00D86030" w:rsidRPr="00265392" w:rsidRDefault="00265392" w:rsidP="00265392">
      <w:pPr>
        <w:pStyle w:val="enumlev1"/>
      </w:pPr>
      <w:r>
        <w:t>–</w:t>
      </w:r>
      <w:r>
        <w:tab/>
      </w:r>
      <w:r w:rsidR="00D86030" w:rsidRPr="00265392">
        <w:t>un análisis de armonización entre las actividades mencionadas y el mandato y el Plan Estratégico de la Unión;</w:t>
      </w:r>
    </w:p>
    <w:p w14:paraId="0449B699" w14:textId="2A25FB12" w:rsidR="00D86030" w:rsidRPr="0068664C" w:rsidRDefault="00D86030" w:rsidP="00D86030">
      <w:pPr>
        <w:rPr>
          <w:lang w:val="es-ES"/>
        </w:rPr>
      </w:pPr>
      <w:r>
        <w:rPr>
          <w:lang w:val="es-ES"/>
        </w:rPr>
        <w:t>2</w:t>
      </w:r>
      <w:r>
        <w:rPr>
          <w:lang w:val="es-ES"/>
        </w:rPr>
        <w:tab/>
      </w:r>
      <w:r w:rsidR="00447C80" w:rsidRPr="00447C80">
        <w:t xml:space="preserve">que, al crear nuevas provisiones u otros fondos, especifique la finalidad y la necesidad de su creación y someta al Consejo, para su examen, propuestas relativas a la creación de dichas provisiones o fondos, sin perjuicio del trato que se conceda a las contribuciones voluntarias, los </w:t>
      </w:r>
      <w:r w:rsidR="00447C80" w:rsidRPr="00447C80">
        <w:lastRenderedPageBreak/>
        <w:t>fondos fiduciarios y los acuerdos de financiación basada en proyectos, de conformidad con el Reglamento Financiero y las Reglas Financieras aplicables;</w:t>
      </w:r>
    </w:p>
    <w:p w14:paraId="1AEEC98D" w14:textId="799D8194" w:rsidR="00D86030" w:rsidRPr="0068664C" w:rsidRDefault="00D86030" w:rsidP="00D86030">
      <w:pPr>
        <w:rPr>
          <w:lang w:val="es-ES"/>
        </w:rPr>
      </w:pPr>
      <w:r>
        <w:rPr>
          <w:lang w:val="es-ES"/>
        </w:rPr>
        <w:t>3</w:t>
      </w:r>
      <w:r>
        <w:rPr>
          <w:lang w:val="es-ES"/>
        </w:rPr>
        <w:tab/>
      </w:r>
      <w:r w:rsidR="00501B36" w:rsidRPr="00501B36">
        <w:t>que garantice el acceso de los Estados Miembros a información financiera fiable, pertinente y oportuna</w:t>
      </w:r>
      <w:r>
        <w:rPr>
          <w:lang w:val="es-ES"/>
        </w:rPr>
        <w:t>;</w:t>
      </w:r>
    </w:p>
    <w:p w14:paraId="55B6E204" w14:textId="2F40A9BC" w:rsidR="00D86030" w:rsidRPr="0068664C" w:rsidRDefault="00D86030" w:rsidP="00D86030">
      <w:pPr>
        <w:rPr>
          <w:lang w:val="es-ES"/>
        </w:rPr>
      </w:pPr>
      <w:r>
        <w:rPr>
          <w:lang w:val="es-ES"/>
        </w:rPr>
        <w:t>4</w:t>
      </w:r>
      <w:r>
        <w:rPr>
          <w:lang w:val="es-ES"/>
        </w:rPr>
        <w:tab/>
      </w:r>
      <w:r w:rsidR="00CB244D" w:rsidRPr="00CB244D">
        <w:t>que presente al Consejo un informe en el que se enumeren todos los</w:t>
      </w:r>
      <w:r w:rsidR="00265392">
        <w:t> </w:t>
      </w:r>
      <w:r w:rsidR="00CB244D" w:rsidRPr="00CB244D">
        <w:t>MdE de la</w:t>
      </w:r>
      <w:r w:rsidR="00265392">
        <w:t> </w:t>
      </w:r>
      <w:r w:rsidR="00CB244D" w:rsidRPr="00CB244D">
        <w:t>UIT que hayan entrado en vigor desde la PP-22 y se describan los resultados logrados, los recursos invertidos y las próximas etapas, y que actualice dicho informe anualmente,</w:t>
      </w:r>
    </w:p>
    <w:p w14:paraId="64098B58" w14:textId="77777777" w:rsidR="00D86030" w:rsidRPr="00265392" w:rsidRDefault="00D86030" w:rsidP="00D86030">
      <w:pPr>
        <w:pStyle w:val="Call"/>
      </w:pPr>
      <w:r w:rsidRPr="00265392">
        <w:t>encarga al Consejo</w:t>
      </w:r>
    </w:p>
    <w:p w14:paraId="5D338B47" w14:textId="0E2D4AEC" w:rsidR="00D86030" w:rsidRPr="0068664C" w:rsidRDefault="00D86030" w:rsidP="00D86030">
      <w:pPr>
        <w:rPr>
          <w:lang w:val="es-ES"/>
        </w:rPr>
      </w:pPr>
      <w:r>
        <w:rPr>
          <w:lang w:val="es-ES"/>
        </w:rPr>
        <w:t>1</w:t>
      </w:r>
      <w:r>
        <w:rPr>
          <w:lang w:val="es-ES"/>
        </w:rPr>
        <w:tab/>
        <w:t xml:space="preserve">que, al examinar y aprobar el presupuesto bienal, tenga debidamente en cuenta los informes presentados por el Secretario General mencionados en la sección anterior y proporcione </w:t>
      </w:r>
      <w:r w:rsidR="00B25C1A">
        <w:rPr>
          <w:lang w:val="es-ES"/>
        </w:rPr>
        <w:t>las orientaciones correspondientes</w:t>
      </w:r>
      <w:r>
        <w:rPr>
          <w:lang w:val="es-ES"/>
        </w:rPr>
        <w:t>;</w:t>
      </w:r>
    </w:p>
    <w:p w14:paraId="1D731A9B" w14:textId="7FBC7286" w:rsidR="00D86030" w:rsidRPr="0068664C" w:rsidRDefault="00D86030" w:rsidP="00D86030">
      <w:pPr>
        <w:rPr>
          <w:lang w:val="es-ES"/>
        </w:rPr>
      </w:pPr>
      <w:r>
        <w:rPr>
          <w:lang w:val="es-ES"/>
        </w:rPr>
        <w:t>2</w:t>
      </w:r>
      <w:r>
        <w:rPr>
          <w:lang w:val="es-ES"/>
        </w:rPr>
        <w:tab/>
      </w:r>
      <w:r w:rsidR="006C469F" w:rsidRPr="006C469F">
        <w:t>que siga examinando las asociaciones de cooperación en las que participa la</w:t>
      </w:r>
      <w:r w:rsidR="00265392">
        <w:t> </w:t>
      </w:r>
      <w:r w:rsidR="006C469F" w:rsidRPr="006C469F">
        <w:t>UIT, en particular aquellas que tienen importantes repercusiones financieras y/o estratégicas, a fin de garantizar que dichas asociaciones se ajusten a los intereses generales de la Unión, así como a sus Planes Estratégico, Operacional y Financiero</w:t>
      </w:r>
      <w:r>
        <w:rPr>
          <w:lang w:val="es-ES"/>
        </w:rPr>
        <w:t>;</w:t>
      </w:r>
    </w:p>
    <w:p w14:paraId="63D070CB" w14:textId="51E62E2F" w:rsidR="00D86030" w:rsidRPr="0068664C" w:rsidRDefault="00D86030" w:rsidP="00D86030">
      <w:pPr>
        <w:rPr>
          <w:lang w:val="es-ES"/>
        </w:rPr>
      </w:pPr>
      <w:r>
        <w:rPr>
          <w:lang w:val="es-ES"/>
        </w:rPr>
        <w:t>3</w:t>
      </w:r>
      <w:r>
        <w:rPr>
          <w:lang w:val="es-ES"/>
        </w:rPr>
        <w:tab/>
      </w:r>
      <w:r w:rsidR="00CB253E" w:rsidRPr="00CB253E">
        <w:t>que continúe supervisando la creación y la gestión de reservas u otros fondos, aun cuando los fondos rotatorios, en particular, funcionen en régimen de autofinanciación, y que perfeccione, cuando sea necesario, las Reglas Financieras y el Reglamento Financiero, entre otros instrumentos aplicables</w:t>
      </w:r>
      <w:r w:rsidR="00CB253E">
        <w:t>;</w:t>
      </w:r>
    </w:p>
    <w:p w14:paraId="4E83F655" w14:textId="7B432761" w:rsidR="00D86030" w:rsidRPr="0068664C" w:rsidRDefault="00D86030" w:rsidP="00D86030">
      <w:pPr>
        <w:rPr>
          <w:lang w:val="es-ES"/>
        </w:rPr>
      </w:pPr>
      <w:r>
        <w:rPr>
          <w:lang w:val="es-ES"/>
        </w:rPr>
        <w:t>4</w:t>
      </w:r>
      <w:r>
        <w:rPr>
          <w:lang w:val="es-ES"/>
        </w:rPr>
        <w:tab/>
      </w:r>
      <w:r w:rsidR="00CB253E">
        <w:rPr>
          <w:lang w:val="es-ES"/>
        </w:rPr>
        <w:t>que estudie</w:t>
      </w:r>
      <w:r>
        <w:rPr>
          <w:lang w:val="es-ES"/>
        </w:rPr>
        <w:t xml:space="preserve"> la posibilidad de establecer criterios para determinar la importancia de las repercusiones financieras y estratégicas de los proyectos, actividades y acuerdos,</w:t>
      </w:r>
    </w:p>
    <w:p w14:paraId="378E0BDF" w14:textId="77777777" w:rsidR="00D86030" w:rsidRPr="00265392" w:rsidRDefault="00D86030" w:rsidP="00D86030">
      <w:pPr>
        <w:pStyle w:val="Call"/>
      </w:pPr>
      <w:r w:rsidRPr="00265392">
        <w:t>invita a los Estados Miembros, Miembros de Sector, Asociados e Instituciones Académicas</w:t>
      </w:r>
    </w:p>
    <w:p w14:paraId="083F025B" w14:textId="7F2E8C4D" w:rsidR="001A4055" w:rsidRPr="00D86030" w:rsidRDefault="002431A0" w:rsidP="00D86030">
      <w:pPr>
        <w:rPr>
          <w:lang w:val="es-ES"/>
        </w:rPr>
      </w:pPr>
      <w:r>
        <w:rPr>
          <w:lang w:val="es-ES"/>
        </w:rPr>
        <w:t>a seguir</w:t>
      </w:r>
      <w:r w:rsidR="00D86030">
        <w:rPr>
          <w:lang w:val="es-ES"/>
        </w:rPr>
        <w:t xml:space="preserve"> proponiendo medidas constructivas para mejorar la transparencia y la rendición de cuentas de la gestión financiera de la</w:t>
      </w:r>
      <w:r w:rsidR="00265392">
        <w:t> </w:t>
      </w:r>
      <w:r w:rsidR="00D86030">
        <w:rPr>
          <w:lang w:val="es-ES"/>
        </w:rPr>
        <w:t>UIT ante el Consejo y los Grupos de Trabajo pertinentes del Consejo, especialmente el GTC-RHF, esforzándose por la estabilidad financiera y la sostenibilidad a largo plazo de la Unión.</w:t>
      </w:r>
    </w:p>
    <w:p w14:paraId="424A600C" w14:textId="2AAC18E0" w:rsidR="00387CB0" w:rsidRPr="0068664C" w:rsidRDefault="00491A7A" w:rsidP="007C1683">
      <w:pPr>
        <w:pStyle w:val="Reasons"/>
        <w:rPr>
          <w:lang w:val="es-ES"/>
        </w:rPr>
      </w:pPr>
      <w:r w:rsidRPr="002A7E68">
        <w:rPr>
          <w:b/>
          <w:bCs/>
        </w:rPr>
        <w:t>Motivos:</w:t>
      </w:r>
      <w:r>
        <w:tab/>
      </w:r>
      <w:r w:rsidR="00FB5E0D" w:rsidRPr="00FB5E0D">
        <w:t>Si bien valoran los esfuerzos realizados por las últimas administraciones, los Estados Miembros señalan que la</w:t>
      </w:r>
      <w:r w:rsidR="00265392">
        <w:t> </w:t>
      </w:r>
      <w:r w:rsidR="00FB5E0D" w:rsidRPr="00FB5E0D">
        <w:t xml:space="preserve">UIT se enfrenta a crecientes presiones presupuestarias y solicitan una mayor transparencia financiera. La propuesta de nueva </w:t>
      </w:r>
      <w:r w:rsidR="00FB5E0D">
        <w:t>R</w:t>
      </w:r>
      <w:r w:rsidR="00FB5E0D" w:rsidRPr="00FB5E0D">
        <w:t xml:space="preserve">esolución tiene por objeto institucionalizar las </w:t>
      </w:r>
      <w:r w:rsidR="00656DAA">
        <w:t xml:space="preserve">buenas </w:t>
      </w:r>
      <w:r w:rsidR="00E7798D">
        <w:t xml:space="preserve">prácticas </w:t>
      </w:r>
      <w:r w:rsidR="00FB5E0D" w:rsidRPr="00FB5E0D">
        <w:t>existentes y su posible perfeccionamiento, con el fin de facilitar la adopción de decisiones informadas por los Estados Miembros, garantizar una financiación sostenible para el mandato básico de la</w:t>
      </w:r>
      <w:r w:rsidR="00265392">
        <w:t> </w:t>
      </w:r>
      <w:r w:rsidR="00FB5E0D" w:rsidRPr="00FB5E0D">
        <w:t xml:space="preserve">UIT y reforzar la confianza de los </w:t>
      </w:r>
      <w:r w:rsidR="001059B8" w:rsidRPr="00FB5E0D">
        <w:t xml:space="preserve">Miembros </w:t>
      </w:r>
      <w:r w:rsidR="00FB5E0D" w:rsidRPr="00FB5E0D">
        <w:t>en la Unión</w:t>
      </w:r>
      <w:r w:rsidR="00FB5E0D">
        <w:t>.</w:t>
      </w:r>
    </w:p>
    <w:p w14:paraId="594E29CE" w14:textId="77777777" w:rsidR="002A7E68" w:rsidRDefault="002A7E68" w:rsidP="002A7E68"/>
    <w:p w14:paraId="26A6A47F" w14:textId="77777777" w:rsidR="002A7E68" w:rsidRDefault="002A7E68">
      <w:pPr>
        <w:jc w:val="center"/>
      </w:pPr>
      <w:r>
        <w:t>______________</w:t>
      </w:r>
    </w:p>
    <w:sectPr w:rsidR="002A7E68" w:rsidSect="00A70E9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13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E4E0A" w14:textId="77777777" w:rsidR="00986317" w:rsidRDefault="00986317">
      <w:r>
        <w:separator/>
      </w:r>
    </w:p>
  </w:endnote>
  <w:endnote w:type="continuationSeparator" w:id="0">
    <w:p w14:paraId="7DBD4538" w14:textId="77777777" w:rsidR="00986317" w:rsidRDefault="00986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9A4A4" w14:textId="77777777" w:rsidR="00BF32F2" w:rsidRDefault="00BF32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2DC38" w14:textId="77777777" w:rsidR="00BF32F2" w:rsidRDefault="00BF32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9489E" w14:textId="77777777" w:rsidR="00F23399" w:rsidRPr="003F2E54" w:rsidRDefault="00F23399" w:rsidP="00F23399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35432" w14:textId="77777777" w:rsidR="00986317" w:rsidRDefault="00986317">
      <w:r>
        <w:t>____________________</w:t>
      </w:r>
    </w:p>
  </w:footnote>
  <w:footnote w:type="continuationSeparator" w:id="0">
    <w:p w14:paraId="70F4B980" w14:textId="77777777" w:rsidR="00986317" w:rsidRDefault="009863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F6AA1" w14:textId="77777777" w:rsidR="00BF32F2" w:rsidRDefault="00BF32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7B5AB" w14:textId="77777777" w:rsidR="00255FA1" w:rsidRDefault="00255FA1" w:rsidP="00255FA1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30C52">
      <w:rPr>
        <w:noProof/>
      </w:rPr>
      <w:t>2</w:t>
    </w:r>
    <w:r>
      <w:fldChar w:fldCharType="end"/>
    </w:r>
  </w:p>
  <w:p w14:paraId="061125FC" w14:textId="77777777" w:rsidR="00255FA1" w:rsidRDefault="00255FA1" w:rsidP="00C43474">
    <w:pPr>
      <w:pStyle w:val="Header"/>
    </w:pPr>
    <w:r>
      <w:rPr>
        <w:lang w:val="en-US"/>
      </w:rPr>
      <w:t>PP</w:t>
    </w:r>
    <w:r w:rsidR="009D1BE0">
      <w:rPr>
        <w:lang w:val="en-US"/>
      </w:rPr>
      <w:t>2</w:t>
    </w:r>
    <w:r w:rsidR="009415B6">
      <w:rPr>
        <w:lang w:val="en-US"/>
      </w:rPr>
      <w:t>6</w:t>
    </w:r>
    <w:r>
      <w:t>/79(Add.25)-</w:t>
    </w:r>
    <w:r w:rsidRPr="00010B43">
      <w:t>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0460F" w14:textId="77777777" w:rsidR="00BF32F2" w:rsidRDefault="00BF32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F6408"/>
    <w:multiLevelType w:val="hybridMultilevel"/>
    <w:tmpl w:val="A0C0525E"/>
    <w:lvl w:ilvl="0" w:tplc="B1547C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4D53BA"/>
    <w:multiLevelType w:val="hybridMultilevel"/>
    <w:tmpl w:val="923A2E80"/>
    <w:lvl w:ilvl="0" w:tplc="B1547C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35456">
    <w:abstractNumId w:val="1"/>
  </w:num>
  <w:num w:numId="2" w16cid:durableId="644942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507CA"/>
    <w:rsid w:val="00057402"/>
    <w:rsid w:val="00080026"/>
    <w:rsid w:val="000863AB"/>
    <w:rsid w:val="00091050"/>
    <w:rsid w:val="000A1523"/>
    <w:rsid w:val="000B1752"/>
    <w:rsid w:val="0010546D"/>
    <w:rsid w:val="001059B8"/>
    <w:rsid w:val="00135F93"/>
    <w:rsid w:val="001632E3"/>
    <w:rsid w:val="001A4055"/>
    <w:rsid w:val="001D4983"/>
    <w:rsid w:val="001D6EC3"/>
    <w:rsid w:val="001D787B"/>
    <w:rsid w:val="001E3D06"/>
    <w:rsid w:val="001F0B24"/>
    <w:rsid w:val="00225F6B"/>
    <w:rsid w:val="00237C17"/>
    <w:rsid w:val="00242376"/>
    <w:rsid w:val="002431A0"/>
    <w:rsid w:val="00255FA1"/>
    <w:rsid w:val="00262FF4"/>
    <w:rsid w:val="00265392"/>
    <w:rsid w:val="00277985"/>
    <w:rsid w:val="002A7E68"/>
    <w:rsid w:val="002B6E12"/>
    <w:rsid w:val="002C6527"/>
    <w:rsid w:val="002E44FC"/>
    <w:rsid w:val="00333E76"/>
    <w:rsid w:val="00351381"/>
    <w:rsid w:val="003537B5"/>
    <w:rsid w:val="003707E5"/>
    <w:rsid w:val="00375610"/>
    <w:rsid w:val="00387CB0"/>
    <w:rsid w:val="00391611"/>
    <w:rsid w:val="003B5DC9"/>
    <w:rsid w:val="003D0027"/>
    <w:rsid w:val="003E6E73"/>
    <w:rsid w:val="00447C80"/>
    <w:rsid w:val="00454D3B"/>
    <w:rsid w:val="00474422"/>
    <w:rsid w:val="004750AB"/>
    <w:rsid w:val="00484B72"/>
    <w:rsid w:val="00491A25"/>
    <w:rsid w:val="00491A7A"/>
    <w:rsid w:val="004A346E"/>
    <w:rsid w:val="004A63A9"/>
    <w:rsid w:val="004B07DB"/>
    <w:rsid w:val="004B09D4"/>
    <w:rsid w:val="004B0BCB"/>
    <w:rsid w:val="004C27F5"/>
    <w:rsid w:val="004C39C6"/>
    <w:rsid w:val="004D23BA"/>
    <w:rsid w:val="004E069C"/>
    <w:rsid w:val="004E08E0"/>
    <w:rsid w:val="004E28FB"/>
    <w:rsid w:val="004F4BB1"/>
    <w:rsid w:val="00501B36"/>
    <w:rsid w:val="00504FD4"/>
    <w:rsid w:val="00507662"/>
    <w:rsid w:val="00523448"/>
    <w:rsid w:val="0052354B"/>
    <w:rsid w:val="0052370C"/>
    <w:rsid w:val="005359B6"/>
    <w:rsid w:val="005470E8"/>
    <w:rsid w:val="00550FCF"/>
    <w:rsid w:val="00556958"/>
    <w:rsid w:val="00567ED5"/>
    <w:rsid w:val="00593525"/>
    <w:rsid w:val="005A329F"/>
    <w:rsid w:val="005D1164"/>
    <w:rsid w:val="005D6488"/>
    <w:rsid w:val="005F6278"/>
    <w:rsid w:val="00601280"/>
    <w:rsid w:val="00641DBD"/>
    <w:rsid w:val="006426C0"/>
    <w:rsid w:val="006455D2"/>
    <w:rsid w:val="006537F3"/>
    <w:rsid w:val="00656DAA"/>
    <w:rsid w:val="006B5512"/>
    <w:rsid w:val="006C190D"/>
    <w:rsid w:val="006C469F"/>
    <w:rsid w:val="00720686"/>
    <w:rsid w:val="00737EFF"/>
    <w:rsid w:val="00750806"/>
    <w:rsid w:val="00780430"/>
    <w:rsid w:val="007875D2"/>
    <w:rsid w:val="007C1683"/>
    <w:rsid w:val="007D61E2"/>
    <w:rsid w:val="007F6EBC"/>
    <w:rsid w:val="00810D8B"/>
    <w:rsid w:val="00831917"/>
    <w:rsid w:val="00882773"/>
    <w:rsid w:val="008A504A"/>
    <w:rsid w:val="008A753C"/>
    <w:rsid w:val="008B4706"/>
    <w:rsid w:val="008B6676"/>
    <w:rsid w:val="008C3FA8"/>
    <w:rsid w:val="008E51C5"/>
    <w:rsid w:val="008F7109"/>
    <w:rsid w:val="009026C2"/>
    <w:rsid w:val="009107B0"/>
    <w:rsid w:val="0091591F"/>
    <w:rsid w:val="009220DE"/>
    <w:rsid w:val="00930E84"/>
    <w:rsid w:val="00933B07"/>
    <w:rsid w:val="009415B6"/>
    <w:rsid w:val="00956FE6"/>
    <w:rsid w:val="00986317"/>
    <w:rsid w:val="0099270D"/>
    <w:rsid w:val="0099551E"/>
    <w:rsid w:val="009A1A86"/>
    <w:rsid w:val="009D1BE0"/>
    <w:rsid w:val="009E0C42"/>
    <w:rsid w:val="00A50BE3"/>
    <w:rsid w:val="00A61D0B"/>
    <w:rsid w:val="00A70E95"/>
    <w:rsid w:val="00AA1F73"/>
    <w:rsid w:val="00AA770E"/>
    <w:rsid w:val="00AB190D"/>
    <w:rsid w:val="00AB34CA"/>
    <w:rsid w:val="00AB65DB"/>
    <w:rsid w:val="00AD400E"/>
    <w:rsid w:val="00AD4A61"/>
    <w:rsid w:val="00AF0DC5"/>
    <w:rsid w:val="00B012B7"/>
    <w:rsid w:val="00B1096D"/>
    <w:rsid w:val="00B25C1A"/>
    <w:rsid w:val="00B30C52"/>
    <w:rsid w:val="00B501AB"/>
    <w:rsid w:val="00B73978"/>
    <w:rsid w:val="00B77C4D"/>
    <w:rsid w:val="00BB07A1"/>
    <w:rsid w:val="00BB13FE"/>
    <w:rsid w:val="00BB7764"/>
    <w:rsid w:val="00BC7EE2"/>
    <w:rsid w:val="00BF32F2"/>
    <w:rsid w:val="00BF5475"/>
    <w:rsid w:val="00C03BF2"/>
    <w:rsid w:val="00C20ED7"/>
    <w:rsid w:val="00C42D2D"/>
    <w:rsid w:val="00C43474"/>
    <w:rsid w:val="00C52FCC"/>
    <w:rsid w:val="00C61A48"/>
    <w:rsid w:val="00C80F8F"/>
    <w:rsid w:val="00C84355"/>
    <w:rsid w:val="00C84A65"/>
    <w:rsid w:val="00CA3051"/>
    <w:rsid w:val="00CB244D"/>
    <w:rsid w:val="00CB253E"/>
    <w:rsid w:val="00CB5F4E"/>
    <w:rsid w:val="00CC6AA4"/>
    <w:rsid w:val="00CD20D9"/>
    <w:rsid w:val="00CD701A"/>
    <w:rsid w:val="00D05AAE"/>
    <w:rsid w:val="00D05E6B"/>
    <w:rsid w:val="00D066F8"/>
    <w:rsid w:val="00D2522A"/>
    <w:rsid w:val="00D254A6"/>
    <w:rsid w:val="00D42B55"/>
    <w:rsid w:val="00D57D70"/>
    <w:rsid w:val="00D86030"/>
    <w:rsid w:val="00DB598B"/>
    <w:rsid w:val="00DC6630"/>
    <w:rsid w:val="00DE3E41"/>
    <w:rsid w:val="00E05D81"/>
    <w:rsid w:val="00E25982"/>
    <w:rsid w:val="00E53DFC"/>
    <w:rsid w:val="00E66FC3"/>
    <w:rsid w:val="00E677DD"/>
    <w:rsid w:val="00E701AF"/>
    <w:rsid w:val="00E7798D"/>
    <w:rsid w:val="00E77F17"/>
    <w:rsid w:val="00E809D8"/>
    <w:rsid w:val="00E921EC"/>
    <w:rsid w:val="00EB23D0"/>
    <w:rsid w:val="00EC395A"/>
    <w:rsid w:val="00EE60FA"/>
    <w:rsid w:val="00F01632"/>
    <w:rsid w:val="00F04858"/>
    <w:rsid w:val="00F13AA4"/>
    <w:rsid w:val="00F23399"/>
    <w:rsid w:val="00F3510D"/>
    <w:rsid w:val="00F43C07"/>
    <w:rsid w:val="00F43D44"/>
    <w:rsid w:val="00F7549B"/>
    <w:rsid w:val="00F80E6E"/>
    <w:rsid w:val="00FB5E0D"/>
    <w:rsid w:val="00FD19EF"/>
    <w:rsid w:val="00FD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EA5173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qFormat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8A753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8A753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A753C"/>
    <w:rPr>
      <w:rFonts w:ascii="Calibri" w:hAnsi="Calibri"/>
      <w:lang w:val="es-ES_tradnl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A75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A753C"/>
    <w:rPr>
      <w:rFonts w:ascii="Calibri" w:hAnsi="Calibri"/>
      <w:b/>
      <w:bCs/>
      <w:lang w:val="es-ES_tradnl" w:eastAsia="en-US"/>
    </w:rPr>
  </w:style>
  <w:style w:type="paragraph" w:styleId="Revision">
    <w:name w:val="Revision"/>
    <w:hidden/>
    <w:uiPriority w:val="99"/>
    <w:semiHidden/>
    <w:rsid w:val="002A7E68"/>
    <w:rPr>
      <w:rFonts w:ascii="Calibri" w:hAnsi="Calibri"/>
      <w:sz w:val="24"/>
      <w:lang w:val="es-ES_trad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header" Target="header3.xml"/><Relationship Id="rId3" Type="http://schemas.openxmlformats.org/officeDocument/2006/relationships/customXml" Target="../customXml/item2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1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customXml" Target="../customXml/item5.xml"/><Relationship Id="rId11" Type="http://schemas.openxmlformats.org/officeDocument/2006/relationships/footnotes" Target="footnotes.xml"/><Relationship Id="rId5" Type="http://schemas.openxmlformats.org/officeDocument/2006/relationships/customXml" Target="../customXml/item4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footer" Target="footer3.xml"/><Relationship Id="rId4" Type="http://schemas.openxmlformats.org/officeDocument/2006/relationships/customXml" Target="../customXml/item3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6e62f809-20e5-4a8c-b952-ff009cc675f1" targetNamespace="http://schemas.microsoft.com/office/2006/metadata/properties" ma:root="true" ma:fieldsID="d41af5c836d734370eb92e7ee5f83852" ns2:_="" ns3:_="">
    <xsd:import namespace="996b2e75-67fd-4955-a3b0-5ab9934cb50b"/>
    <xsd:import namespace="6e62f809-20e5-4a8c-b952-ff009cc675f1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62f809-20e5-4a8c-b952-ff009cc675f1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6e62f809-20e5-4a8c-b952-ff009cc675f1">DPM</DPM_x0020_Author>
    <DPM_x0020_File_x0020_name xmlns="6e62f809-20e5-4a8c-b952-ff009cc675f1">S26-PP-C-0079!A25!MSW-S</DPM_x0020_File_x0020_name>
    <DPM_x0020_Version xmlns="6e62f809-20e5-4a8c-b952-ff009cc675f1">DPM_2025.10.23.1</DPM_x0020_Version>
  </documentManagement>
</p:properties>
</file>

<file path=customXml/itemProps1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6e62f809-20e5-4a8c-b952-ff009cc675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AFC0E9-FC98-4E91-9B81-B156C18FFE9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27E8234-F786-4EB6-AA53-8BC09038B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6DEBCB-5B8D-4EB0-B7EC-26C5436CA41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6e62f809-20e5-4a8c-b952-ff009cc675f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1245</Words>
  <Characters>7099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S26-PP-C-0079!A25!MSW-S</vt:lpstr>
    </vt:vector>
  </TitlesOfParts>
  <Manager/>
  <Company/>
  <LinksUpToDate>false</LinksUpToDate>
  <CharactersWithSpaces>8328</CharactersWithSpaces>
  <SharedDoc>false</SharedDoc>
  <HyperlinkBase/>
  <HLinks>
    <vt:vector size="6" baseType="variant">
      <vt:variant>
        <vt:i4>4194374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S26-PP-C-0079!A25!MSW-S</dc:title>
  <dc:subject>ITU Plenipotentiary Conference (PP-26)</dc:subject>
  <dc:creator>Documents Proposals Manager (DPM)</dc:creator>
  <cp:keywords>DPM_v2026.8.25.1_prod</cp:keywords>
  <dc:description/>
  <cp:lastModifiedBy>Spanish83</cp:lastModifiedBy>
  <cp:revision>5</cp:revision>
  <dcterms:created xsi:type="dcterms:W3CDTF">2026-10-27T10:57:00Z</dcterms:created>
  <dcterms:modified xsi:type="dcterms:W3CDTF">2026-10-27T11:21:00Z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