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30"/>
        <w:gridCol w:w="2801"/>
      </w:tblGrid>
      <w:tr w:rsidR="00161CDA" w:rsidRPr="004A1BFD" w14:paraId="604BE27D" w14:textId="77777777" w:rsidTr="00C70164">
        <w:trPr>
          <w:cantSplit/>
          <w:jc w:val="center"/>
        </w:trPr>
        <w:tc>
          <w:tcPr>
            <w:tcW w:w="10031" w:type="dxa"/>
            <w:gridSpan w:val="2"/>
            <w:tcMar>
              <w:left w:w="0" w:type="dxa"/>
              <w:right w:w="0" w:type="dxa"/>
            </w:tcMar>
            <w:vAlign w:val="center"/>
          </w:tcPr>
          <w:p w14:paraId="7C97A2C2" w14:textId="77777777" w:rsidR="00161CDA" w:rsidRPr="004A1BFD" w:rsidRDefault="00AF0849" w:rsidP="00AF0849">
            <w:pPr>
              <w:spacing w:before="0" w:line="240" w:lineRule="atLeast"/>
              <w:rPr>
                <w:rFonts w:cstheme="minorHAnsi"/>
              </w:rPr>
            </w:pPr>
            <w:r w:rsidRPr="004A1BFD">
              <w:rPr>
                <w:rFonts w:cstheme="minorHAnsi"/>
                <w:noProof/>
              </w:rPr>
              <w:drawing>
                <wp:anchor distT="0" distB="0" distL="0" distR="0" simplePos="0" relativeHeight="251658240" behindDoc="1" locked="0" layoutInCell="1" allowOverlap="1" wp14:anchorId="78B4CE34" wp14:editId="4B57AAE8">
                  <wp:simplePos x="0" y="0"/>
                  <wp:positionH relativeFrom="column">
                    <wp:posOffset>0</wp:posOffset>
                  </wp:positionH>
                  <wp:positionV relativeFrom="paragraph">
                    <wp:posOffset>-10795</wp:posOffset>
                  </wp:positionV>
                  <wp:extent cx="6670800" cy="972000"/>
                  <wp:effectExtent l="0" t="0" r="0" b="0"/>
                  <wp:wrapTight wrapText="bothSides">
                    <wp:wrapPolygon edited="0">
                      <wp:start x="123" y="1694"/>
                      <wp:lineTo x="0" y="9318"/>
                      <wp:lineTo x="0" y="12282"/>
                      <wp:lineTo x="247" y="17365"/>
                      <wp:lineTo x="1049" y="18212"/>
                      <wp:lineTo x="2221" y="19059"/>
                      <wp:lineTo x="2529" y="19059"/>
                      <wp:lineTo x="4688" y="17365"/>
                      <wp:lineTo x="15730" y="16094"/>
                      <wp:lineTo x="17765" y="15247"/>
                      <wp:lineTo x="17704" y="7200"/>
                      <wp:lineTo x="15483" y="6353"/>
                      <wp:lineTo x="432" y="1694"/>
                      <wp:lineTo x="123" y="1694"/>
                    </wp:wrapPolygon>
                  </wp:wrapTight>
                  <wp:docPr id="14114694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469422" name="Picture 1411469422"/>
                          <pic:cNvPicPr/>
                        </pic:nvPicPr>
                        <pic:blipFill>
                          <a:blip r:embed="rId11">
                            <a:extLst>
                              <a:ext uri="{28A0092B-C50C-407E-A947-70E740481C1C}">
                                <a14:useLocalDpi xmlns:a14="http://schemas.microsoft.com/office/drawing/2010/main" val="0"/>
                              </a:ext>
                            </a:extLst>
                          </a:blip>
                          <a:stretch>
                            <a:fillRect/>
                          </a:stretch>
                        </pic:blipFill>
                        <pic:spPr>
                          <a:xfrm>
                            <a:off x="0" y="0"/>
                            <a:ext cx="6670800" cy="972000"/>
                          </a:xfrm>
                          <a:prstGeom prst="rect">
                            <a:avLst/>
                          </a:prstGeom>
                        </pic:spPr>
                      </pic:pic>
                    </a:graphicData>
                  </a:graphic>
                  <wp14:sizeRelH relativeFrom="margin">
                    <wp14:pctWidth>0</wp14:pctWidth>
                  </wp14:sizeRelH>
                  <wp14:sizeRelV relativeFrom="margin">
                    <wp14:pctHeight>0</wp14:pctHeight>
                  </wp14:sizeRelV>
                </wp:anchor>
              </w:drawing>
            </w:r>
          </w:p>
        </w:tc>
      </w:tr>
      <w:tr w:rsidR="00EF3B7A" w:rsidRPr="004A1BFD" w14:paraId="659A763B" w14:textId="77777777" w:rsidTr="00C70164">
        <w:trPr>
          <w:cantSplit/>
          <w:trHeight w:val="283"/>
          <w:jc w:val="center"/>
        </w:trPr>
        <w:tc>
          <w:tcPr>
            <w:tcW w:w="10031" w:type="dxa"/>
            <w:gridSpan w:val="2"/>
            <w:tcBorders>
              <w:bottom w:val="single" w:sz="12" w:space="0" w:color="71716F"/>
            </w:tcBorders>
          </w:tcPr>
          <w:p w14:paraId="5A3CB28B" w14:textId="77777777" w:rsidR="00EF3B7A" w:rsidRPr="004A1BFD" w:rsidRDefault="00EF3B7A" w:rsidP="000B596F">
            <w:pPr>
              <w:spacing w:before="0"/>
              <w:rPr>
                <w:rFonts w:cstheme="minorHAnsi"/>
                <w:szCs w:val="24"/>
              </w:rPr>
            </w:pPr>
            <w:bookmarkStart w:id="0" w:name="ditulogo"/>
            <w:bookmarkStart w:id="1" w:name="dhead"/>
            <w:bookmarkEnd w:id="0"/>
          </w:p>
        </w:tc>
      </w:tr>
      <w:tr w:rsidR="001A16ED" w:rsidRPr="004A1BFD" w14:paraId="6207262F" w14:textId="77777777" w:rsidTr="00C70164">
        <w:trPr>
          <w:cantSplit/>
          <w:trHeight w:val="255"/>
          <w:jc w:val="center"/>
        </w:trPr>
        <w:tc>
          <w:tcPr>
            <w:tcW w:w="7230" w:type="dxa"/>
            <w:tcBorders>
              <w:top w:val="single" w:sz="12" w:space="0" w:color="71716F"/>
            </w:tcBorders>
          </w:tcPr>
          <w:p w14:paraId="71B6994F" w14:textId="77777777" w:rsidR="001A16ED" w:rsidRPr="004A1BFD" w:rsidRDefault="001A16ED" w:rsidP="000B596F">
            <w:pPr>
              <w:spacing w:before="0"/>
              <w:rPr>
                <w:rFonts w:cstheme="minorHAnsi"/>
                <w:b/>
                <w:smallCaps/>
                <w:sz w:val="20"/>
              </w:rPr>
            </w:pPr>
          </w:p>
        </w:tc>
        <w:tc>
          <w:tcPr>
            <w:tcW w:w="2801" w:type="dxa"/>
            <w:tcBorders>
              <w:top w:val="single" w:sz="12" w:space="0" w:color="71716F"/>
            </w:tcBorders>
            <w:tcMar>
              <w:right w:w="0" w:type="dxa"/>
            </w:tcMar>
          </w:tcPr>
          <w:p w14:paraId="052470C7" w14:textId="77777777" w:rsidR="001A16ED" w:rsidRPr="004A1BFD" w:rsidRDefault="001A16ED" w:rsidP="000B596F">
            <w:pPr>
              <w:spacing w:before="0"/>
              <w:rPr>
                <w:rFonts w:cstheme="minorHAnsi"/>
                <w:sz w:val="20"/>
              </w:rPr>
            </w:pPr>
          </w:p>
        </w:tc>
      </w:tr>
      <w:tr w:rsidR="001A16ED" w:rsidRPr="004A1BFD" w14:paraId="41B10646" w14:textId="77777777" w:rsidTr="00C70164">
        <w:trPr>
          <w:cantSplit/>
          <w:trHeight w:val="23"/>
          <w:jc w:val="center"/>
        </w:trPr>
        <w:tc>
          <w:tcPr>
            <w:tcW w:w="7230" w:type="dxa"/>
          </w:tcPr>
          <w:p w14:paraId="4750B323" w14:textId="77777777" w:rsidR="001A16ED" w:rsidRPr="004A1BFD" w:rsidRDefault="00E844D5" w:rsidP="000B596F">
            <w:pPr>
              <w:pStyle w:val="Committee"/>
              <w:spacing w:after="0"/>
            </w:pPr>
            <w:bookmarkStart w:id="2" w:name="dnum" w:colFirst="1" w:colLast="1"/>
            <w:bookmarkStart w:id="3" w:name="dmeeting" w:colFirst="0" w:colLast="0"/>
            <w:bookmarkEnd w:id="1"/>
            <w:r w:rsidRPr="004A1BFD">
              <w:t>PLENARY MEETING</w:t>
            </w:r>
          </w:p>
        </w:tc>
        <w:tc>
          <w:tcPr>
            <w:tcW w:w="2801" w:type="dxa"/>
            <w:tcMar>
              <w:right w:w="0" w:type="dxa"/>
            </w:tcMar>
          </w:tcPr>
          <w:p w14:paraId="7DF52C4A" w14:textId="77777777" w:rsidR="001A16ED" w:rsidRPr="004A1BFD" w:rsidRDefault="001A16ED" w:rsidP="000B596F">
            <w:pPr>
              <w:tabs>
                <w:tab w:val="left" w:pos="851"/>
              </w:tabs>
              <w:spacing w:before="0"/>
              <w:rPr>
                <w:rFonts w:cstheme="minorHAnsi"/>
                <w:b/>
                <w:szCs w:val="24"/>
              </w:rPr>
            </w:pPr>
            <w:r w:rsidRPr="004A1BFD">
              <w:rPr>
                <w:rFonts w:cstheme="minorHAnsi"/>
                <w:b/>
                <w:szCs w:val="24"/>
              </w:rPr>
              <w:t>Addendum 25 to</w:t>
            </w:r>
            <w:r w:rsidRPr="004A1BFD">
              <w:rPr>
                <w:rFonts w:cstheme="minorHAnsi"/>
                <w:b/>
                <w:szCs w:val="24"/>
              </w:rPr>
              <w:br/>
              <w:t>Document 79</w:t>
            </w:r>
            <w:r w:rsidR="00F44B1A" w:rsidRPr="004A1BFD">
              <w:rPr>
                <w:rFonts w:cstheme="minorHAnsi"/>
                <w:b/>
                <w:szCs w:val="24"/>
              </w:rPr>
              <w:t>-E</w:t>
            </w:r>
          </w:p>
        </w:tc>
      </w:tr>
      <w:tr w:rsidR="001A16ED" w:rsidRPr="004A1BFD" w14:paraId="04B4385C" w14:textId="77777777" w:rsidTr="00C70164">
        <w:trPr>
          <w:cantSplit/>
          <w:trHeight w:val="23"/>
          <w:jc w:val="center"/>
        </w:trPr>
        <w:tc>
          <w:tcPr>
            <w:tcW w:w="7230" w:type="dxa"/>
          </w:tcPr>
          <w:p w14:paraId="3F4A7AC7" w14:textId="77777777" w:rsidR="001A16ED" w:rsidRPr="004A1BFD" w:rsidRDefault="001A16ED" w:rsidP="000B596F">
            <w:pPr>
              <w:tabs>
                <w:tab w:val="left" w:pos="851"/>
              </w:tabs>
              <w:spacing w:before="0"/>
              <w:rPr>
                <w:rFonts w:asciiTheme="minorHAnsi" w:hAnsiTheme="minorHAnsi" w:cstheme="minorHAnsi"/>
                <w:b/>
                <w:szCs w:val="24"/>
              </w:rPr>
            </w:pPr>
            <w:bookmarkStart w:id="4" w:name="ddate" w:colFirst="1" w:colLast="1"/>
            <w:bookmarkStart w:id="5" w:name="dblank" w:colFirst="0" w:colLast="0"/>
            <w:bookmarkEnd w:id="2"/>
            <w:bookmarkEnd w:id="3"/>
          </w:p>
        </w:tc>
        <w:tc>
          <w:tcPr>
            <w:tcW w:w="2801" w:type="dxa"/>
            <w:tcMar>
              <w:right w:w="0" w:type="dxa"/>
            </w:tcMar>
          </w:tcPr>
          <w:p w14:paraId="27550BD8" w14:textId="77777777" w:rsidR="001A16ED" w:rsidRPr="004A1BFD" w:rsidRDefault="001A16ED" w:rsidP="000B596F">
            <w:pPr>
              <w:spacing w:before="0"/>
              <w:rPr>
                <w:rFonts w:cstheme="minorHAnsi"/>
                <w:szCs w:val="24"/>
              </w:rPr>
            </w:pPr>
            <w:r w:rsidRPr="004A1BFD">
              <w:rPr>
                <w:rFonts w:cstheme="minorHAnsi"/>
                <w:b/>
                <w:szCs w:val="24"/>
              </w:rPr>
              <w:t>16 October 2026</w:t>
            </w:r>
          </w:p>
        </w:tc>
      </w:tr>
      <w:tr w:rsidR="001A16ED" w:rsidRPr="004A1BFD" w14:paraId="31316AFC" w14:textId="77777777" w:rsidTr="00C70164">
        <w:trPr>
          <w:cantSplit/>
          <w:trHeight w:val="23"/>
          <w:jc w:val="center"/>
        </w:trPr>
        <w:tc>
          <w:tcPr>
            <w:tcW w:w="7230" w:type="dxa"/>
          </w:tcPr>
          <w:p w14:paraId="10E2E190" w14:textId="77777777" w:rsidR="001A16ED" w:rsidRPr="004A1BFD" w:rsidRDefault="001A16ED" w:rsidP="000B596F">
            <w:pPr>
              <w:tabs>
                <w:tab w:val="left" w:pos="851"/>
              </w:tabs>
              <w:spacing w:before="0"/>
              <w:rPr>
                <w:rFonts w:cstheme="minorHAnsi"/>
                <w:szCs w:val="24"/>
              </w:rPr>
            </w:pPr>
            <w:bookmarkStart w:id="6" w:name="dbluepink" w:colFirst="0" w:colLast="0"/>
            <w:bookmarkStart w:id="7" w:name="dorlang" w:colFirst="1" w:colLast="1"/>
            <w:bookmarkEnd w:id="4"/>
            <w:bookmarkEnd w:id="5"/>
          </w:p>
        </w:tc>
        <w:tc>
          <w:tcPr>
            <w:tcW w:w="2801" w:type="dxa"/>
            <w:tcMar>
              <w:right w:w="0" w:type="dxa"/>
            </w:tcMar>
          </w:tcPr>
          <w:p w14:paraId="6AF4175E" w14:textId="77777777" w:rsidR="001A16ED" w:rsidRPr="004A1BFD" w:rsidRDefault="001A16ED" w:rsidP="000B596F">
            <w:pPr>
              <w:tabs>
                <w:tab w:val="left" w:pos="993"/>
              </w:tabs>
              <w:spacing w:before="0"/>
              <w:rPr>
                <w:rFonts w:cstheme="minorHAnsi"/>
                <w:b/>
                <w:szCs w:val="24"/>
              </w:rPr>
            </w:pPr>
            <w:r w:rsidRPr="004A1BFD">
              <w:rPr>
                <w:rFonts w:cstheme="minorHAnsi"/>
                <w:b/>
                <w:szCs w:val="24"/>
              </w:rPr>
              <w:t>Original: English</w:t>
            </w:r>
          </w:p>
        </w:tc>
      </w:tr>
      <w:tr w:rsidR="001A16ED" w:rsidRPr="004A1BFD" w14:paraId="2D209593" w14:textId="77777777" w:rsidTr="00C70164">
        <w:trPr>
          <w:cantSplit/>
          <w:trHeight w:val="23"/>
          <w:jc w:val="center"/>
        </w:trPr>
        <w:tc>
          <w:tcPr>
            <w:tcW w:w="10031" w:type="dxa"/>
            <w:gridSpan w:val="2"/>
          </w:tcPr>
          <w:p w14:paraId="4FE20682" w14:textId="77777777" w:rsidR="001A16ED" w:rsidRPr="004A1BFD" w:rsidRDefault="001A16ED" w:rsidP="000B596F">
            <w:pPr>
              <w:tabs>
                <w:tab w:val="left" w:pos="993"/>
              </w:tabs>
              <w:rPr>
                <w:rFonts w:ascii="Verdana" w:hAnsi="Verdana"/>
                <w:b/>
                <w:szCs w:val="24"/>
              </w:rPr>
            </w:pPr>
          </w:p>
        </w:tc>
      </w:tr>
      <w:tr w:rsidR="001A16ED" w:rsidRPr="004A1BFD" w14:paraId="49BE2D37" w14:textId="77777777" w:rsidTr="00C70164">
        <w:trPr>
          <w:cantSplit/>
          <w:trHeight w:val="23"/>
          <w:jc w:val="center"/>
        </w:trPr>
        <w:tc>
          <w:tcPr>
            <w:tcW w:w="10031" w:type="dxa"/>
            <w:gridSpan w:val="2"/>
          </w:tcPr>
          <w:p w14:paraId="5616F4E7" w14:textId="77777777" w:rsidR="001A16ED" w:rsidRPr="004A1BFD" w:rsidRDefault="001A16ED" w:rsidP="000B596F">
            <w:pPr>
              <w:pStyle w:val="Source"/>
            </w:pPr>
            <w:r w:rsidRPr="004A1BFD">
              <w:t>Asia-Pacific Telecommunity Administrations</w:t>
            </w:r>
          </w:p>
        </w:tc>
      </w:tr>
      <w:tr w:rsidR="001A16ED" w:rsidRPr="004A1BFD" w14:paraId="746AF2B7" w14:textId="77777777" w:rsidTr="00C70164">
        <w:trPr>
          <w:cantSplit/>
          <w:trHeight w:val="23"/>
          <w:jc w:val="center"/>
        </w:trPr>
        <w:tc>
          <w:tcPr>
            <w:tcW w:w="10031" w:type="dxa"/>
            <w:gridSpan w:val="2"/>
          </w:tcPr>
          <w:p w14:paraId="1FD97505" w14:textId="2A16E772" w:rsidR="001A16ED" w:rsidRPr="004A1BFD" w:rsidRDefault="001A16ED" w:rsidP="000B596F">
            <w:pPr>
              <w:pStyle w:val="Title1"/>
            </w:pPr>
            <w:r w:rsidRPr="004A1BFD">
              <w:t>Proposed new Resolution: Enhancing transparency in the financial management of the ITU</w:t>
            </w:r>
          </w:p>
        </w:tc>
      </w:tr>
      <w:tr w:rsidR="001A16ED" w:rsidRPr="004A1BFD" w14:paraId="63580B21" w14:textId="77777777" w:rsidTr="00C70164">
        <w:trPr>
          <w:cantSplit/>
          <w:trHeight w:val="23"/>
          <w:jc w:val="center"/>
        </w:trPr>
        <w:tc>
          <w:tcPr>
            <w:tcW w:w="10031" w:type="dxa"/>
            <w:gridSpan w:val="2"/>
          </w:tcPr>
          <w:p w14:paraId="45EE55A2" w14:textId="77777777" w:rsidR="001A16ED" w:rsidRPr="004A1BFD" w:rsidRDefault="001A16ED" w:rsidP="000B596F">
            <w:pPr>
              <w:pStyle w:val="Title2"/>
            </w:pPr>
          </w:p>
        </w:tc>
      </w:tr>
      <w:tr w:rsidR="001A16ED" w:rsidRPr="004A1BFD" w14:paraId="4DE4AC12" w14:textId="77777777" w:rsidTr="00C70164">
        <w:trPr>
          <w:cantSplit/>
          <w:trHeight w:val="23"/>
          <w:jc w:val="center"/>
        </w:trPr>
        <w:tc>
          <w:tcPr>
            <w:tcW w:w="10031" w:type="dxa"/>
            <w:gridSpan w:val="2"/>
          </w:tcPr>
          <w:p w14:paraId="43AFE4AD" w14:textId="77777777" w:rsidR="001A16ED" w:rsidRPr="004A1BFD" w:rsidRDefault="001A16ED" w:rsidP="000B596F">
            <w:pPr>
              <w:pStyle w:val="Agendaitem"/>
            </w:pPr>
          </w:p>
        </w:tc>
      </w:tr>
      <w:bookmarkEnd w:id="6"/>
      <w:bookmarkEnd w:id="7"/>
    </w:tbl>
    <w:p w14:paraId="58AA059B" w14:textId="77777777" w:rsidR="001A16ED" w:rsidRPr="004A1BFD" w:rsidRDefault="001A16ED" w:rsidP="00AB2D04"/>
    <w:p w14:paraId="0DA5E7B3" w14:textId="77777777" w:rsidR="0008540E" w:rsidRPr="004A1BFD" w:rsidRDefault="001A16ED" w:rsidP="00004F8B">
      <w:r w:rsidRPr="004A1BFD">
        <w:br w:type="page"/>
      </w:r>
    </w:p>
    <w:p w14:paraId="30B67015" w14:textId="77777777" w:rsidR="00443BF7" w:rsidRPr="004A1BFD" w:rsidRDefault="00000000">
      <w:pPr>
        <w:pStyle w:val="Proposal"/>
      </w:pPr>
      <w:r w:rsidRPr="004A1BFD">
        <w:lastRenderedPageBreak/>
        <w:t>ADD</w:t>
      </w:r>
      <w:r w:rsidRPr="004A1BFD">
        <w:tab/>
        <w:t>ACP/79A25/1</w:t>
      </w:r>
    </w:p>
    <w:p w14:paraId="61F695FE" w14:textId="77777777" w:rsidR="00443BF7" w:rsidRPr="004A1BFD" w:rsidRDefault="00000000">
      <w:pPr>
        <w:pStyle w:val="ResNo"/>
      </w:pPr>
      <w:r w:rsidRPr="004A1BFD">
        <w:t>Draft New Resolution [ACP-1]</w:t>
      </w:r>
    </w:p>
    <w:p w14:paraId="4BE50C3C" w14:textId="09884041" w:rsidR="00443BF7" w:rsidRPr="004A1BFD" w:rsidRDefault="00D30F45">
      <w:pPr>
        <w:pStyle w:val="Restitle"/>
      </w:pPr>
      <w:r w:rsidRPr="004A1BFD">
        <w:t>Enhancing Transparency in the Financial Management of the ITU</w:t>
      </w:r>
    </w:p>
    <w:p w14:paraId="1979FF4B" w14:textId="77777777" w:rsidR="00D30F45" w:rsidRPr="004A1BFD" w:rsidRDefault="00D30F45" w:rsidP="00D30F45">
      <w:pPr>
        <w:pStyle w:val="Normalaftertitle"/>
      </w:pPr>
      <w:r w:rsidRPr="004A1BFD">
        <w:t>The Plenipotentiary Conference of the International Telecommunication Union (Doha, 2026),</w:t>
      </w:r>
    </w:p>
    <w:p w14:paraId="784390DF" w14:textId="77777777" w:rsidR="00D30F45" w:rsidRPr="004A1BFD" w:rsidRDefault="00D30F45" w:rsidP="00D30F45">
      <w:pPr>
        <w:pStyle w:val="Call"/>
      </w:pPr>
      <w:r w:rsidRPr="004A1BFD">
        <w:t>recalling</w:t>
      </w:r>
    </w:p>
    <w:p w14:paraId="5319B6CB" w14:textId="2865CEC2" w:rsidR="00D30F45" w:rsidRPr="004A1BFD" w:rsidRDefault="00D30F45" w:rsidP="00D30F45">
      <w:r w:rsidRPr="004A1BFD">
        <w:rPr>
          <w:i/>
          <w:iCs/>
        </w:rPr>
        <w:t>a)</w:t>
      </w:r>
      <w:r w:rsidRPr="004A1BFD">
        <w:tab/>
        <w:t xml:space="preserve">that </w:t>
      </w:r>
      <w:r w:rsidR="00254ACC" w:rsidRPr="004A1BFD">
        <w:t xml:space="preserve">the ITU </w:t>
      </w:r>
      <w:r w:rsidRPr="004A1BFD">
        <w:t xml:space="preserve">Constitution and Convention recognize financial management of high significance and authorize the Council to approve and revise relevant regulations as it may consider necessary, per the relevant provisions of Article 10 of </w:t>
      </w:r>
      <w:r w:rsidR="00254ACC" w:rsidRPr="004A1BFD">
        <w:t xml:space="preserve">the </w:t>
      </w:r>
      <w:r w:rsidRPr="004A1BFD">
        <w:t xml:space="preserve">Constitution, and </w:t>
      </w:r>
      <w:r w:rsidR="00254ACC" w:rsidRPr="004A1BFD">
        <w:t xml:space="preserve">Nos </w:t>
      </w:r>
      <w:r w:rsidRPr="004A1BFD">
        <w:t xml:space="preserve">33 and 34 of </w:t>
      </w:r>
      <w:r w:rsidR="00254ACC" w:rsidRPr="004A1BFD">
        <w:t xml:space="preserve">the </w:t>
      </w:r>
      <w:r w:rsidRPr="004A1BFD">
        <w:t>Convention;</w:t>
      </w:r>
    </w:p>
    <w:p w14:paraId="1C866649" w14:textId="60BDC5AB" w:rsidR="00D30F45" w:rsidRPr="004A1BFD" w:rsidRDefault="00D30F45" w:rsidP="00D30F45">
      <w:r w:rsidRPr="004A1BFD">
        <w:rPr>
          <w:i/>
          <w:iCs/>
        </w:rPr>
        <w:t>b)</w:t>
      </w:r>
      <w:r w:rsidRPr="004A1BFD">
        <w:tab/>
        <w:t xml:space="preserve">that other relevant resolutions of </w:t>
      </w:r>
      <w:r w:rsidR="00254ACC" w:rsidRPr="004A1BFD">
        <w:t>the Plenipotentiary Conference</w:t>
      </w:r>
      <w:r w:rsidRPr="004A1BFD">
        <w:t xml:space="preserve"> address management issues in general, including:</w:t>
      </w:r>
    </w:p>
    <w:p w14:paraId="6B0EBE82" w14:textId="77777777" w:rsidR="00D30F45" w:rsidRPr="004A1BFD" w:rsidRDefault="00D30F45" w:rsidP="00D30F45">
      <w:pPr>
        <w:pStyle w:val="enumlev1"/>
      </w:pPr>
      <w:r w:rsidRPr="004A1BFD">
        <w:t>─</w:t>
      </w:r>
      <w:r w:rsidRPr="004A1BFD">
        <w:tab/>
        <w:t>Decision 5 (Rev. Bucharest, 2022) on the methodology of establishing the quadrennial and biennial budget;</w:t>
      </w:r>
    </w:p>
    <w:p w14:paraId="2FAF5FB6" w14:textId="77777777" w:rsidR="00D30F45" w:rsidRPr="004A1BFD" w:rsidRDefault="00D30F45" w:rsidP="00D30F45">
      <w:pPr>
        <w:pStyle w:val="enumlev1"/>
      </w:pPr>
      <w:r w:rsidRPr="004A1BFD">
        <w:t>─</w:t>
      </w:r>
      <w:r w:rsidRPr="004A1BFD">
        <w:tab/>
        <w:t>Resolution 100 (Minneapolis, 1998) on ensuring that the cooperative actions through the conclusion of memoranda of understandings (MoUs) are in the overall interest of the Union;</w:t>
      </w:r>
    </w:p>
    <w:p w14:paraId="75F7A4E7" w14:textId="77777777" w:rsidR="00D30F45" w:rsidRPr="004A1BFD" w:rsidRDefault="00D30F45" w:rsidP="00D30F45">
      <w:pPr>
        <w:pStyle w:val="enumlev1"/>
      </w:pPr>
      <w:r w:rsidRPr="004A1BFD">
        <w:t>─</w:t>
      </w:r>
      <w:r w:rsidRPr="004A1BFD">
        <w:tab/>
        <w:t xml:space="preserve">Resolution 151 (Rev. Bucharest, 2022) on the development of a comprehensive ITU results framework, and </w:t>
      </w:r>
    </w:p>
    <w:p w14:paraId="387E1F50" w14:textId="77777777" w:rsidR="00D30F45" w:rsidRPr="004A1BFD" w:rsidRDefault="00D30F45" w:rsidP="00D30F45">
      <w:pPr>
        <w:pStyle w:val="enumlev1"/>
      </w:pPr>
      <w:r w:rsidRPr="004A1BFD">
        <w:t>─</w:t>
      </w:r>
      <w:r w:rsidRPr="004A1BFD">
        <w:tab/>
        <w:t>Resolution 158 (Rev. Busan, 2014) on the possible establishment of mechanisms for ensuring the Union’s financial stability;</w:t>
      </w:r>
    </w:p>
    <w:p w14:paraId="59842165" w14:textId="77777777" w:rsidR="00D30F45" w:rsidRPr="004A1BFD" w:rsidRDefault="00D30F45" w:rsidP="00D30F45">
      <w:r w:rsidRPr="004A1BFD">
        <w:rPr>
          <w:i/>
          <w:iCs/>
        </w:rPr>
        <w:t>c)</w:t>
      </w:r>
      <w:r w:rsidRPr="004A1BFD">
        <w:tab/>
        <w:t>that Plenipotentiary Conference 2022 decided to instruct the Secretary-General to continue “to submit to the ordinary session of the Council for prior approval the MoUs that have substantial financial and/or strategic implications” and further decided that “a report on the other MoUs entered into by ITU during the relevant period will continue to be submitted”,</w:t>
      </w:r>
    </w:p>
    <w:p w14:paraId="3D01F7A8" w14:textId="77777777" w:rsidR="00D30F45" w:rsidRPr="004A1BFD" w:rsidRDefault="00D30F45" w:rsidP="00D30F45">
      <w:pPr>
        <w:pStyle w:val="Call"/>
      </w:pPr>
      <w:r w:rsidRPr="004A1BFD">
        <w:t>recognizing</w:t>
      </w:r>
    </w:p>
    <w:p w14:paraId="0F86CB51" w14:textId="17D321E7" w:rsidR="00D30F45" w:rsidRPr="004A1BFD" w:rsidRDefault="00D30F45" w:rsidP="00D30F45">
      <w:r w:rsidRPr="004A1BFD">
        <w:rPr>
          <w:i/>
          <w:iCs/>
        </w:rPr>
        <w:t>a)</w:t>
      </w:r>
      <w:r w:rsidRPr="004A1BFD">
        <w:tab/>
      </w:r>
      <w:r w:rsidR="008D46E8" w:rsidRPr="004A1BFD">
        <w:t xml:space="preserve">that </w:t>
      </w:r>
      <w:r w:rsidRPr="004A1BFD">
        <w:t>to leverage financial resource management’s role in supporting the Union in achieving its mission and vision, efforts should be made to strengthen the linkages between strategic, financial, and operational planning;</w:t>
      </w:r>
    </w:p>
    <w:p w14:paraId="41328964" w14:textId="6A819628" w:rsidR="00D30F45" w:rsidRPr="004A1BFD" w:rsidRDefault="00D30F45" w:rsidP="00D30F45">
      <w:r w:rsidRPr="004A1BFD">
        <w:rPr>
          <w:i/>
          <w:iCs/>
        </w:rPr>
        <w:t>b)</w:t>
      </w:r>
      <w:r w:rsidRPr="004A1BFD">
        <w:tab/>
      </w:r>
      <w:r w:rsidR="008D46E8" w:rsidRPr="004A1BFD">
        <w:t xml:space="preserve">that </w:t>
      </w:r>
      <w:r w:rsidRPr="004A1BFD">
        <w:t>the Union should strive to ensure that financial regulations of the Union remain up-to-date, that financial management is guided by clear goals and performance indicators, and that financial information is transparent and accessible;</w:t>
      </w:r>
    </w:p>
    <w:p w14:paraId="4ACD8630" w14:textId="44500509" w:rsidR="00D30F45" w:rsidRPr="004A1BFD" w:rsidRDefault="00D30F45" w:rsidP="00D30F45">
      <w:r w:rsidRPr="004A1BFD">
        <w:rPr>
          <w:i/>
          <w:iCs/>
        </w:rPr>
        <w:t>c)</w:t>
      </w:r>
      <w:r w:rsidRPr="004A1BFD">
        <w:tab/>
      </w:r>
      <w:r w:rsidR="008D46E8" w:rsidRPr="004A1BFD">
        <w:t xml:space="preserve">that </w:t>
      </w:r>
      <w:r w:rsidRPr="004A1BFD">
        <w:t>for activities with significant financial and/or strategic implication, the accessibility, reliability, relevance, and timeliness of related information is essential to the informed decision-making by the membership, the Union's accountability and membership's confidence;</w:t>
      </w:r>
    </w:p>
    <w:p w14:paraId="49A1B681" w14:textId="14B3229B" w:rsidR="00D30F45" w:rsidRPr="004A1BFD" w:rsidRDefault="00D30F45" w:rsidP="00D30F45">
      <w:r w:rsidRPr="004A1BFD">
        <w:rPr>
          <w:i/>
          <w:iCs/>
        </w:rPr>
        <w:t>d)</w:t>
      </w:r>
      <w:r w:rsidRPr="004A1BFD">
        <w:tab/>
        <w:t xml:space="preserve">that the </w:t>
      </w:r>
      <w:r w:rsidR="000C1346" w:rsidRPr="004A1BFD">
        <w:t>s</w:t>
      </w:r>
      <w:r w:rsidRPr="004A1BFD">
        <w:t>ecretariat strives to make effective use of the Union's financial resources within the mandate authorized by the Plenipotentiary Conference or the Council, and that the resource allocation among the General Secretariat and the three Bureaux shall be prioritized according to the strategic objectives of the Union,</w:t>
      </w:r>
    </w:p>
    <w:p w14:paraId="5BE34F40" w14:textId="77777777" w:rsidR="00D30F45" w:rsidRPr="004A1BFD" w:rsidRDefault="00D30F45" w:rsidP="00D30F45">
      <w:pPr>
        <w:pStyle w:val="Call"/>
      </w:pPr>
      <w:r w:rsidRPr="004A1BFD">
        <w:lastRenderedPageBreak/>
        <w:t>noting</w:t>
      </w:r>
    </w:p>
    <w:p w14:paraId="3A6422AB" w14:textId="53ACC4D6" w:rsidR="00D30F45" w:rsidRPr="004A1BFD" w:rsidRDefault="00D30F45" w:rsidP="00D30F45">
      <w:r w:rsidRPr="004A1BFD">
        <w:rPr>
          <w:i/>
          <w:iCs/>
        </w:rPr>
        <w:t>a)</w:t>
      </w:r>
      <w:r w:rsidRPr="004A1BFD">
        <w:tab/>
        <w:t xml:space="preserve">that transparency and consistency in financial management remain a long-standing priority for the Council and its Working Group on </w:t>
      </w:r>
      <w:r w:rsidR="008531D9" w:rsidRPr="004A1BFD">
        <w:t xml:space="preserve">financial </w:t>
      </w:r>
      <w:r w:rsidRPr="004A1BFD">
        <w:t xml:space="preserve">and </w:t>
      </w:r>
      <w:r w:rsidR="008531D9" w:rsidRPr="004A1BFD">
        <w:t>human resources</w:t>
      </w:r>
      <w:r w:rsidRPr="004A1BFD">
        <w:t>;</w:t>
      </w:r>
    </w:p>
    <w:p w14:paraId="2E92BA7C" w14:textId="2608279A" w:rsidR="00D30F45" w:rsidRPr="004A1BFD" w:rsidRDefault="00D30F45" w:rsidP="00D30F45">
      <w:r w:rsidRPr="004A1BFD">
        <w:rPr>
          <w:i/>
          <w:iCs/>
        </w:rPr>
        <w:t>b)</w:t>
      </w:r>
      <w:r w:rsidRPr="004A1BFD">
        <w:tab/>
        <w:t>that ITU has been engaging in cooperative partnerships with members and other stakeholders, which may contribute to the implementation of the Union’s mandate, mobilization of expertise and resources, and delivery of activities for the benefit of the membership, while the impact of such partnership may extend beyond the participating parties and affect other members consequentially, and given their unplanned and temporary nature, may affect the ITU's ability to execute the established strategic and operational plans through the reallocation of regular budgetary or personnel resources,</w:t>
      </w:r>
    </w:p>
    <w:p w14:paraId="4E090202" w14:textId="77777777" w:rsidR="00D30F45" w:rsidRPr="004A1BFD" w:rsidRDefault="00D30F45" w:rsidP="00D30F45">
      <w:pPr>
        <w:pStyle w:val="Call"/>
      </w:pPr>
      <w:r w:rsidRPr="004A1BFD">
        <w:t>resolves</w:t>
      </w:r>
    </w:p>
    <w:p w14:paraId="4A9EF432" w14:textId="77777777" w:rsidR="00D30F45" w:rsidRPr="004A1BFD" w:rsidRDefault="00D30F45" w:rsidP="00D30F45">
      <w:r w:rsidRPr="004A1BFD">
        <w:t>1</w:t>
      </w:r>
      <w:r w:rsidRPr="004A1BFD">
        <w:tab/>
        <w:t>to strengthen the linkages of financial management with the Union's strategic priorities, ensuring that resources are allocated across the Union based on importance and urgency;</w:t>
      </w:r>
    </w:p>
    <w:p w14:paraId="4F0B0A77" w14:textId="77777777" w:rsidR="00D30F45" w:rsidRPr="004A1BFD" w:rsidRDefault="00D30F45" w:rsidP="00D30F45">
      <w:r w:rsidRPr="004A1BFD">
        <w:t>2</w:t>
      </w:r>
      <w:r w:rsidRPr="004A1BFD">
        <w:tab/>
        <w:t>to adopt a prudent approach to financial resource allocation, ensuring that financial management be conducted in accordance with the Financial Regulations and Financial Rules, and be driven by clear objectives and performance indicators;</w:t>
      </w:r>
    </w:p>
    <w:p w14:paraId="759D4B13" w14:textId="77777777" w:rsidR="00D30F45" w:rsidRPr="004A1BFD" w:rsidRDefault="00D30F45" w:rsidP="00D30F45">
      <w:r w:rsidRPr="004A1BFD">
        <w:t>3</w:t>
      </w:r>
      <w:r w:rsidRPr="004A1BFD">
        <w:tab/>
        <w:t>to comprehensively consider the benefits and risks of establishing cooperative partnerships with members or other stakeholders, with the view that such cooperative partnerships should contribute to and be within the purposes of the Union,</w:t>
      </w:r>
    </w:p>
    <w:p w14:paraId="2E55FB8F" w14:textId="77777777" w:rsidR="00D30F45" w:rsidRPr="004A1BFD" w:rsidRDefault="00D30F45" w:rsidP="00D30F45">
      <w:pPr>
        <w:pStyle w:val="Call"/>
      </w:pPr>
      <w:r w:rsidRPr="004A1BFD">
        <w:t>instructs the Secretary-General, in close collaboration with the Directors of the three Bureaux</w:t>
      </w:r>
    </w:p>
    <w:p w14:paraId="33A066E8" w14:textId="77777777" w:rsidR="00D30F45" w:rsidRPr="004A1BFD" w:rsidRDefault="00D30F45" w:rsidP="00D30F45">
      <w:r w:rsidRPr="004A1BFD">
        <w:t>1</w:t>
      </w:r>
      <w:r w:rsidRPr="004A1BFD">
        <w:tab/>
        <w:t>to specify the followings in the annual reports submitted to the Council's regular sessions:</w:t>
      </w:r>
    </w:p>
    <w:p w14:paraId="2B989079" w14:textId="17BCA2C7" w:rsidR="00D30F45" w:rsidRPr="004A1BFD" w:rsidRDefault="00D30F45" w:rsidP="00D30F45">
      <w:pPr>
        <w:pStyle w:val="enumlev1"/>
      </w:pPr>
      <w:r w:rsidRPr="004A1BFD">
        <w:t>-</w:t>
      </w:r>
      <w:r w:rsidRPr="004A1BFD">
        <w:tab/>
        <w:t>planned priority activities and preliminary cost estimated for related financial and human resources (both internal resources and external resources), especially when launching new initiatives with financial impact;</w:t>
      </w:r>
    </w:p>
    <w:p w14:paraId="16EB42A8" w14:textId="102C41EE" w:rsidR="00D30F45" w:rsidRPr="004A1BFD" w:rsidRDefault="00D30F45" w:rsidP="00D30F45">
      <w:pPr>
        <w:pStyle w:val="enumlev1"/>
      </w:pPr>
      <w:r w:rsidRPr="004A1BFD">
        <w:t>-</w:t>
      </w:r>
      <w:r w:rsidRPr="004A1BFD">
        <w:tab/>
        <w:t>current and expected cooperative partnerships that have significant financial and/or strategic implication, including their financial and personnel arrangement, and strategic opportunities and risks, and seek guidance from the Council;</w:t>
      </w:r>
    </w:p>
    <w:p w14:paraId="5A68F28F" w14:textId="061BE892" w:rsidR="00D30F45" w:rsidRPr="004A1BFD" w:rsidRDefault="00D30F45" w:rsidP="00D30F45">
      <w:pPr>
        <w:pStyle w:val="enumlev1"/>
      </w:pPr>
      <w:r w:rsidRPr="004A1BFD">
        <w:t>-</w:t>
      </w:r>
      <w:r w:rsidRPr="004A1BFD">
        <w:tab/>
        <w:t>an alignment analysis between the aforementioned activities and the Union’s mandate and strategic plan;</w:t>
      </w:r>
    </w:p>
    <w:p w14:paraId="072E3563" w14:textId="77777777" w:rsidR="00D30F45" w:rsidRPr="004A1BFD" w:rsidRDefault="00D30F45" w:rsidP="00D30F45">
      <w:r w:rsidRPr="004A1BFD">
        <w:t>2</w:t>
      </w:r>
      <w:r w:rsidRPr="004A1BFD">
        <w:tab/>
        <w:t>when setting up new reserves or other funds, to define the intention and necessity of doing so, and submit proposals on setting up such reserves or funds to the Council for review, without prejudice to the treatment of voluntary contributions, trust funds and project-based funding arrangements under the applicable Financial Regulations and Financial Rules;</w:t>
      </w:r>
    </w:p>
    <w:p w14:paraId="12C2DDDA" w14:textId="77777777" w:rsidR="00D30F45" w:rsidRPr="004A1BFD" w:rsidRDefault="00D30F45" w:rsidP="00D30F45">
      <w:r w:rsidRPr="004A1BFD">
        <w:t>3</w:t>
      </w:r>
      <w:r w:rsidRPr="004A1BFD">
        <w:tab/>
        <w:t>to ensure Member States have access to reliable, relevant, and timely financial information;</w:t>
      </w:r>
    </w:p>
    <w:p w14:paraId="58C5A13A" w14:textId="4D7D63DB" w:rsidR="00D30F45" w:rsidRPr="004A1BFD" w:rsidRDefault="00D30F45" w:rsidP="00D30F45">
      <w:r w:rsidRPr="004A1BFD">
        <w:t>4</w:t>
      </w:r>
      <w:r w:rsidRPr="004A1BFD">
        <w:tab/>
        <w:t xml:space="preserve">to provide a report to Council enlisting all MoUs that ITU entered into </w:t>
      </w:r>
      <w:r w:rsidR="008D46E8" w:rsidRPr="004A1BFD">
        <w:t xml:space="preserve">force </w:t>
      </w:r>
      <w:r w:rsidRPr="004A1BFD">
        <w:t>since PP-22, describing the outcomes achieved, the resources expended and the next steps, and update it annually,</w:t>
      </w:r>
    </w:p>
    <w:p w14:paraId="30C70E48" w14:textId="0A9FA7B5" w:rsidR="00D30F45" w:rsidRPr="004A1BFD" w:rsidRDefault="00D30F45" w:rsidP="00D30F45">
      <w:pPr>
        <w:pStyle w:val="Call"/>
      </w:pPr>
      <w:r w:rsidRPr="004A1BFD">
        <w:t>instructs the Council</w:t>
      </w:r>
    </w:p>
    <w:p w14:paraId="5F7B9C52" w14:textId="77777777" w:rsidR="00D30F45" w:rsidRPr="004A1BFD" w:rsidRDefault="00D30F45" w:rsidP="00D30F45">
      <w:r w:rsidRPr="004A1BFD">
        <w:t>1</w:t>
      </w:r>
      <w:r w:rsidRPr="004A1BFD">
        <w:tab/>
        <w:t>when reviewing and approving the biennial budget, to take due consideration of the reports submitted by the Secretary-General referred in the section above and to give its guidance;</w:t>
      </w:r>
    </w:p>
    <w:p w14:paraId="2428F086" w14:textId="77777777" w:rsidR="00D30F45" w:rsidRPr="004A1BFD" w:rsidRDefault="00D30F45" w:rsidP="00D30F45">
      <w:r w:rsidRPr="004A1BFD">
        <w:lastRenderedPageBreak/>
        <w:t>2</w:t>
      </w:r>
      <w:r w:rsidRPr="004A1BFD">
        <w:tab/>
        <w:t>to continue reviewing the cooperative partnerships that ITU participates in, while especially those of significant financial and/or strategic implication, with the aim of ensuring that the cooperative partnerships align with the interest of the Union in general, as well as the strategic, operational, and financial plans of the Union;</w:t>
      </w:r>
    </w:p>
    <w:p w14:paraId="51A00C63" w14:textId="77777777" w:rsidR="00D30F45" w:rsidRPr="004A1BFD" w:rsidRDefault="00D30F45" w:rsidP="00D30F45">
      <w:r w:rsidRPr="004A1BFD">
        <w:t>3</w:t>
      </w:r>
      <w:r w:rsidRPr="004A1BFD">
        <w:tab/>
        <w:t>to continue overseeing the establishment and management of reserves or other funds, while especially the revolving funds operated on a self-financing basis, and to refine the Financial Rules and Financial Regulations among other applicable instruments when it is necessary;</w:t>
      </w:r>
    </w:p>
    <w:p w14:paraId="0408054A" w14:textId="77777777" w:rsidR="00D30F45" w:rsidRPr="004A1BFD" w:rsidRDefault="00D30F45" w:rsidP="00D30F45">
      <w:r w:rsidRPr="004A1BFD">
        <w:t>4</w:t>
      </w:r>
      <w:r w:rsidRPr="004A1BFD">
        <w:tab/>
        <w:t>to study the possibility of establishing criteria for determining significance of financial and strategic impact of projects, activities and agreements,</w:t>
      </w:r>
    </w:p>
    <w:p w14:paraId="42BF9AC2" w14:textId="421F9C2A" w:rsidR="00D30F45" w:rsidRPr="004A1BFD" w:rsidRDefault="00D30F45" w:rsidP="008531D9">
      <w:pPr>
        <w:pStyle w:val="Call"/>
      </w:pPr>
      <w:r w:rsidRPr="004A1BFD">
        <w:t>invites Member States, Sector Members, Associate</w:t>
      </w:r>
      <w:r w:rsidR="008531D9" w:rsidRPr="004A1BFD">
        <w:t>s</w:t>
      </w:r>
      <w:r w:rsidRPr="004A1BFD">
        <w:t xml:space="preserve"> and Academia</w:t>
      </w:r>
    </w:p>
    <w:p w14:paraId="2D134745" w14:textId="4BA0EB21" w:rsidR="00443BF7" w:rsidRPr="004A1BFD" w:rsidRDefault="00D30F45" w:rsidP="00D30F45">
      <w:r w:rsidRPr="004A1BFD">
        <w:t>to continue proposing constructive measures to enhance the transparency and accountability of ITU financial management to Council and relevant Council Working Groups, especially CWG-FHR, striving for the Union's financial stability and long-term sustainability.</w:t>
      </w:r>
    </w:p>
    <w:p w14:paraId="57A1E401" w14:textId="2888B4C3" w:rsidR="00443BF7" w:rsidRPr="004A1BFD" w:rsidRDefault="00000000" w:rsidP="00254ACC">
      <w:pPr>
        <w:pStyle w:val="Reasons"/>
        <w:spacing w:before="240"/>
      </w:pPr>
      <w:r w:rsidRPr="004A1BFD">
        <w:rPr>
          <w:b/>
        </w:rPr>
        <w:t>Reasons:</w:t>
      </w:r>
      <w:r w:rsidRPr="004A1BFD">
        <w:tab/>
      </w:r>
      <w:r w:rsidR="00254ACC" w:rsidRPr="004A1BFD">
        <w:t>While appreciating the effort made by the recent administrations, Member States address that ITU faces mounting budgetary pressures and called for enhanced financial transparency. With the aim of supporting informed decision-making by Member States, secure sustainable funding for the ITU’s core mandate, and bolster membership confidence in the Union, the proposed new resolution wishes to institutionalize the existing good practice and possible improvement.</w:t>
      </w:r>
    </w:p>
    <w:p w14:paraId="448E404C" w14:textId="671C2462" w:rsidR="00254ACC" w:rsidRDefault="00254ACC" w:rsidP="00254ACC">
      <w:pPr>
        <w:spacing w:before="240"/>
        <w:jc w:val="center"/>
      </w:pPr>
      <w:r w:rsidRPr="004A1BFD">
        <w:t>__________________</w:t>
      </w:r>
    </w:p>
    <w:sectPr w:rsidR="00254ACC" w:rsidSect="00361097">
      <w:headerReference w:type="even" r:id="rId12"/>
      <w:headerReference w:type="default" r:id="rId13"/>
      <w:footerReference w:type="even" r:id="rId14"/>
      <w:footerReference w:type="default" r:id="rId15"/>
      <w:headerReference w:type="first" r:id="rId16"/>
      <w:footerReference w:type="first" r:id="rId17"/>
      <w:type w:val="continuous"/>
      <w:pgSz w:w="11913" w:h="16834"/>
      <w:pgMar w:top="1418" w:right="1134" w:bottom="1418" w:left="1134" w:header="720" w:footer="720" w:gutter="0"/>
      <w:paperSrc w:first="15" w:other="15"/>
      <w:cols w:space="720"/>
      <w:titlePg/>
    </w:sectPr>
  </w:body>
</w:document>
</file>

<file path=word/customizations.xml><?xml version="1.0" encoding="utf-8"?>
<wne:tcg xmlns:r="http://schemas.openxmlformats.org/officeDocument/2006/relationships" xmlns:wne="http://schemas.microsoft.com/office/word/2006/wordml">
  <wne:keymaps>
    <wne:keymap wne:kcmPrimary="0350">
      <wne:macro wne:macroName="TEMPLATEPROJECT.MACROS.POOLPVSTYLES"/>
    </wne:keymap>
    <wne:keymap wne:kcmPrimary="0352">
      <wne:macro wne:macroName="TEMPLATEPROJECT.MACROS.POOLSETREASONS"/>
    </wne:keymap>
    <wne:keymap wne:kcmPrimary="0353">
      <wne:acd wne:acdName="acd2"/>
    </wne:keymap>
  </wne:keymaps>
  <wne:toolbars>
    <wne:acdManifest>
      <wne:acdEntry wne:acdName="acd0"/>
      <wne:acdEntry wne:acdName="acd1"/>
      <wne:acdEntry wne:acdName="acd2"/>
    </wne:acdManifest>
    <wne:toolbarData r:id="rId1"/>
  </wne:toolbars>
  <wne:acds>
    <wne:acd wne:acdName="acd0" wne:fciIndexBasedOn="0065"/>
    <wne:acd wne:acdName="acd1" wne:fciIndexBasedOn="0065"/>
    <wne:acd wne:argValue="AgBOAG8AcgBtAGEAbAAgAHAAdgA=" wne:acdName="acd2"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B6E37C" w14:textId="77777777" w:rsidR="00CD341F" w:rsidRDefault="00CD341F">
      <w:r>
        <w:separator/>
      </w:r>
    </w:p>
  </w:endnote>
  <w:endnote w:type="continuationSeparator" w:id="0">
    <w:p w14:paraId="1A6A7823" w14:textId="77777777" w:rsidR="00CD341F" w:rsidRDefault="00CD34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C0288E" w14:textId="77777777" w:rsidR="00F860C2" w:rsidRDefault="00F860C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670A9C" w14:textId="77777777" w:rsidR="00F860C2" w:rsidRDefault="00F860C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0E215" w14:textId="77777777" w:rsidR="00F860C2" w:rsidRPr="003F2E54" w:rsidRDefault="00F860C2" w:rsidP="00F860C2">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01F93E" w14:textId="77777777" w:rsidR="00CD341F" w:rsidRDefault="00CD341F">
      <w:r>
        <w:t>____________________</w:t>
      </w:r>
    </w:p>
  </w:footnote>
  <w:footnote w:type="continuationSeparator" w:id="0">
    <w:p w14:paraId="250D7FE6" w14:textId="77777777" w:rsidR="00CD341F" w:rsidRDefault="00CD34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DBA449" w14:textId="77777777" w:rsidR="00F860C2" w:rsidRDefault="00F860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68F8F7" w14:textId="77777777" w:rsidR="000507C1" w:rsidRDefault="000507C1" w:rsidP="00CE1B90">
    <w:pPr>
      <w:pStyle w:val="Header"/>
    </w:pPr>
    <w:r>
      <w:fldChar w:fldCharType="begin"/>
    </w:r>
    <w:r>
      <w:instrText xml:space="preserve"> PAGE   \* MERGEFORMAT </w:instrText>
    </w:r>
    <w:r>
      <w:fldChar w:fldCharType="separate"/>
    </w:r>
    <w:r w:rsidR="006F794B">
      <w:rPr>
        <w:noProof/>
      </w:rPr>
      <w:t>2</w:t>
    </w:r>
    <w:r>
      <w:fldChar w:fldCharType="end"/>
    </w:r>
  </w:p>
  <w:p w14:paraId="0023DE59" w14:textId="77777777" w:rsidR="00CE1B90" w:rsidRDefault="00CE1B90" w:rsidP="004F7925">
    <w:pPr>
      <w:pStyle w:val="Header"/>
    </w:pPr>
    <w:r>
      <w:t>PP</w:t>
    </w:r>
    <w:r w:rsidR="000235EC">
      <w:t>2</w:t>
    </w:r>
    <w:r w:rsidR="00EF3B7A">
      <w:t>6</w:t>
    </w:r>
    <w:r>
      <w:t>/79(Add.25)-E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15B0FE" w14:textId="77777777" w:rsidR="00F860C2" w:rsidRDefault="00F860C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removeDateAndTim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00AF8"/>
    <w:rsid w:val="00001935"/>
    <w:rsid w:val="000048E4"/>
    <w:rsid w:val="00004F8B"/>
    <w:rsid w:val="00010B2A"/>
    <w:rsid w:val="00011208"/>
    <w:rsid w:val="000143FA"/>
    <w:rsid w:val="00014808"/>
    <w:rsid w:val="00015E97"/>
    <w:rsid w:val="000235EC"/>
    <w:rsid w:val="00041924"/>
    <w:rsid w:val="000507C1"/>
    <w:rsid w:val="00053B97"/>
    <w:rsid w:val="00082EB9"/>
    <w:rsid w:val="000842DF"/>
    <w:rsid w:val="0008540E"/>
    <w:rsid w:val="00094B4F"/>
    <w:rsid w:val="000A1015"/>
    <w:rsid w:val="000B03F9"/>
    <w:rsid w:val="000B0A77"/>
    <w:rsid w:val="000B0D6C"/>
    <w:rsid w:val="000B596F"/>
    <w:rsid w:val="000B5BB9"/>
    <w:rsid w:val="000B7152"/>
    <w:rsid w:val="000C1346"/>
    <w:rsid w:val="000C4701"/>
    <w:rsid w:val="000E4C7A"/>
    <w:rsid w:val="000E5E15"/>
    <w:rsid w:val="000F5A9A"/>
    <w:rsid w:val="000F73D1"/>
    <w:rsid w:val="001001C5"/>
    <w:rsid w:val="00105EFE"/>
    <w:rsid w:val="00106777"/>
    <w:rsid w:val="0011489E"/>
    <w:rsid w:val="00114BA3"/>
    <w:rsid w:val="00115DEC"/>
    <w:rsid w:val="0012014C"/>
    <w:rsid w:val="00123F09"/>
    <w:rsid w:val="00127FA6"/>
    <w:rsid w:val="00136175"/>
    <w:rsid w:val="00140FF0"/>
    <w:rsid w:val="00142F28"/>
    <w:rsid w:val="00146057"/>
    <w:rsid w:val="00161C12"/>
    <w:rsid w:val="00161CDA"/>
    <w:rsid w:val="0016633C"/>
    <w:rsid w:val="00171990"/>
    <w:rsid w:val="00195B70"/>
    <w:rsid w:val="001A0EEB"/>
    <w:rsid w:val="001A16ED"/>
    <w:rsid w:val="001B18AB"/>
    <w:rsid w:val="001B70D1"/>
    <w:rsid w:val="001C2D51"/>
    <w:rsid w:val="001C3804"/>
    <w:rsid w:val="001D3322"/>
    <w:rsid w:val="001E01A5"/>
    <w:rsid w:val="001E18AB"/>
    <w:rsid w:val="001E1C8F"/>
    <w:rsid w:val="001F0B24"/>
    <w:rsid w:val="001F4060"/>
    <w:rsid w:val="002115E0"/>
    <w:rsid w:val="00215F12"/>
    <w:rsid w:val="00232B31"/>
    <w:rsid w:val="00235A3B"/>
    <w:rsid w:val="00243BE4"/>
    <w:rsid w:val="00254ACC"/>
    <w:rsid w:val="00257188"/>
    <w:rsid w:val="002578B4"/>
    <w:rsid w:val="002646C6"/>
    <w:rsid w:val="00267D12"/>
    <w:rsid w:val="00281792"/>
    <w:rsid w:val="0028799E"/>
    <w:rsid w:val="002962A8"/>
    <w:rsid w:val="002A56C0"/>
    <w:rsid w:val="002E5CF3"/>
    <w:rsid w:val="002E77F4"/>
    <w:rsid w:val="002F36B9"/>
    <w:rsid w:val="002F5FA2"/>
    <w:rsid w:val="003126B0"/>
    <w:rsid w:val="00314127"/>
    <w:rsid w:val="00314C12"/>
    <w:rsid w:val="003261C3"/>
    <w:rsid w:val="00334BC1"/>
    <w:rsid w:val="003453DA"/>
    <w:rsid w:val="00357754"/>
    <w:rsid w:val="003578E4"/>
    <w:rsid w:val="00361097"/>
    <w:rsid w:val="00373A0D"/>
    <w:rsid w:val="003740BC"/>
    <w:rsid w:val="00375076"/>
    <w:rsid w:val="00375BBA"/>
    <w:rsid w:val="003826EA"/>
    <w:rsid w:val="00395CE4"/>
    <w:rsid w:val="003A32AD"/>
    <w:rsid w:val="003A33F1"/>
    <w:rsid w:val="003A3938"/>
    <w:rsid w:val="003A4E67"/>
    <w:rsid w:val="003A5FFB"/>
    <w:rsid w:val="003A7FB6"/>
    <w:rsid w:val="003B3751"/>
    <w:rsid w:val="003F0763"/>
    <w:rsid w:val="003F2121"/>
    <w:rsid w:val="003F2E54"/>
    <w:rsid w:val="003F5771"/>
    <w:rsid w:val="004014B0"/>
    <w:rsid w:val="004059B0"/>
    <w:rsid w:val="00426AC1"/>
    <w:rsid w:val="004321DC"/>
    <w:rsid w:val="00435AA4"/>
    <w:rsid w:val="00435EA8"/>
    <w:rsid w:val="004360BB"/>
    <w:rsid w:val="00443BF7"/>
    <w:rsid w:val="004529ED"/>
    <w:rsid w:val="0045533C"/>
    <w:rsid w:val="004606DA"/>
    <w:rsid w:val="00463092"/>
    <w:rsid w:val="004676C0"/>
    <w:rsid w:val="00474E00"/>
    <w:rsid w:val="004835DB"/>
    <w:rsid w:val="00491D2D"/>
    <w:rsid w:val="00494797"/>
    <w:rsid w:val="004A1BFD"/>
    <w:rsid w:val="004A44D6"/>
    <w:rsid w:val="004B0C10"/>
    <w:rsid w:val="004B167B"/>
    <w:rsid w:val="004C19D7"/>
    <w:rsid w:val="004C297B"/>
    <w:rsid w:val="004C73C9"/>
    <w:rsid w:val="004E01FA"/>
    <w:rsid w:val="004E6764"/>
    <w:rsid w:val="004F041D"/>
    <w:rsid w:val="004F1C55"/>
    <w:rsid w:val="004F7925"/>
    <w:rsid w:val="00504FE5"/>
    <w:rsid w:val="00507348"/>
    <w:rsid w:val="00512241"/>
    <w:rsid w:val="00522C97"/>
    <w:rsid w:val="005356FD"/>
    <w:rsid w:val="00547D75"/>
    <w:rsid w:val="00551C8B"/>
    <w:rsid w:val="00554E24"/>
    <w:rsid w:val="00555A0F"/>
    <w:rsid w:val="00567130"/>
    <w:rsid w:val="00567C65"/>
    <w:rsid w:val="0057034B"/>
    <w:rsid w:val="00581E8F"/>
    <w:rsid w:val="00586A98"/>
    <w:rsid w:val="00591C15"/>
    <w:rsid w:val="005927A4"/>
    <w:rsid w:val="00596B48"/>
    <w:rsid w:val="005B10E8"/>
    <w:rsid w:val="005B5026"/>
    <w:rsid w:val="005B661F"/>
    <w:rsid w:val="005C3315"/>
    <w:rsid w:val="005E1CC3"/>
    <w:rsid w:val="005F05C8"/>
    <w:rsid w:val="00604079"/>
    <w:rsid w:val="00617BE4"/>
    <w:rsid w:val="00620233"/>
    <w:rsid w:val="00627DF4"/>
    <w:rsid w:val="006404B0"/>
    <w:rsid w:val="0066499C"/>
    <w:rsid w:val="00676E68"/>
    <w:rsid w:val="006A7108"/>
    <w:rsid w:val="006B2035"/>
    <w:rsid w:val="006B40DA"/>
    <w:rsid w:val="006C5D5D"/>
    <w:rsid w:val="006E215D"/>
    <w:rsid w:val="006E57C8"/>
    <w:rsid w:val="006E70E1"/>
    <w:rsid w:val="006F565E"/>
    <w:rsid w:val="006F794B"/>
    <w:rsid w:val="00701ABB"/>
    <w:rsid w:val="00711035"/>
    <w:rsid w:val="007130ED"/>
    <w:rsid w:val="007140CF"/>
    <w:rsid w:val="0071582A"/>
    <w:rsid w:val="00722595"/>
    <w:rsid w:val="0073319E"/>
    <w:rsid w:val="00733C8A"/>
    <w:rsid w:val="00737F2E"/>
    <w:rsid w:val="00745A37"/>
    <w:rsid w:val="00750829"/>
    <w:rsid w:val="007538C9"/>
    <w:rsid w:val="00753F63"/>
    <w:rsid w:val="007542C4"/>
    <w:rsid w:val="00754C0B"/>
    <w:rsid w:val="00755067"/>
    <w:rsid w:val="007561B6"/>
    <w:rsid w:val="007648ED"/>
    <w:rsid w:val="007649DA"/>
    <w:rsid w:val="00765553"/>
    <w:rsid w:val="00777B8B"/>
    <w:rsid w:val="00794795"/>
    <w:rsid w:val="007949EA"/>
    <w:rsid w:val="00796849"/>
    <w:rsid w:val="00796DAE"/>
    <w:rsid w:val="007A59C3"/>
    <w:rsid w:val="007B0E06"/>
    <w:rsid w:val="007B30FC"/>
    <w:rsid w:val="007C3643"/>
    <w:rsid w:val="007C617F"/>
    <w:rsid w:val="007D5061"/>
    <w:rsid w:val="007D7003"/>
    <w:rsid w:val="007E00D2"/>
    <w:rsid w:val="007E2AD4"/>
    <w:rsid w:val="007E3469"/>
    <w:rsid w:val="007E7B63"/>
    <w:rsid w:val="00810AD6"/>
    <w:rsid w:val="0082780C"/>
    <w:rsid w:val="008333C7"/>
    <w:rsid w:val="00833E0F"/>
    <w:rsid w:val="00834D81"/>
    <w:rsid w:val="008404FD"/>
    <w:rsid w:val="00841AB4"/>
    <w:rsid w:val="00846DBA"/>
    <w:rsid w:val="00850AEF"/>
    <w:rsid w:val="008531D9"/>
    <w:rsid w:val="00855DAB"/>
    <w:rsid w:val="00860C6A"/>
    <w:rsid w:val="00862891"/>
    <w:rsid w:val="00875048"/>
    <w:rsid w:val="00875BE1"/>
    <w:rsid w:val="00877715"/>
    <w:rsid w:val="00895CE3"/>
    <w:rsid w:val="0089603F"/>
    <w:rsid w:val="00897970"/>
    <w:rsid w:val="008B11C3"/>
    <w:rsid w:val="008B5A71"/>
    <w:rsid w:val="008D3BE2"/>
    <w:rsid w:val="008D46E8"/>
    <w:rsid w:val="008D4D98"/>
    <w:rsid w:val="008E2A7B"/>
    <w:rsid w:val="008E6E9B"/>
    <w:rsid w:val="008F2C56"/>
    <w:rsid w:val="008F3C99"/>
    <w:rsid w:val="00900D5B"/>
    <w:rsid w:val="009236FE"/>
    <w:rsid w:val="00940E00"/>
    <w:rsid w:val="00945D4B"/>
    <w:rsid w:val="0094741F"/>
    <w:rsid w:val="00950E0F"/>
    <w:rsid w:val="0096150D"/>
    <w:rsid w:val="009630FA"/>
    <w:rsid w:val="00967103"/>
    <w:rsid w:val="00967670"/>
    <w:rsid w:val="00970996"/>
    <w:rsid w:val="009800CC"/>
    <w:rsid w:val="009A078E"/>
    <w:rsid w:val="009A2B30"/>
    <w:rsid w:val="009A4211"/>
    <w:rsid w:val="009A47A2"/>
    <w:rsid w:val="009E425E"/>
    <w:rsid w:val="009E4322"/>
    <w:rsid w:val="009F4384"/>
    <w:rsid w:val="009F442D"/>
    <w:rsid w:val="009F50DA"/>
    <w:rsid w:val="00A06D56"/>
    <w:rsid w:val="00A314A2"/>
    <w:rsid w:val="00A516BB"/>
    <w:rsid w:val="00A619C5"/>
    <w:rsid w:val="00A808E1"/>
    <w:rsid w:val="00A8262F"/>
    <w:rsid w:val="00A84B32"/>
    <w:rsid w:val="00A84B3A"/>
    <w:rsid w:val="00A87124"/>
    <w:rsid w:val="00A93B71"/>
    <w:rsid w:val="00AB0B32"/>
    <w:rsid w:val="00AB190D"/>
    <w:rsid w:val="00AB2D04"/>
    <w:rsid w:val="00AB5C39"/>
    <w:rsid w:val="00AB75A9"/>
    <w:rsid w:val="00AD1C5C"/>
    <w:rsid w:val="00AD566F"/>
    <w:rsid w:val="00AF0849"/>
    <w:rsid w:val="00B156F9"/>
    <w:rsid w:val="00B1733E"/>
    <w:rsid w:val="00B25A86"/>
    <w:rsid w:val="00B304B9"/>
    <w:rsid w:val="00B325C6"/>
    <w:rsid w:val="00B55E1A"/>
    <w:rsid w:val="00B57988"/>
    <w:rsid w:val="00B62032"/>
    <w:rsid w:val="00B65F8C"/>
    <w:rsid w:val="00B7263B"/>
    <w:rsid w:val="00B73F47"/>
    <w:rsid w:val="00B7638A"/>
    <w:rsid w:val="00B80DF9"/>
    <w:rsid w:val="00B840D8"/>
    <w:rsid w:val="00B96467"/>
    <w:rsid w:val="00BA154E"/>
    <w:rsid w:val="00BA37CE"/>
    <w:rsid w:val="00BA4692"/>
    <w:rsid w:val="00BC6FDB"/>
    <w:rsid w:val="00BC7DE8"/>
    <w:rsid w:val="00BE0966"/>
    <w:rsid w:val="00BF43BA"/>
    <w:rsid w:val="00BF5722"/>
    <w:rsid w:val="00BF6268"/>
    <w:rsid w:val="00BF720B"/>
    <w:rsid w:val="00C04511"/>
    <w:rsid w:val="00C112A3"/>
    <w:rsid w:val="00C16846"/>
    <w:rsid w:val="00C34851"/>
    <w:rsid w:val="00C42A5B"/>
    <w:rsid w:val="00C5419D"/>
    <w:rsid w:val="00C56038"/>
    <w:rsid w:val="00C6729F"/>
    <w:rsid w:val="00C70164"/>
    <w:rsid w:val="00C72664"/>
    <w:rsid w:val="00C86F24"/>
    <w:rsid w:val="00CA38C9"/>
    <w:rsid w:val="00CB01B5"/>
    <w:rsid w:val="00CB4984"/>
    <w:rsid w:val="00CB5DD7"/>
    <w:rsid w:val="00CB7795"/>
    <w:rsid w:val="00CB77D5"/>
    <w:rsid w:val="00CC14F0"/>
    <w:rsid w:val="00CD341F"/>
    <w:rsid w:val="00CE1B90"/>
    <w:rsid w:val="00CE3B0F"/>
    <w:rsid w:val="00CE40BB"/>
    <w:rsid w:val="00CF1C71"/>
    <w:rsid w:val="00CF510F"/>
    <w:rsid w:val="00D07696"/>
    <w:rsid w:val="00D11956"/>
    <w:rsid w:val="00D15A98"/>
    <w:rsid w:val="00D30F45"/>
    <w:rsid w:val="00D500DC"/>
    <w:rsid w:val="00D54B39"/>
    <w:rsid w:val="00D64FF3"/>
    <w:rsid w:val="00D657A2"/>
    <w:rsid w:val="00D75620"/>
    <w:rsid w:val="00D760C8"/>
    <w:rsid w:val="00D83FFD"/>
    <w:rsid w:val="00D8451F"/>
    <w:rsid w:val="00D8617D"/>
    <w:rsid w:val="00D92563"/>
    <w:rsid w:val="00DC7C10"/>
    <w:rsid w:val="00DD26B1"/>
    <w:rsid w:val="00DD5177"/>
    <w:rsid w:val="00DD69B6"/>
    <w:rsid w:val="00DE16B8"/>
    <w:rsid w:val="00DE20DF"/>
    <w:rsid w:val="00DE4CC2"/>
    <w:rsid w:val="00DF23FC"/>
    <w:rsid w:val="00DF39CD"/>
    <w:rsid w:val="00DF3BBE"/>
    <w:rsid w:val="00E0094D"/>
    <w:rsid w:val="00E10A17"/>
    <w:rsid w:val="00E13427"/>
    <w:rsid w:val="00E1374D"/>
    <w:rsid w:val="00E20134"/>
    <w:rsid w:val="00E24CB2"/>
    <w:rsid w:val="00E31D1C"/>
    <w:rsid w:val="00E32981"/>
    <w:rsid w:val="00E34312"/>
    <w:rsid w:val="00E3536D"/>
    <w:rsid w:val="00E44456"/>
    <w:rsid w:val="00E553B9"/>
    <w:rsid w:val="00E56E57"/>
    <w:rsid w:val="00E62EC4"/>
    <w:rsid w:val="00E6599B"/>
    <w:rsid w:val="00E726DE"/>
    <w:rsid w:val="00E844D5"/>
    <w:rsid w:val="00E86536"/>
    <w:rsid w:val="00E871C2"/>
    <w:rsid w:val="00EA1BAA"/>
    <w:rsid w:val="00ED401C"/>
    <w:rsid w:val="00EE333B"/>
    <w:rsid w:val="00EF2642"/>
    <w:rsid w:val="00EF3681"/>
    <w:rsid w:val="00EF3B7A"/>
    <w:rsid w:val="00EF4AAB"/>
    <w:rsid w:val="00EF63E7"/>
    <w:rsid w:val="00F10790"/>
    <w:rsid w:val="00F10E7C"/>
    <w:rsid w:val="00F13C1E"/>
    <w:rsid w:val="00F16F17"/>
    <w:rsid w:val="00F20BC2"/>
    <w:rsid w:val="00F342E4"/>
    <w:rsid w:val="00F35330"/>
    <w:rsid w:val="00F41C91"/>
    <w:rsid w:val="00F433A4"/>
    <w:rsid w:val="00F4421A"/>
    <w:rsid w:val="00F44B1A"/>
    <w:rsid w:val="00F47316"/>
    <w:rsid w:val="00F55DA5"/>
    <w:rsid w:val="00F664B9"/>
    <w:rsid w:val="00F860C2"/>
    <w:rsid w:val="00F94BC2"/>
    <w:rsid w:val="00F95ABE"/>
    <w:rsid w:val="00F9756D"/>
    <w:rsid w:val="00FB5F12"/>
    <w:rsid w:val="00FC5117"/>
    <w:rsid w:val="00FD417F"/>
    <w:rsid w:val="00FD7255"/>
    <w:rsid w:val="00FD7B1D"/>
    <w:rsid w:val="00FE1E22"/>
    <w:rsid w:val="00FF04D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22F901E"/>
  <w15:docId w15:val="{7DD42A87-9B8E-4656-8EB8-90642EA36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2F5FA2"/>
    <w:pPr>
      <w:keepNext/>
      <w:keepLines/>
      <w:spacing w:before="480"/>
      <w:ind w:left="567" w:hanging="567"/>
      <w:outlineLvl w:val="0"/>
    </w:pPr>
    <w:rPr>
      <w:b/>
      <w:sz w:val="28"/>
    </w:rPr>
  </w:style>
  <w:style w:type="paragraph" w:styleId="Heading2">
    <w:name w:val="heading 2"/>
    <w:basedOn w:val="Heading1"/>
    <w:next w:val="Normal"/>
    <w:qFormat/>
    <w:rsid w:val="00AD566F"/>
    <w:pPr>
      <w:spacing w:before="320"/>
      <w:outlineLvl w:val="1"/>
    </w:pPr>
    <w:rPr>
      <w:sz w:val="24"/>
    </w:rPr>
  </w:style>
  <w:style w:type="paragraph" w:styleId="Heading3">
    <w:name w:val="heading 3"/>
    <w:basedOn w:val="Heading1"/>
    <w:next w:val="Normal"/>
    <w:qFormat/>
    <w:rsid w:val="00257188"/>
    <w:pPr>
      <w:spacing w:before="200"/>
      <w:outlineLvl w:val="2"/>
    </w:pPr>
    <w:rPr>
      <w:sz w:val="24"/>
    </w:rPr>
  </w:style>
  <w:style w:type="paragraph" w:styleId="Heading4">
    <w:name w:val="heading 4"/>
    <w:basedOn w:val="Heading3"/>
    <w:next w:val="Normal"/>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2F5FA2"/>
    <w:rPr>
      <w:rFonts w:ascii="Calibri" w:hAnsi="Calibri"/>
      <w:position w:val="6"/>
      <w:sz w:val="16"/>
    </w:rPr>
  </w:style>
  <w:style w:type="paragraph" w:styleId="FootnoteText">
    <w:name w:val="footnote text"/>
    <w:basedOn w:val="Normal"/>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AD566F"/>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rsid w:val="00AD566F"/>
    <w:pPr>
      <w:spacing w:before="86"/>
      <w:ind w:left="567" w:hanging="567"/>
    </w:p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AD566F"/>
    <w:pPr>
      <w:spacing w:before="120" w:after="12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rPr>
      <w:caps w:val="0"/>
    </w:rPr>
  </w:style>
  <w:style w:type="paragraph" w:customStyle="1" w:styleId="Title2">
    <w:name w:val="Title 2"/>
    <w:basedOn w:val="Source"/>
    <w:next w:val="Title3"/>
    <w:rsid w:val="00AD566F"/>
    <w:pPr>
      <w:spacing w:before="240"/>
    </w:pPr>
    <w:rPr>
      <w:b w:val="0"/>
      <w:caps/>
    </w:rPr>
  </w:style>
  <w:style w:type="paragraph" w:customStyle="1" w:styleId="Source">
    <w:name w:val="Source"/>
    <w:basedOn w:val="Normal"/>
    <w:next w:val="Title1"/>
    <w:autoRedefine/>
    <w:rsid w:val="00E553B9"/>
    <w:pPr>
      <w:spacing w:before="840"/>
      <w:jc w:val="center"/>
    </w:pPr>
    <w:rPr>
      <w:b/>
      <w:sz w:val="28"/>
    </w:rPr>
  </w:style>
  <w:style w:type="paragraph" w:customStyle="1" w:styleId="Title1">
    <w:name w:val="Title 1"/>
    <w:basedOn w:val="Source"/>
    <w:next w:val="Title2"/>
    <w:rsid w:val="00AD566F"/>
    <w:pPr>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000AF8"/>
    <w:rPr>
      <w:rFonts w:ascii="Calibri" w:hAnsi="Calibri"/>
      <w:color w:val="0000FF"/>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semiHidden/>
    <w:unhideWhenUsed/>
    <w:rsid w:val="00D75620"/>
    <w:rPr>
      <w:color w:val="605E5C"/>
      <w:shd w:val="clear" w:color="auto" w:fill="E1DFDD"/>
    </w:rPr>
  </w:style>
  <w:style w:type="character" w:styleId="CommentReference">
    <w:name w:val="annotation reference"/>
    <w:basedOn w:val="DefaultParagraphFont"/>
    <w:semiHidden/>
    <w:unhideWhenUsed/>
    <w:rsid w:val="008531D9"/>
    <w:rPr>
      <w:sz w:val="16"/>
      <w:szCs w:val="16"/>
    </w:rPr>
  </w:style>
  <w:style w:type="paragraph" w:styleId="CommentText">
    <w:name w:val="annotation text"/>
    <w:basedOn w:val="Normal"/>
    <w:link w:val="CommentTextChar"/>
    <w:unhideWhenUsed/>
    <w:rsid w:val="008531D9"/>
    <w:rPr>
      <w:sz w:val="20"/>
    </w:rPr>
  </w:style>
  <w:style w:type="character" w:customStyle="1" w:styleId="CommentTextChar">
    <w:name w:val="Comment Text Char"/>
    <w:basedOn w:val="DefaultParagraphFont"/>
    <w:link w:val="CommentText"/>
    <w:rsid w:val="008531D9"/>
    <w:rPr>
      <w:rFonts w:ascii="Calibri" w:hAnsi="Calibri"/>
      <w:lang w:val="en-GB" w:eastAsia="en-US"/>
    </w:rPr>
  </w:style>
  <w:style w:type="paragraph" w:styleId="CommentSubject">
    <w:name w:val="annotation subject"/>
    <w:basedOn w:val="CommentText"/>
    <w:next w:val="CommentText"/>
    <w:link w:val="CommentSubjectChar"/>
    <w:semiHidden/>
    <w:unhideWhenUsed/>
    <w:rsid w:val="008531D9"/>
    <w:rPr>
      <w:b/>
      <w:bCs/>
    </w:rPr>
  </w:style>
  <w:style w:type="character" w:customStyle="1" w:styleId="CommentSubjectChar">
    <w:name w:val="Comment Subject Char"/>
    <w:basedOn w:val="CommentTextChar"/>
    <w:link w:val="CommentSubject"/>
    <w:semiHidden/>
    <w:rsid w:val="008531D9"/>
    <w:rPr>
      <w:rFonts w:ascii="Calibri" w:hAnsi="Calibri"/>
      <w:b/>
      <w:bCs/>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258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2.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1.xml"/><Relationship Id="rId16" Type="http://schemas.openxmlformats.org/officeDocument/2006/relationships/header" Target="header3.xml"/><Relationship Id="rId1" Type="http://schemas.microsoft.com/office/2006/relationships/keyMapCustomizations" Target="customizations.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customXml" Target="../customXml/item4.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3.xml"/><Relationship Id="rId9" Type="http://schemas.openxmlformats.org/officeDocument/2006/relationships/footnotes" Target="footnotes.xml"/><Relationship Id="rId14" Type="http://schemas.openxmlformats.org/officeDocument/2006/relationships/footer" Target="footer1.xml"/></Relationships>
</file>

<file path=word/_rels/footer3.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PM_x0020_Author xmlns="d2abaf5a-0636-40db-911e-9e384c42797d">DPM</DPM_x0020_Author>
    <DPM_x0020_File_x0020_name xmlns="d2abaf5a-0636-40db-911e-9e384c42797d">S26-PP-C-0079!A25!MSW-E</DPM_x0020_File_x0020_name>
    <DPM_x0020_Version xmlns="d2abaf5a-0636-40db-911e-9e384c42797d">DPM_2025.10.23.1</DPM_x0020_Version>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d2abaf5a-0636-40db-911e-9e384c42797d" targetNamespace="http://schemas.microsoft.com/office/2006/metadata/properties" ma:root="true" ma:fieldsID="d41af5c836d734370eb92e7ee5f83852" ns2:_="" ns3:_="">
    <xsd:import namespace="996b2e75-67fd-4955-a3b0-5ab9934cb50b"/>
    <xsd:import namespace="d2abaf5a-0636-40db-911e-9e384c42797d"/>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d2abaf5a-0636-40db-911e-9e384c42797d"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d2abaf5a-0636-40db-911e-9e384c42797d"/>
  </ds:schemaRefs>
</ds:datastoreItem>
</file>

<file path=customXml/itemProps2.xml><?xml version="1.0" encoding="utf-8"?>
<ds:datastoreItem xmlns:ds="http://schemas.openxmlformats.org/officeDocument/2006/customXml" ds:itemID="{046D4F16-703E-448A-85F2-0D0396EBBA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d2abaf5a-0636-40db-911e-9e384c42797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886E935-421C-41F9-847B-CC9B46CC81C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Pages>
  <Words>1058</Words>
  <Characters>6397</Characters>
  <Application>Microsoft Office Word</Application>
  <DocSecurity>0</DocSecurity>
  <Lines>116</Lines>
  <Paragraphs>54</Paragraphs>
  <ScaleCrop>false</ScaleCrop>
  <HeadingPairs>
    <vt:vector size="2" baseType="variant">
      <vt:variant>
        <vt:lpstr>Title</vt:lpstr>
      </vt:variant>
      <vt:variant>
        <vt:i4>1</vt:i4>
      </vt:variant>
    </vt:vector>
  </HeadingPairs>
  <TitlesOfParts>
    <vt:vector size="1" baseType="lpstr">
      <vt:lpstr>S26-PP-C-0079!A25!MSW-E</vt:lpstr>
    </vt:vector>
  </TitlesOfParts>
  <Manager/>
  <Company/>
  <LinksUpToDate>false</LinksUpToDate>
  <CharactersWithSpaces>7401</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S26-PP-C-0079!A25!MSW-E</dc:title>
  <dc:subject>ITU Plenipotentiary Conference (PP-26)</dc:subject>
  <dc:creator>Documents Proposals Manager (DPM)</dc:creator>
  <cp:keywords>DPM_v2026.8.25.1_prod</cp:keywords>
  <cp:lastModifiedBy>ITUGBS</cp:lastModifiedBy>
  <cp:revision>4</cp:revision>
  <dcterms:created xsi:type="dcterms:W3CDTF">2026-10-24T14:52:00Z</dcterms:created>
  <dcterms:modified xsi:type="dcterms:W3CDTF">2026-10-24T14:58:00Z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