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0A598226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2F84AC8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3029E27" wp14:editId="467A34A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5D70280E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6E294B8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65B9B2F9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32BD8E25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D02F690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3E486C3C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013F14C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381CA73C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48 to</w:t>
            </w:r>
            <w:r>
              <w:rPr>
                <w:rFonts w:cstheme="minorHAnsi"/>
                <w:b/>
                <w:szCs w:val="24"/>
              </w:rPr>
              <w:br/>
              <w:t>Document 75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29DE744F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B6CFF8D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1F94C88C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14 October 2026</w:t>
            </w:r>
          </w:p>
        </w:tc>
      </w:tr>
      <w:tr w:rsidR="001A16ED" w:rsidRPr="00C324A8" w14:paraId="33176C63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5620BF2F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415348AA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0BD5953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4A5E882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1F4FFDB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BC9946E" w14:textId="77777777" w:rsidR="001A16ED" w:rsidRDefault="001A16ED" w:rsidP="000B596F">
            <w:pPr>
              <w:pStyle w:val="Source"/>
            </w:pPr>
            <w:r>
              <w:t>Member States of the European Conference of Postal and Telecommunications Administrations (CEPT)</w:t>
            </w:r>
          </w:p>
        </w:tc>
      </w:tr>
      <w:tr w:rsidR="001A16ED" w:rsidRPr="00C324A8" w14:paraId="46930AD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AC4AFA4" w14:textId="77777777" w:rsidR="001A16ED" w:rsidRDefault="001A16ED" w:rsidP="000B596F">
            <w:pPr>
              <w:pStyle w:val="Title1"/>
            </w:pPr>
            <w:r>
              <w:t>PROPOSED SUPPRESSION OF RESOLUTION 218</w:t>
            </w:r>
          </w:p>
        </w:tc>
      </w:tr>
      <w:tr w:rsidR="001A16ED" w:rsidRPr="00C324A8" w14:paraId="0D9F5EB1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2136892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47B7A358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60061E0" w14:textId="77777777" w:rsidR="001A16ED" w:rsidRDefault="001A16ED" w:rsidP="000B596F">
            <w:pPr>
              <w:pStyle w:val="Agendaitem"/>
            </w:pPr>
          </w:p>
        </w:tc>
      </w:tr>
      <w:bookmarkEnd w:id="6"/>
      <w:bookmarkEnd w:id="7"/>
    </w:tbl>
    <w:p w14:paraId="6B02400E" w14:textId="77777777" w:rsidR="001A16ED" w:rsidRDefault="001A16ED" w:rsidP="00AB2D04"/>
    <w:p w14:paraId="5060582A" w14:textId="77777777" w:rsidR="0008540E" w:rsidRPr="0008540E" w:rsidRDefault="001A16ED" w:rsidP="00004F8B">
      <w:r>
        <w:br w:type="page"/>
      </w:r>
    </w:p>
    <w:p w14:paraId="1B231F7F" w14:textId="77777777" w:rsidR="008A7F87" w:rsidRDefault="00C905B2">
      <w:pPr>
        <w:pStyle w:val="Proposal"/>
      </w:pPr>
      <w:r>
        <w:lastRenderedPageBreak/>
        <w:t>SUP</w:t>
      </w:r>
      <w:r>
        <w:tab/>
        <w:t>EUR/75A48/1</w:t>
      </w:r>
    </w:p>
    <w:p w14:paraId="2D7C159E" w14:textId="77777777" w:rsidR="00C905B2" w:rsidRPr="00B66444" w:rsidRDefault="00C905B2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218</w:t>
      </w:r>
      <w:r w:rsidRPr="00B66444">
        <w:t xml:space="preserve"> (BUCHAREST, 2022)</w:t>
      </w:r>
    </w:p>
    <w:p w14:paraId="0C561702" w14:textId="77777777" w:rsidR="00C905B2" w:rsidRPr="00B66444" w:rsidRDefault="00C905B2" w:rsidP="007F4EDE">
      <w:pPr>
        <w:pStyle w:val="Restitle"/>
      </w:pPr>
      <w:r w:rsidRPr="00B66444">
        <w:t>ITU's role in the implementation of the "Space2030" Agenda: space as a driver of sustainable development, and its follow-up and review process</w:t>
      </w:r>
    </w:p>
    <w:p w14:paraId="5DBD5B93" w14:textId="77777777" w:rsidR="00C905B2" w:rsidRPr="00B66444" w:rsidRDefault="00C905B2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446F0AEA" w14:textId="79CD262E" w:rsidR="008A7F87" w:rsidRDefault="00C905B2">
      <w:pPr>
        <w:pStyle w:val="Reasons"/>
      </w:pPr>
      <w:r>
        <w:rPr>
          <w:b/>
        </w:rPr>
        <w:t>Reasons:</w:t>
      </w:r>
      <w:r>
        <w:tab/>
      </w:r>
      <w:r w:rsidR="00794666" w:rsidRPr="00172DFA">
        <w:t xml:space="preserve">Space and satellite systems are of steadily growing importance for the future development of telecommunications/ICTs, and this trend can be expected to intensify significantly in the years ahead. This warrants a new, dedicated Resolution that provides clear institutional guidance for ITU’s work on satellite matters, in particular a clear mandate for the ITU Radiocommunication Sector (ITU-R) and the World Radiocommunication Conference (WRC) framework, while at the same time delineating the respective contributions of ITU-T and ITU-D. The focus and scope of this new Resolution </w:t>
      </w:r>
      <w:r w:rsidR="00794666">
        <w:t xml:space="preserve">proposes by CEPT </w:t>
      </w:r>
      <w:r w:rsidR="00794666" w:rsidRPr="00172DFA">
        <w:t>differ substantially from those of Resolution 218 (Bucharest, 2022), which was limited to ITU’s role in implementing the Space2030 Agenda. Institutional streamlining therefore requires that the essential, still-relevant elements of Resolution 218</w:t>
      </w:r>
      <w:r w:rsidR="00794666">
        <w:t xml:space="preserve">, </w:t>
      </w:r>
      <w:r w:rsidR="00794666" w:rsidRPr="00172DFA">
        <w:t>in particular the Space2030 mandate, annual reporting to Council, capacity-building for developing countries, LDCs, SIDS and LLDCs, cooperation with UNOOSA, and UN-Space reporting</w:t>
      </w:r>
      <w:r w:rsidR="00794666">
        <w:t>,</w:t>
      </w:r>
      <w:r w:rsidR="00794666" w:rsidRPr="00172DFA">
        <w:t xml:space="preserve"> be integrated into the new Resolution, while Resolution 218 itself is suppressed. Given that the new Resolution addresses satellite matters in a considerably broader and more forward-looking manner, merely amending Resolution 218 would not be a substantively meaningful option: it would leave in place a narrower, overlapping instrument alongside the new Resolution, creating duplication and ambiguity as to which text governs the Secretary-General’s work on satellite and space matters. Suppression, combined with full integration of its substance, is therefore the only outcome that is both institutionally coherent and substantively sound.</w:t>
      </w:r>
    </w:p>
    <w:p w14:paraId="564B8DCA" w14:textId="34D02E02" w:rsidR="00794666" w:rsidRDefault="00794666" w:rsidP="00794666">
      <w:pPr>
        <w:jc w:val="center"/>
      </w:pPr>
      <w:r>
        <w:t>_______________________________________</w:t>
      </w:r>
    </w:p>
    <w:sectPr w:rsidR="00794666">
      <w:headerReference w:type="default" r:id="rId10"/>
      <w:footerReference w:type="first" r:id="rId11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CC7C6" w14:textId="77777777" w:rsidR="00C905B2" w:rsidRDefault="00C905B2">
      <w:r>
        <w:separator/>
      </w:r>
    </w:p>
  </w:endnote>
  <w:endnote w:type="continuationSeparator" w:id="0">
    <w:p w14:paraId="35A4B04B" w14:textId="77777777" w:rsidR="00C905B2" w:rsidRDefault="00C90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4E4A" w14:textId="7777777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6E60" w14:textId="77777777" w:rsidR="00C905B2" w:rsidRDefault="00C905B2">
      <w:r>
        <w:t>____________________</w:t>
      </w:r>
    </w:p>
  </w:footnote>
  <w:footnote w:type="continuationSeparator" w:id="0">
    <w:p w14:paraId="5A69D6F8" w14:textId="77777777" w:rsidR="00C905B2" w:rsidRDefault="00C90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BA67A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549E8D58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/75(Add.48)-E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1232"/>
    <w:rsid w:val="002F36B9"/>
    <w:rsid w:val="002F5FA2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666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A7F87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D186C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905B2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2485E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S26-PP-C-0075!A48!MSW-E</DPM_x0020_File_x0020_name>
    <DPM_x0020_Version xmlns="dc5f4597-23c4-4169-8205-76c12bdd62f4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c1aba70-caae-4866-8307-d9bf228ab477"/>
  </ds:schemaRefs>
</ds:datastoreItem>
</file>

<file path=customXml/itemProps2.xml><?xml version="1.0" encoding="utf-8"?>
<ds:datastoreItem xmlns:ds="http://schemas.openxmlformats.org/officeDocument/2006/customXml" ds:itemID="{91DD4F47-3032-4E09-8515-307158DCBC3F}"/>
</file>

<file path=customXml/itemProps3.xml><?xml version="1.0" encoding="utf-8"?>
<ds:datastoreItem xmlns:ds="http://schemas.openxmlformats.org/officeDocument/2006/customXml" ds:itemID="{A3BAF5E7-E910-4FAE-82F2-2FF38DBFBF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1916</Characters>
  <Application>Microsoft Office Word</Application>
  <DocSecurity>0</DocSecurity>
  <Lines>50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S26-PP-C-0075!A48!MSW-E</vt:lpstr>
    </vt:vector>
  </TitlesOfParts>
  <Manager/>
  <Company/>
  <LinksUpToDate>false</LinksUpToDate>
  <CharactersWithSpaces>2226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S26-PP-C-0075!A48!MSW-E</dc:title>
  <dc:subject>ITU Plenipotentiary Conference (PP-26)</dc:subject>
  <dc:creator>Documents Proposals Manager (DPM)</dc:creator>
  <cp:keywords>DPM_v2026.8.25.1_prod</cp:keywords>
  <cp:lastModifiedBy>GBS-3</cp:lastModifiedBy>
  <cp:revision>2</cp:revision>
  <dcterms:created xsi:type="dcterms:W3CDTF">2026-10-16T07:48:00Z</dcterms:created>
  <dcterms:modified xsi:type="dcterms:W3CDTF">2026-10-16T07:48:00Z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