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DF1A70" w14:paraId="425786B7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800D0D0" w14:textId="77777777" w:rsidR="00CE496F" w:rsidRPr="00DF1A70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DF1A70">
              <w:rPr>
                <w:rFonts w:cstheme="minorHAnsi"/>
              </w:rPr>
              <w:drawing>
                <wp:anchor distT="0" distB="0" distL="0" distR="0" simplePos="0" relativeHeight="251658240" behindDoc="1" locked="0" layoutInCell="1" allowOverlap="1" wp14:anchorId="18C5271D" wp14:editId="5E7A3EB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DF1A70" w14:paraId="22D5D32D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2D7FB70" w14:textId="77777777" w:rsidR="002E1AF7" w:rsidRPr="00DF1A70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DF1A70" w14:paraId="5EDFAFB3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01336E0" w14:textId="77777777" w:rsidR="00BD1614" w:rsidRPr="00DF1A70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7C2CD476" w14:textId="77777777" w:rsidR="00BD1614" w:rsidRPr="00DF1A70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DF1A70" w14:paraId="1279CDB6" w14:textId="77777777" w:rsidTr="00CE496F">
        <w:trPr>
          <w:cantSplit/>
          <w:jc w:val="center"/>
        </w:trPr>
        <w:tc>
          <w:tcPr>
            <w:tcW w:w="7229" w:type="dxa"/>
          </w:tcPr>
          <w:p w14:paraId="46643ED1" w14:textId="77777777" w:rsidR="00BD1614" w:rsidRPr="00DF1A70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DF1A70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0ECABB22" w14:textId="77777777" w:rsidR="00BD1614" w:rsidRPr="00DF1A70" w:rsidRDefault="00BD1614" w:rsidP="007A47E9">
            <w:pPr>
              <w:spacing w:before="0"/>
              <w:rPr>
                <w:rFonts w:cstheme="minorHAnsi"/>
                <w:szCs w:val="24"/>
              </w:rPr>
            </w:pPr>
            <w:r w:rsidRPr="00DF1A70">
              <w:rPr>
                <w:rFonts w:cstheme="minorHAnsi"/>
                <w:b/>
                <w:szCs w:val="24"/>
              </w:rPr>
              <w:t>Addendum 47 au</w:t>
            </w:r>
            <w:r w:rsidRPr="00DF1A70">
              <w:rPr>
                <w:rFonts w:cstheme="minorHAnsi"/>
                <w:b/>
                <w:szCs w:val="24"/>
              </w:rPr>
              <w:br/>
              <w:t>Document 75</w:t>
            </w:r>
            <w:r w:rsidR="005F63BD" w:rsidRPr="00DF1A70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DF1A70" w14:paraId="785E74D6" w14:textId="77777777" w:rsidTr="00CE496F">
        <w:trPr>
          <w:cantSplit/>
          <w:jc w:val="center"/>
        </w:trPr>
        <w:tc>
          <w:tcPr>
            <w:tcW w:w="7229" w:type="dxa"/>
          </w:tcPr>
          <w:p w14:paraId="65D58818" w14:textId="77777777" w:rsidR="00BD1614" w:rsidRPr="00DF1A70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BD2FDC6" w14:textId="77777777" w:rsidR="00BD1614" w:rsidRPr="00DF1A70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DF1A70">
              <w:rPr>
                <w:rFonts w:cstheme="minorHAnsi"/>
                <w:b/>
                <w:szCs w:val="24"/>
              </w:rPr>
              <w:t>14 octobre 2026</w:t>
            </w:r>
          </w:p>
        </w:tc>
      </w:tr>
      <w:tr w:rsidR="00BD1614" w:rsidRPr="00DF1A70" w14:paraId="0A168DBF" w14:textId="77777777" w:rsidTr="00CE496F">
        <w:trPr>
          <w:cantSplit/>
          <w:jc w:val="center"/>
        </w:trPr>
        <w:tc>
          <w:tcPr>
            <w:tcW w:w="7229" w:type="dxa"/>
          </w:tcPr>
          <w:p w14:paraId="5AB522C3" w14:textId="77777777" w:rsidR="00BD1614" w:rsidRPr="00DF1A70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720377C4" w14:textId="77777777" w:rsidR="00BD1614" w:rsidRPr="00DF1A70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DF1A70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DF1A70" w14:paraId="60B468BF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E488F76" w14:textId="77777777" w:rsidR="00BD1614" w:rsidRPr="00DF1A70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DF1A70" w14:paraId="5C52A8A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4236126" w14:textId="5FBA21D3" w:rsidR="00BD1614" w:rsidRPr="00DF1A70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DF1A70">
              <w:t xml:space="preserve">États Membres de la Conférence européenne des administrations </w:t>
            </w:r>
            <w:r w:rsidR="00DF1A70" w:rsidRPr="00DF1A70">
              <w:br/>
            </w:r>
            <w:r w:rsidRPr="00DF1A70">
              <w:t>des postes et télécommunications (CEPT)</w:t>
            </w:r>
          </w:p>
        </w:tc>
      </w:tr>
      <w:tr w:rsidR="00BD1614" w:rsidRPr="00DF1A70" w14:paraId="6D9E481C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A1CCAD5" w14:textId="216CE7AA" w:rsidR="00BD1614" w:rsidRPr="00DF1A70" w:rsidRDefault="00BD1614" w:rsidP="007A47E9">
            <w:pPr>
              <w:pStyle w:val="Title1"/>
            </w:pPr>
            <w:bookmarkStart w:id="3" w:name="dtitle1" w:colFirst="0" w:colLast="0"/>
            <w:bookmarkEnd w:id="2"/>
            <w:r w:rsidRPr="00DF1A70">
              <w:t>PROPOS</w:t>
            </w:r>
            <w:r w:rsidR="00DF1A70">
              <w:t>ITION DE</w:t>
            </w:r>
            <w:r w:rsidRPr="00DF1A70">
              <w:t xml:space="preserve"> SUPPRESSION </w:t>
            </w:r>
            <w:r w:rsidR="00DF1A70">
              <w:t>DE LA</w:t>
            </w:r>
            <w:r w:rsidRPr="00DF1A70">
              <w:t xml:space="preserve"> R</w:t>
            </w:r>
            <w:r w:rsidR="00DF1A70">
              <w:t>É</w:t>
            </w:r>
            <w:r w:rsidRPr="00DF1A70">
              <w:t>SOLUTION 158</w:t>
            </w:r>
            <w:r w:rsidR="00DF1A70">
              <w:t xml:space="preserve"> </w:t>
            </w:r>
            <w:r w:rsidR="00DF1A70" w:rsidRPr="00DF1A70">
              <w:t>(</w:t>
            </w:r>
            <w:r w:rsidR="00DF1A70" w:rsidRPr="00DF1A70">
              <w:rPr>
                <w:caps w:val="0"/>
              </w:rPr>
              <w:t>RÉV. BUSAN</w:t>
            </w:r>
            <w:r w:rsidR="00DF1A70" w:rsidRPr="00DF1A70">
              <w:t>, 2014)</w:t>
            </w:r>
          </w:p>
        </w:tc>
      </w:tr>
      <w:tr w:rsidR="00BD1614" w:rsidRPr="00DF1A70" w14:paraId="1F7D45EC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C41483D" w14:textId="77777777" w:rsidR="00BD1614" w:rsidRPr="00DF1A70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DF1A70" w14:paraId="4F54782B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3F028A8" w14:textId="77777777" w:rsidR="00BD1614" w:rsidRPr="00DF1A70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7ABD0817" w14:textId="77777777" w:rsidR="00BD1614" w:rsidRPr="00DF1A70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DF1A70">
        <w:br w:type="page"/>
      </w:r>
    </w:p>
    <w:p w14:paraId="40EC50AB" w14:textId="77777777" w:rsidR="00A50FD5" w:rsidRPr="00DF1A70" w:rsidRDefault="007114DD">
      <w:pPr>
        <w:pStyle w:val="Proposal"/>
      </w:pPr>
      <w:r w:rsidRPr="00DF1A70">
        <w:lastRenderedPageBreak/>
        <w:t>SUP</w:t>
      </w:r>
      <w:r w:rsidRPr="00DF1A70">
        <w:tab/>
        <w:t>EUR/75A47/1</w:t>
      </w:r>
    </w:p>
    <w:p w14:paraId="44DF82C4" w14:textId="77777777" w:rsidR="007114DD" w:rsidRPr="00DF1A70" w:rsidRDefault="007114DD" w:rsidP="007948D7">
      <w:pPr>
        <w:pStyle w:val="ResNo"/>
      </w:pPr>
      <w:r w:rsidRPr="00DF1A70">
        <w:t xml:space="preserve">RÉSOLUTION </w:t>
      </w:r>
      <w:r w:rsidRPr="00DF1A70">
        <w:rPr>
          <w:rStyle w:val="href"/>
        </w:rPr>
        <w:t>158</w:t>
      </w:r>
      <w:r w:rsidRPr="00DF1A70">
        <w:t xml:space="preserve"> (</w:t>
      </w:r>
      <w:r w:rsidRPr="00DF1A70">
        <w:rPr>
          <w:caps w:val="0"/>
        </w:rPr>
        <w:t>RÉV. BUSAN</w:t>
      </w:r>
      <w:r w:rsidRPr="00DF1A70">
        <w:t>, 2014)</w:t>
      </w:r>
    </w:p>
    <w:p w14:paraId="4DA88074" w14:textId="77777777" w:rsidR="007114DD" w:rsidRPr="00DF1A70" w:rsidRDefault="007114DD" w:rsidP="007948D7">
      <w:pPr>
        <w:pStyle w:val="Restitle"/>
      </w:pPr>
      <w:r w:rsidRPr="00DF1A70">
        <w:t>Questions financières que doit examiner le Conseil</w:t>
      </w:r>
    </w:p>
    <w:p w14:paraId="5454C785" w14:textId="77777777" w:rsidR="007114DD" w:rsidRPr="00DF1A70" w:rsidRDefault="007114DD" w:rsidP="00552FB7">
      <w:pPr>
        <w:pStyle w:val="Normalaftertitle"/>
      </w:pPr>
      <w:r w:rsidRPr="00DF1A70">
        <w:t xml:space="preserve">La Conférence de plénipotentiaires de l'Union </w:t>
      </w:r>
      <w:r w:rsidRPr="00552FB7">
        <w:t>internationale</w:t>
      </w:r>
      <w:r w:rsidRPr="00DF1A70">
        <w:t xml:space="preserve"> des télécommunications (Busan, 2014),</w:t>
      </w:r>
    </w:p>
    <w:p w14:paraId="55837EBB" w14:textId="70E331D0" w:rsidR="00681982" w:rsidRPr="00681982" w:rsidRDefault="007114DD" w:rsidP="00681982">
      <w:pPr>
        <w:pStyle w:val="Reasons"/>
        <w:rPr>
          <w:bCs/>
        </w:rPr>
      </w:pPr>
      <w:r w:rsidRPr="00DF1A70">
        <w:rPr>
          <w:b/>
        </w:rPr>
        <w:t>Motifs:</w:t>
      </w:r>
      <w:r w:rsidRPr="00DF1A70">
        <w:tab/>
      </w:r>
      <w:r w:rsidR="00681982" w:rsidRPr="00681982">
        <w:t>Dans la Résolution</w:t>
      </w:r>
      <w:r w:rsidR="00681982">
        <w:t> </w:t>
      </w:r>
      <w:r w:rsidR="00681982" w:rsidRPr="00681982">
        <w:t>158 (Rév. Busan, 2014), la Conférence de plénipotentiaires (PP) reconnaît notamment la nécessité d'accroître les produits de l'Union en élaborant de nouveaux mécanismes financiers qui peuvent inclure de nouveaux produits</w:t>
      </w:r>
      <w:r w:rsidR="004B34F3">
        <w:t xml:space="preserve"> et le réexamen d</w:t>
      </w:r>
      <w:r w:rsidR="00681982" w:rsidRPr="00681982">
        <w:t xml:space="preserve">es </w:t>
      </w:r>
      <w:r w:rsidR="00136532">
        <w:t>produits</w:t>
      </w:r>
      <w:r w:rsidR="00681982" w:rsidRPr="00681982">
        <w:t xml:space="preserve"> au titre du recouvrement des coûts. En vue de la session de 2017 du Conseil, le Secrétariat</w:t>
      </w:r>
      <w:r w:rsidR="0093567E">
        <w:t> </w:t>
      </w:r>
      <w:r w:rsidR="00681982" w:rsidRPr="00681982">
        <w:t xml:space="preserve">général avait élaboré un plan détaillé dans lequel il était tenu compte de ces activités (Document </w:t>
      </w:r>
      <w:r w:rsidR="00681982" w:rsidRPr="00F841EB">
        <w:t>C17/67</w:t>
      </w:r>
      <w:r w:rsidR="00681982" w:rsidRPr="00681982">
        <w:t>, intitulé "</w:t>
      </w:r>
      <w:hyperlink r:id="rId13" w:history="1">
        <w:r w:rsidR="00681982" w:rsidRPr="00F841EB">
          <w:rPr>
            <w:rStyle w:val="Hyperlink"/>
          </w:rPr>
          <w:t>Améliorer la stabilité et la prévisibilité des bases financières de l'Union</w:t>
        </w:r>
      </w:hyperlink>
      <w:r w:rsidR="00681982" w:rsidRPr="00681982">
        <w:t>"). À sa session de 2017, le Conseil a approuvé le plan (les principes énoncés dans l'Annexe 1 du Document C17/67), afin de s'en servir comme base pour améliorer la stabilité et la prévisibilité des bases financières de l'Union.</w:t>
      </w:r>
      <w:hyperlink r:id="rId14" w:history="1"/>
    </w:p>
    <w:p w14:paraId="074E5EBC" w14:textId="26850BEB" w:rsidR="00DF1A70" w:rsidRDefault="00681982" w:rsidP="0093567E">
      <w:r w:rsidRPr="00681982">
        <w:t xml:space="preserve">Il est proposé de </w:t>
      </w:r>
      <w:r w:rsidRPr="004B34F3">
        <w:rPr>
          <w:b/>
          <w:bCs/>
        </w:rPr>
        <w:t>supprimer la Résolution 158 (Rév. Busan, 2014)</w:t>
      </w:r>
      <w:r w:rsidR="004B34F3">
        <w:t xml:space="preserve">, </w:t>
      </w:r>
      <w:r w:rsidRPr="00681982">
        <w:t>car elle est superflue (redondant</w:t>
      </w:r>
      <w:r w:rsidR="00223290">
        <w:t>e</w:t>
      </w:r>
      <w:r w:rsidR="004B34F3">
        <w:t xml:space="preserve"> et</w:t>
      </w:r>
      <w:r w:rsidRPr="00681982">
        <w:t xml:space="preserve"> obsolète):</w:t>
      </w:r>
    </w:p>
    <w:p w14:paraId="638AFDCB" w14:textId="5490A971" w:rsidR="00DF1A70" w:rsidRDefault="00DF1A70" w:rsidP="00DF1A70">
      <w:pPr>
        <w:pStyle w:val="enumlev1"/>
      </w:pPr>
      <w:r>
        <w:t>–</w:t>
      </w:r>
      <w:r>
        <w:tab/>
      </w:r>
      <w:r w:rsidR="00681982">
        <w:rPr>
          <w:rFonts w:cs="Calibri"/>
        </w:rPr>
        <w:t xml:space="preserve">Le Secrétariat général encourage la mise en œuvre d'une "stratégie de mobilisation des ressources" dans le cadre du plan de transformation de l'UIT (Document </w:t>
      </w:r>
      <w:r w:rsidR="00681982" w:rsidRPr="00F841EB">
        <w:rPr>
          <w:rFonts w:cs="Calibri"/>
        </w:rPr>
        <w:t>C26/73</w:t>
      </w:r>
      <w:r w:rsidR="00681982">
        <w:rPr>
          <w:rFonts w:cs="Calibri"/>
        </w:rPr>
        <w:t xml:space="preserve"> du Conseil de l'UIT, session de 2026, </w:t>
      </w:r>
      <w:r w:rsidR="00681982">
        <w:t>intitulé "</w:t>
      </w:r>
      <w:hyperlink r:id="rId15" w:history="1">
        <w:r w:rsidR="00681982" w:rsidRPr="00F841EB">
          <w:rPr>
            <w:rStyle w:val="Hyperlink"/>
          </w:rPr>
          <w:t>Informations actualisées sur la mise en œuvre de la stratégie de mobilisation des ressources de l'UIT</w:t>
        </w:r>
      </w:hyperlink>
      <w:r w:rsidR="00681982">
        <w:t>") et renvoie à la Décision</w:t>
      </w:r>
      <w:r w:rsidR="004B34F3">
        <w:t> </w:t>
      </w:r>
      <w:r w:rsidR="00681982">
        <w:t>5</w:t>
      </w:r>
      <w:r w:rsidR="00223290">
        <w:t xml:space="preserve"> (Rév.</w:t>
      </w:r>
      <w:r w:rsidR="0093567E">
        <w:t> </w:t>
      </w:r>
      <w:r w:rsidR="00223290">
        <w:t>Bucarest, 2022) de la PP</w:t>
      </w:r>
      <w:r w:rsidR="00681982">
        <w:t>, et non à la Résolution</w:t>
      </w:r>
      <w:r w:rsidR="004B34F3">
        <w:t> </w:t>
      </w:r>
      <w:r w:rsidR="00681982">
        <w:t>158 (Rév. Busan, 2014), comme base pour le mandat visant à élaborer une stratégie de mobilisation des ressources à l'échelle de l'UIT.</w:t>
      </w:r>
    </w:p>
    <w:p w14:paraId="4DD41A5B" w14:textId="78E57F57" w:rsidR="00DF1A70" w:rsidRDefault="00DF1A70" w:rsidP="00DF1A70">
      <w:pPr>
        <w:pStyle w:val="enumlev1"/>
      </w:pPr>
      <w:r>
        <w:t>–</w:t>
      </w:r>
      <w:r>
        <w:tab/>
      </w:r>
      <w:r w:rsidR="00681982" w:rsidRPr="00681982">
        <w:t xml:space="preserve">En ce qui concerne la participation des Membres de Secteur, la PP-18 a adopté une nouvelle </w:t>
      </w:r>
      <w:r w:rsidR="00681982" w:rsidRPr="00F841EB">
        <w:t>Résolution</w:t>
      </w:r>
      <w:r w:rsidR="004B34F3" w:rsidRPr="00F841EB">
        <w:t> </w:t>
      </w:r>
      <w:r w:rsidR="00681982" w:rsidRPr="00F841EB">
        <w:t>209</w:t>
      </w:r>
      <w:r w:rsidR="00681982" w:rsidRPr="00681982">
        <w:t>, intitulée "</w:t>
      </w:r>
      <w:hyperlink r:id="rId16" w:history="1">
        <w:r w:rsidR="00681982" w:rsidRPr="00F841EB">
          <w:rPr>
            <w:rStyle w:val="Hyperlink"/>
          </w:rPr>
          <w:t>Encourager la participation des petites et moyennes entreprises aux travaux de l'Union</w:t>
        </w:r>
      </w:hyperlink>
      <w:r w:rsidR="00681982" w:rsidRPr="00681982">
        <w:t>".</w:t>
      </w:r>
    </w:p>
    <w:p w14:paraId="27746DDD" w14:textId="4698D43C" w:rsidR="00DF1A70" w:rsidRDefault="00DF1A70" w:rsidP="00DF1A70">
      <w:pPr>
        <w:pStyle w:val="enumlev1"/>
      </w:pPr>
      <w:r>
        <w:t>–</w:t>
      </w:r>
      <w:r>
        <w:tab/>
      </w:r>
      <w:r w:rsidR="00681982" w:rsidRPr="00681982">
        <w:t>Les mesures d'économie que doit mettre en œuvre le Secrétariat général pour améliorer les perspectives financières de l'UIT font l'objet de la Décision</w:t>
      </w:r>
      <w:r w:rsidR="004B34F3">
        <w:t> </w:t>
      </w:r>
      <w:r w:rsidR="00681982" w:rsidRPr="00681982">
        <w:t>5</w:t>
      </w:r>
      <w:r w:rsidR="00223290">
        <w:t xml:space="preserve"> (Rév. Bucarest, 2022) de la PP</w:t>
      </w:r>
      <w:r w:rsidR="00681982" w:rsidRPr="00681982">
        <w:t>, ainsi que d'autres Résolutions spécifiques de la PP.</w:t>
      </w:r>
    </w:p>
    <w:p w14:paraId="5F32FE7C" w14:textId="64E19FC4" w:rsidR="00DF1A70" w:rsidRDefault="00681982" w:rsidP="0093567E">
      <w:r w:rsidRPr="00681982">
        <w:t xml:space="preserve">La </w:t>
      </w:r>
      <w:r w:rsidRPr="00F841EB">
        <w:t>Résolution</w:t>
      </w:r>
      <w:r w:rsidR="00F841EB">
        <w:t xml:space="preserve"> </w:t>
      </w:r>
      <w:r w:rsidRPr="00F841EB">
        <w:t>91</w:t>
      </w:r>
      <w:r w:rsidRPr="00681982">
        <w:t xml:space="preserve"> (Minneapolis, 1998) de la PP, intitulée "</w:t>
      </w:r>
      <w:hyperlink r:id="rId17" w:history="1">
        <w:r w:rsidRPr="00F841EB">
          <w:rPr>
            <w:rStyle w:val="Hyperlink"/>
          </w:rPr>
          <w:t>Recouvrement des coûts pour certains produits et services de l'UIT</w:t>
        </w:r>
      </w:hyperlink>
      <w:r w:rsidRPr="00681982">
        <w:t xml:space="preserve">", sert de base à l'examen des possibilités de générer des </w:t>
      </w:r>
      <w:r w:rsidR="00223290">
        <w:t xml:space="preserve">produits </w:t>
      </w:r>
      <w:r w:rsidRPr="00681982">
        <w:t>à partir des activités ou des services proposés par l'UIT.</w:t>
      </w:r>
    </w:p>
    <w:p w14:paraId="64950D90" w14:textId="77777777" w:rsidR="00DF1A70" w:rsidRDefault="00DF1A70">
      <w:pPr>
        <w:jc w:val="center"/>
      </w:pPr>
      <w:r>
        <w:t>______________</w:t>
      </w:r>
    </w:p>
    <w:sectPr w:rsidR="00DF1A70">
      <w:headerReference w:type="default" r:id="rId18"/>
      <w:footerReference w:type="first" r:id="rId19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011A3" w14:textId="77777777" w:rsidR="007252D2" w:rsidRDefault="007252D2">
      <w:r>
        <w:separator/>
      </w:r>
    </w:p>
  </w:endnote>
  <w:endnote w:type="continuationSeparator" w:id="0">
    <w:p w14:paraId="6EA07E8D" w14:textId="77777777" w:rsidR="007252D2" w:rsidRDefault="0072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0B48F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95AC2" w14:textId="77777777" w:rsidR="007252D2" w:rsidRDefault="007252D2">
      <w:r>
        <w:t>____________________</w:t>
      </w:r>
    </w:p>
  </w:footnote>
  <w:footnote w:type="continuationSeparator" w:id="0">
    <w:p w14:paraId="7AEA38C9" w14:textId="77777777" w:rsidR="007252D2" w:rsidRDefault="00725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2C0F6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60A16286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/75(Add.47)-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28B5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D6E6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1B475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FEE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DE2D5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9ED2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E6F5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EC0B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A8F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A437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3343586">
    <w:abstractNumId w:val="9"/>
  </w:num>
  <w:num w:numId="2" w16cid:durableId="624241079">
    <w:abstractNumId w:val="7"/>
  </w:num>
  <w:num w:numId="3" w16cid:durableId="16349716">
    <w:abstractNumId w:val="6"/>
  </w:num>
  <w:num w:numId="4" w16cid:durableId="2072387250">
    <w:abstractNumId w:val="5"/>
  </w:num>
  <w:num w:numId="5" w16cid:durableId="850877962">
    <w:abstractNumId w:val="4"/>
  </w:num>
  <w:num w:numId="6" w16cid:durableId="1499543502">
    <w:abstractNumId w:val="8"/>
  </w:num>
  <w:num w:numId="7" w16cid:durableId="1428233048">
    <w:abstractNumId w:val="3"/>
  </w:num>
  <w:num w:numId="8" w16cid:durableId="1161700186">
    <w:abstractNumId w:val="2"/>
  </w:num>
  <w:num w:numId="9" w16cid:durableId="1826242262">
    <w:abstractNumId w:val="1"/>
  </w:num>
  <w:num w:numId="10" w16cid:durableId="1601840193">
    <w:abstractNumId w:val="0"/>
  </w:num>
  <w:num w:numId="11" w16cid:durableId="671958542">
    <w:abstractNumId w:val="8"/>
  </w:num>
  <w:num w:numId="12" w16cid:durableId="222911159">
    <w:abstractNumId w:val="3"/>
  </w:num>
  <w:num w:numId="13" w16cid:durableId="1315141312">
    <w:abstractNumId w:val="2"/>
  </w:num>
  <w:num w:numId="14" w16cid:durableId="2127432494">
    <w:abstractNumId w:val="1"/>
  </w:num>
  <w:num w:numId="15" w16cid:durableId="723256937">
    <w:abstractNumId w:val="0"/>
  </w:num>
  <w:num w:numId="16" w16cid:durableId="913392248">
    <w:abstractNumId w:val="8"/>
  </w:num>
  <w:num w:numId="17" w16cid:durableId="1980646670">
    <w:abstractNumId w:val="3"/>
  </w:num>
  <w:num w:numId="18" w16cid:durableId="360404812">
    <w:abstractNumId w:val="2"/>
  </w:num>
  <w:num w:numId="19" w16cid:durableId="446320236">
    <w:abstractNumId w:val="1"/>
  </w:num>
  <w:num w:numId="20" w16cid:durableId="1905094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C467B"/>
    <w:rsid w:val="000D15FB"/>
    <w:rsid w:val="000F58F7"/>
    <w:rsid w:val="001051E4"/>
    <w:rsid w:val="001354EA"/>
    <w:rsid w:val="00136532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23290"/>
    <w:rsid w:val="002355CD"/>
    <w:rsid w:val="00270B2F"/>
    <w:rsid w:val="002712F9"/>
    <w:rsid w:val="002A0E1B"/>
    <w:rsid w:val="002A7A1D"/>
    <w:rsid w:val="002C1059"/>
    <w:rsid w:val="002C2F9C"/>
    <w:rsid w:val="002D0C22"/>
    <w:rsid w:val="002E1AF7"/>
    <w:rsid w:val="00322DEA"/>
    <w:rsid w:val="00355FBD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B34F3"/>
    <w:rsid w:val="004C7646"/>
    <w:rsid w:val="005236B8"/>
    <w:rsid w:val="00524001"/>
    <w:rsid w:val="0054251D"/>
    <w:rsid w:val="00552FB7"/>
    <w:rsid w:val="00564B63"/>
    <w:rsid w:val="00575DC7"/>
    <w:rsid w:val="005836C2"/>
    <w:rsid w:val="005A4EFD"/>
    <w:rsid w:val="005A5ABE"/>
    <w:rsid w:val="005C2ECC"/>
    <w:rsid w:val="005C6744"/>
    <w:rsid w:val="005E3357"/>
    <w:rsid w:val="005E419E"/>
    <w:rsid w:val="005F63BD"/>
    <w:rsid w:val="00611CF1"/>
    <w:rsid w:val="006201D9"/>
    <w:rsid w:val="006277DB"/>
    <w:rsid w:val="00635B7B"/>
    <w:rsid w:val="00655B98"/>
    <w:rsid w:val="006710E6"/>
    <w:rsid w:val="00681982"/>
    <w:rsid w:val="00686973"/>
    <w:rsid w:val="0068727C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6F5EB9"/>
    <w:rsid w:val="0070576B"/>
    <w:rsid w:val="007114DD"/>
    <w:rsid w:val="00713335"/>
    <w:rsid w:val="007252D2"/>
    <w:rsid w:val="00727C2F"/>
    <w:rsid w:val="00735F13"/>
    <w:rsid w:val="007575CC"/>
    <w:rsid w:val="007717F2"/>
    <w:rsid w:val="00772E3B"/>
    <w:rsid w:val="00777AB7"/>
    <w:rsid w:val="00780430"/>
    <w:rsid w:val="0078134C"/>
    <w:rsid w:val="007A47E9"/>
    <w:rsid w:val="007A5830"/>
    <w:rsid w:val="007D21FB"/>
    <w:rsid w:val="00801256"/>
    <w:rsid w:val="00811975"/>
    <w:rsid w:val="008264FC"/>
    <w:rsid w:val="008407A7"/>
    <w:rsid w:val="008703CB"/>
    <w:rsid w:val="008B61AF"/>
    <w:rsid w:val="008C33C2"/>
    <w:rsid w:val="008C6137"/>
    <w:rsid w:val="008D313B"/>
    <w:rsid w:val="008E2DB4"/>
    <w:rsid w:val="008F7A15"/>
    <w:rsid w:val="00901DD5"/>
    <w:rsid w:val="00901E77"/>
    <w:rsid w:val="0090735B"/>
    <w:rsid w:val="00912D5E"/>
    <w:rsid w:val="00934340"/>
    <w:rsid w:val="0093567E"/>
    <w:rsid w:val="00956DC7"/>
    <w:rsid w:val="00966CD3"/>
    <w:rsid w:val="00987A20"/>
    <w:rsid w:val="009A0E15"/>
    <w:rsid w:val="009D4037"/>
    <w:rsid w:val="009F0592"/>
    <w:rsid w:val="00A20E72"/>
    <w:rsid w:val="00A246DC"/>
    <w:rsid w:val="00A47BAF"/>
    <w:rsid w:val="00A50FD5"/>
    <w:rsid w:val="00A542D3"/>
    <w:rsid w:val="00A5784F"/>
    <w:rsid w:val="00A8436E"/>
    <w:rsid w:val="00A95B66"/>
    <w:rsid w:val="00AB190D"/>
    <w:rsid w:val="00AE0667"/>
    <w:rsid w:val="00B41E0A"/>
    <w:rsid w:val="00B56DE0"/>
    <w:rsid w:val="00B71F12"/>
    <w:rsid w:val="00B76FEC"/>
    <w:rsid w:val="00B96B1E"/>
    <w:rsid w:val="00BB2A6F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A2498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F1A70"/>
    <w:rsid w:val="00DF25C1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841EB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61A0EF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character" w:styleId="CommentReference">
    <w:name w:val="annotation reference"/>
    <w:basedOn w:val="DefaultParagraphFont"/>
    <w:semiHidden/>
    <w:unhideWhenUsed/>
    <w:rsid w:val="0068198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Calibri" w:hAnsi="Calibri"/>
      <w:lang w:val="fr-FR" w:eastAsia="en-US"/>
    </w:rPr>
  </w:style>
  <w:style w:type="paragraph" w:styleId="Revision">
    <w:name w:val="Revision"/>
    <w:hidden/>
    <w:uiPriority w:val="99"/>
    <w:semiHidden/>
    <w:rsid w:val="00223290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itu.int/md/S17-CL-C-0067/fr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itu.int/en/council/Documents/basic-texts/RES-091-F.pdf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itu.int/en/council/Documents/basic-texts/RES-209-F.pdf" TargetMode="Externa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yperlink" Target="https://www.itu.int/md/S26-CL-C-0073/fr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s://www.itu.int/md/S17-CL-C-0067/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c32c14df-e357-4ac4-91e3-7ad82f0ff56c">DPM</DPM_x0020_Author>
    <DPM_x0020_File_x0020_name xmlns="c32c14df-e357-4ac4-91e3-7ad82f0ff56c">S26-PP-C-0075!A47!MSW-F</DPM_x0020_File_x0020_name>
    <DPM_x0020_Version xmlns="c32c14df-e357-4ac4-91e3-7ad82f0ff56c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c32c14df-e357-4ac4-91e3-7ad82f0ff56c" targetNamespace="http://schemas.microsoft.com/office/2006/metadata/properties" ma:root="true" ma:fieldsID="d41af5c836d734370eb92e7ee5f83852" ns2:_="" ns3:_="">
    <xsd:import namespace="996b2e75-67fd-4955-a3b0-5ab9934cb50b"/>
    <xsd:import namespace="c32c14df-e357-4ac4-91e3-7ad82f0ff56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c14df-e357-4ac4-91e3-7ad82f0ff56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c32c14df-e357-4ac4-91e3-7ad82f0ff56c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c32c14df-e357-4ac4-91e3-7ad82f0ff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399</Words>
  <Characters>2567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S26-PP-C-0075!A47!MSW-F</vt:lpstr>
      <vt:lpstr>S26-PP-C-0075!A47!MSW-F</vt:lpstr>
    </vt:vector>
  </TitlesOfParts>
  <Manager/>
  <Company/>
  <LinksUpToDate>false</LinksUpToDate>
  <CharactersWithSpaces>2961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S26-PP-C-0075!A47!MSW-F</dc:title>
  <dc:subject>ITU Plenipotentiary Conference (PP-26)</dc:subject>
  <dc:creator>Documents Proposals Manager (DPM)</dc:creator>
  <cp:keywords>DPM_v2026.8.25.1_prod</cp:keywords>
  <dc:description/>
  <cp:lastModifiedBy>Froehly, Mathilde</cp:lastModifiedBy>
  <cp:revision>5</cp:revision>
  <dcterms:created xsi:type="dcterms:W3CDTF">2026-10-26T16:12:00Z</dcterms:created>
  <dcterms:modified xsi:type="dcterms:W3CDTF">2026-10-27T07:15:00Z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