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3E5A3CA" w14:textId="77777777" w:rsidTr="00C70164">
        <w:trPr>
          <w:cantSplit/>
          <w:jc w:val="center"/>
        </w:trPr>
        <w:tc>
          <w:tcPr>
            <w:tcW w:w="10031" w:type="dxa"/>
            <w:gridSpan w:val="2"/>
            <w:tcMar>
              <w:left w:w="0" w:type="dxa"/>
              <w:right w:w="0" w:type="dxa"/>
            </w:tcMar>
            <w:vAlign w:val="center"/>
          </w:tcPr>
          <w:p w14:paraId="43AA35F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0D6E5B3" wp14:editId="3F36CEB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A44C91C" w14:textId="77777777" w:rsidTr="00C70164">
        <w:trPr>
          <w:cantSplit/>
          <w:trHeight w:val="283"/>
          <w:jc w:val="center"/>
        </w:trPr>
        <w:tc>
          <w:tcPr>
            <w:tcW w:w="10031" w:type="dxa"/>
            <w:gridSpan w:val="2"/>
            <w:tcBorders>
              <w:bottom w:val="single" w:sz="12" w:space="0" w:color="71716F"/>
            </w:tcBorders>
          </w:tcPr>
          <w:p w14:paraId="4BC972C5"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A6529D3" w14:textId="77777777" w:rsidTr="00C70164">
        <w:trPr>
          <w:cantSplit/>
          <w:trHeight w:val="255"/>
          <w:jc w:val="center"/>
        </w:trPr>
        <w:tc>
          <w:tcPr>
            <w:tcW w:w="7230" w:type="dxa"/>
            <w:tcBorders>
              <w:top w:val="single" w:sz="12" w:space="0" w:color="71716F"/>
            </w:tcBorders>
          </w:tcPr>
          <w:p w14:paraId="0BE3ECF9"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206CFF8" w14:textId="77777777" w:rsidR="001A16ED" w:rsidRPr="00D96B4B" w:rsidRDefault="001A16ED" w:rsidP="000B596F">
            <w:pPr>
              <w:spacing w:before="0"/>
              <w:rPr>
                <w:rFonts w:cstheme="minorHAnsi"/>
                <w:sz w:val="20"/>
              </w:rPr>
            </w:pPr>
          </w:p>
        </w:tc>
      </w:tr>
      <w:tr w:rsidR="001A16ED" w:rsidRPr="00C324A8" w14:paraId="26E432C9" w14:textId="77777777" w:rsidTr="00C70164">
        <w:trPr>
          <w:cantSplit/>
          <w:trHeight w:val="23"/>
          <w:jc w:val="center"/>
        </w:trPr>
        <w:tc>
          <w:tcPr>
            <w:tcW w:w="7230" w:type="dxa"/>
          </w:tcPr>
          <w:p w14:paraId="36023721"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E09BEAA" w14:textId="77777777" w:rsidR="001A16ED" w:rsidRPr="00F44B1A" w:rsidRDefault="001A16ED" w:rsidP="000B596F">
            <w:pPr>
              <w:tabs>
                <w:tab w:val="left" w:pos="851"/>
              </w:tabs>
              <w:spacing w:before="0"/>
              <w:rPr>
                <w:rFonts w:cstheme="minorHAnsi"/>
                <w:b/>
                <w:szCs w:val="24"/>
              </w:rPr>
            </w:pPr>
            <w:r>
              <w:rPr>
                <w:rFonts w:cstheme="minorHAnsi"/>
                <w:b/>
                <w:szCs w:val="24"/>
              </w:rPr>
              <w:t>Addendum 47 to</w:t>
            </w:r>
            <w:r>
              <w:rPr>
                <w:rFonts w:cstheme="minorHAnsi"/>
                <w:b/>
                <w:szCs w:val="24"/>
              </w:rPr>
              <w:br/>
              <w:t>Document 75</w:t>
            </w:r>
            <w:r w:rsidR="00F44B1A" w:rsidRPr="00F44B1A">
              <w:rPr>
                <w:rFonts w:cstheme="minorHAnsi"/>
                <w:b/>
                <w:szCs w:val="24"/>
              </w:rPr>
              <w:t>-E</w:t>
            </w:r>
          </w:p>
        </w:tc>
      </w:tr>
      <w:tr w:rsidR="001A16ED" w:rsidRPr="00C324A8" w14:paraId="57533A8E" w14:textId="77777777" w:rsidTr="00C70164">
        <w:trPr>
          <w:cantSplit/>
          <w:trHeight w:val="23"/>
          <w:jc w:val="center"/>
        </w:trPr>
        <w:tc>
          <w:tcPr>
            <w:tcW w:w="7230" w:type="dxa"/>
          </w:tcPr>
          <w:p w14:paraId="1B7D173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8F197A4"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6D6C482D" w14:textId="77777777" w:rsidTr="00C70164">
        <w:trPr>
          <w:cantSplit/>
          <w:trHeight w:val="23"/>
          <w:jc w:val="center"/>
        </w:trPr>
        <w:tc>
          <w:tcPr>
            <w:tcW w:w="7230" w:type="dxa"/>
          </w:tcPr>
          <w:p w14:paraId="2EFA3A7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0A1E21D"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0783A85" w14:textId="77777777" w:rsidTr="00C70164">
        <w:trPr>
          <w:cantSplit/>
          <w:trHeight w:val="23"/>
          <w:jc w:val="center"/>
        </w:trPr>
        <w:tc>
          <w:tcPr>
            <w:tcW w:w="10031" w:type="dxa"/>
            <w:gridSpan w:val="2"/>
          </w:tcPr>
          <w:p w14:paraId="6E19D7C9" w14:textId="77777777" w:rsidR="001A16ED" w:rsidRPr="00D96B4B" w:rsidRDefault="001A16ED" w:rsidP="000B596F">
            <w:pPr>
              <w:tabs>
                <w:tab w:val="left" w:pos="993"/>
              </w:tabs>
              <w:rPr>
                <w:rFonts w:ascii="Verdana" w:hAnsi="Verdana"/>
                <w:b/>
                <w:szCs w:val="24"/>
              </w:rPr>
            </w:pPr>
          </w:p>
        </w:tc>
      </w:tr>
      <w:tr w:rsidR="001A16ED" w:rsidRPr="00C324A8" w14:paraId="2DD9E023" w14:textId="77777777" w:rsidTr="00C70164">
        <w:trPr>
          <w:cantSplit/>
          <w:trHeight w:val="23"/>
          <w:jc w:val="center"/>
        </w:trPr>
        <w:tc>
          <w:tcPr>
            <w:tcW w:w="10031" w:type="dxa"/>
            <w:gridSpan w:val="2"/>
          </w:tcPr>
          <w:p w14:paraId="4F69EDF0" w14:textId="77777777" w:rsidR="001A16ED" w:rsidRDefault="001A16ED" w:rsidP="000B596F">
            <w:pPr>
              <w:pStyle w:val="Source"/>
            </w:pPr>
            <w:r>
              <w:t>Member States of the European Conference of Postal and Telecommunications Administrations (CEPT)</w:t>
            </w:r>
          </w:p>
        </w:tc>
      </w:tr>
      <w:tr w:rsidR="001A16ED" w:rsidRPr="00C324A8" w14:paraId="199EDDCE" w14:textId="77777777" w:rsidTr="00C70164">
        <w:trPr>
          <w:cantSplit/>
          <w:trHeight w:val="23"/>
          <w:jc w:val="center"/>
        </w:trPr>
        <w:tc>
          <w:tcPr>
            <w:tcW w:w="10031" w:type="dxa"/>
            <w:gridSpan w:val="2"/>
          </w:tcPr>
          <w:p w14:paraId="1A78714A" w14:textId="77777777" w:rsidR="001A16ED" w:rsidRDefault="001A16ED" w:rsidP="000B596F">
            <w:pPr>
              <w:pStyle w:val="Title1"/>
            </w:pPr>
            <w:r>
              <w:t>PROPOSED SUPPRESSION OF RESOLUTION 158</w:t>
            </w:r>
          </w:p>
        </w:tc>
      </w:tr>
      <w:tr w:rsidR="001A16ED" w:rsidRPr="00C324A8" w14:paraId="3DD622B5" w14:textId="77777777" w:rsidTr="00C70164">
        <w:trPr>
          <w:cantSplit/>
          <w:trHeight w:val="23"/>
          <w:jc w:val="center"/>
        </w:trPr>
        <w:tc>
          <w:tcPr>
            <w:tcW w:w="10031" w:type="dxa"/>
            <w:gridSpan w:val="2"/>
          </w:tcPr>
          <w:p w14:paraId="7EAFEAF8" w14:textId="77777777" w:rsidR="001A16ED" w:rsidRDefault="001A16ED" w:rsidP="000B596F">
            <w:pPr>
              <w:pStyle w:val="Title2"/>
            </w:pPr>
          </w:p>
        </w:tc>
      </w:tr>
      <w:tr w:rsidR="001A16ED" w:rsidRPr="00C324A8" w14:paraId="67335E69" w14:textId="77777777" w:rsidTr="00C70164">
        <w:trPr>
          <w:cantSplit/>
          <w:trHeight w:val="23"/>
          <w:jc w:val="center"/>
        </w:trPr>
        <w:tc>
          <w:tcPr>
            <w:tcW w:w="10031" w:type="dxa"/>
            <w:gridSpan w:val="2"/>
          </w:tcPr>
          <w:p w14:paraId="5AFE41E9" w14:textId="77777777" w:rsidR="001A16ED" w:rsidRDefault="001A16ED" w:rsidP="000B596F">
            <w:pPr>
              <w:pStyle w:val="Agendaitem"/>
            </w:pPr>
          </w:p>
        </w:tc>
      </w:tr>
      <w:bookmarkEnd w:id="6"/>
      <w:bookmarkEnd w:id="7"/>
    </w:tbl>
    <w:p w14:paraId="38B9C906" w14:textId="77777777" w:rsidR="001A16ED" w:rsidRDefault="001A16ED" w:rsidP="00AB2D04"/>
    <w:p w14:paraId="4A61ADB7" w14:textId="77777777" w:rsidR="0008540E" w:rsidRPr="0008540E" w:rsidRDefault="001A16ED" w:rsidP="00004F8B">
      <w:r>
        <w:br w:type="page"/>
      </w:r>
    </w:p>
    <w:p w14:paraId="20522AB6" w14:textId="77777777" w:rsidR="00CB7520" w:rsidRDefault="002F72BF">
      <w:pPr>
        <w:pStyle w:val="Proposal"/>
      </w:pPr>
      <w:r>
        <w:lastRenderedPageBreak/>
        <w:t>SUP</w:t>
      </w:r>
      <w:r>
        <w:tab/>
        <w:t>EUR/75A47/1</w:t>
      </w:r>
    </w:p>
    <w:p w14:paraId="0B3D4ACF" w14:textId="77777777" w:rsidR="002F72BF" w:rsidRPr="00B66444" w:rsidRDefault="002F72BF" w:rsidP="002D6687">
      <w:pPr>
        <w:pStyle w:val="ResNo"/>
        <w:rPr>
          <w:lang w:val="en-US"/>
        </w:rPr>
      </w:pPr>
      <w:r w:rsidRPr="00B66444">
        <w:rPr>
          <w:lang w:val="en-US"/>
        </w:rPr>
        <w:t xml:space="preserve">RESOLUTION </w:t>
      </w:r>
      <w:r w:rsidRPr="00B66444">
        <w:rPr>
          <w:rStyle w:val="href"/>
        </w:rPr>
        <w:t>158</w:t>
      </w:r>
      <w:r w:rsidRPr="00B66444">
        <w:rPr>
          <w:lang w:val="en-US"/>
        </w:rPr>
        <w:t xml:space="preserve"> (REV. BUSAN, 2014)</w:t>
      </w:r>
    </w:p>
    <w:p w14:paraId="496B8DA3" w14:textId="77777777" w:rsidR="002F72BF" w:rsidRPr="00B66444" w:rsidRDefault="002F72BF" w:rsidP="007F4EDE">
      <w:pPr>
        <w:pStyle w:val="Restitle"/>
      </w:pPr>
      <w:r w:rsidRPr="00B66444">
        <w:t>Financial issues for consideration by the Council</w:t>
      </w:r>
    </w:p>
    <w:p w14:paraId="3E258706" w14:textId="77777777" w:rsidR="002F72BF" w:rsidRPr="00B66444" w:rsidRDefault="002F72BF" w:rsidP="007F4EDE">
      <w:pPr>
        <w:pStyle w:val="Normalaftertitle"/>
      </w:pPr>
      <w:r w:rsidRPr="00B66444">
        <w:t>The Plenipotentiary Conference of the International Telecommunication Union (Busan, 2014),</w:t>
      </w:r>
    </w:p>
    <w:p w14:paraId="059BAC40" w14:textId="77777777" w:rsidR="00525102" w:rsidRDefault="002F72BF" w:rsidP="00E74167">
      <w:pPr>
        <w:pStyle w:val="Reasons"/>
        <w:rPr>
          <w:bCs/>
        </w:rPr>
      </w:pPr>
      <w:r>
        <w:rPr>
          <w:b/>
        </w:rPr>
        <w:t>Reasons:</w:t>
      </w:r>
      <w:r>
        <w:tab/>
      </w:r>
      <w:r w:rsidR="00E74167">
        <w:rPr>
          <w:bCs/>
        </w:rPr>
        <w:t>R</w:t>
      </w:r>
      <w:r w:rsidR="00E74167" w:rsidRPr="005A3D1B">
        <w:rPr>
          <w:bCs/>
        </w:rPr>
        <w:t xml:space="preserve">esolution 158 (Rev. Busan, 2014) acknowledges, amongst other things, the need to increase the revenue of the Union by developing new financial mechanisms which could include new products and revising cost-recovery revenues. With a view to Council 2017, Secretariat developed a comprehensive plan that included these efforts: </w:t>
      </w:r>
      <w:hyperlink r:id="rId12" w:history="1">
        <w:r w:rsidR="00E74167" w:rsidRPr="005A3D1B">
          <w:rPr>
            <w:rStyle w:val="Hyperlink"/>
            <w:bCs/>
          </w:rPr>
          <w:t>[67</w:t>
        </w:r>
        <w:proofErr w:type="gramStart"/>
        <w:r w:rsidR="00E74167" w:rsidRPr="005A3D1B">
          <w:rPr>
            <w:rStyle w:val="Hyperlink"/>
            <w:bCs/>
          </w:rPr>
          <w:t>]  Improving</w:t>
        </w:r>
        <w:proofErr w:type="gramEnd"/>
        <w:r w:rsidR="00E74167" w:rsidRPr="005A3D1B">
          <w:rPr>
            <w:rStyle w:val="Hyperlink"/>
            <w:bCs/>
          </w:rPr>
          <w:t xml:space="preserve"> the stability and predictability of the financial base of the Union</w:t>
        </w:r>
      </w:hyperlink>
      <w:r w:rsidR="00E74167" w:rsidRPr="005A3D1B">
        <w:rPr>
          <w:bCs/>
        </w:rPr>
        <w:t>. Council 2017 endorsed the plan (the principles outlined in Annex 1 of Document C17/67) as the basis for improving the stability and the predictability of the financial base of the Union.</w:t>
      </w:r>
    </w:p>
    <w:p w14:paraId="36CA5F26" w14:textId="402BB93D" w:rsidR="00E74167" w:rsidRPr="005A3D1B" w:rsidRDefault="00E74167" w:rsidP="00525102">
      <w:r w:rsidRPr="005A3D1B">
        <w:t xml:space="preserve">It is proposed that </w:t>
      </w:r>
      <w:r w:rsidRPr="005A3D1B">
        <w:rPr>
          <w:b/>
          <w:bCs/>
        </w:rPr>
        <w:t xml:space="preserve">Resolution 158 (Rev. Busan, 2014) should be suppressed </w:t>
      </w:r>
      <w:r w:rsidRPr="005A3D1B">
        <w:t>because it is superfluous (duplicative, obsolete):</w:t>
      </w:r>
    </w:p>
    <w:p w14:paraId="0CB10941" w14:textId="2B5F1547" w:rsidR="00E74167" w:rsidRPr="005A3D1B" w:rsidRDefault="00CC28E7" w:rsidP="004F22F9">
      <w:pPr>
        <w:pStyle w:val="enumlev1"/>
        <w:rPr>
          <w:lang w:val="en-US"/>
        </w:rPr>
      </w:pPr>
      <w:r>
        <w:rPr>
          <w:rFonts w:cs="Calibri"/>
          <w:lang w:val="en-US"/>
        </w:rPr>
        <w:t>–</w:t>
      </w:r>
      <w:r>
        <w:rPr>
          <w:lang w:val="en-US"/>
        </w:rPr>
        <w:tab/>
      </w:r>
      <w:r w:rsidR="00E74167" w:rsidRPr="005A3D1B">
        <w:rPr>
          <w:lang w:val="en-US"/>
        </w:rPr>
        <w:t xml:space="preserve">The Secretariate is driving forward a “resource mobilization strategy” as part of ITU’s transformation plan (ITU Council 2026 document C26/73 </w:t>
      </w:r>
      <w:hyperlink r:id="rId13" w:history="1">
        <w:r w:rsidR="00E74167" w:rsidRPr="005A3D1B">
          <w:rPr>
            <w:rStyle w:val="Hyperlink"/>
          </w:rPr>
          <w:t>Update on implementation of ITU's resource mobilization strategy</w:t>
        </w:r>
      </w:hyperlink>
      <w:r w:rsidR="00E74167" w:rsidRPr="005A3D1B">
        <w:rPr>
          <w:lang w:val="en-US"/>
        </w:rPr>
        <w:t>.) Secretariate refers to Decision 5 as the basis of the mandate to develop an ITU-wide resource mobilization strategy – and not Resolution 158 (Rev. Busan, 2014).</w:t>
      </w:r>
    </w:p>
    <w:p w14:paraId="7EBCAAEC" w14:textId="6CB36CFB" w:rsidR="00E74167" w:rsidRPr="005A3D1B" w:rsidRDefault="00525102" w:rsidP="004F22F9">
      <w:pPr>
        <w:pStyle w:val="enumlev1"/>
      </w:pPr>
      <w:r>
        <w:rPr>
          <w:rFonts w:cs="Calibri"/>
          <w:lang w:val="en-US"/>
        </w:rPr>
        <w:t>–</w:t>
      </w:r>
      <w:r>
        <w:rPr>
          <w:lang w:val="en-US"/>
        </w:rPr>
        <w:tab/>
      </w:r>
      <w:r w:rsidR="00E74167" w:rsidRPr="005A3D1B">
        <w:t xml:space="preserve">In relation with the participation of Sector Members, PP-18 adopted a new </w:t>
      </w:r>
      <w:hyperlink r:id="rId14" w:history="1">
        <w:r w:rsidR="00E74167" w:rsidRPr="005A3D1B">
          <w:rPr>
            <w:rStyle w:val="Hyperlink"/>
          </w:rPr>
          <w:t>Resolution 209 on “Encouraging the participation of small and medium enterprises in the work of the Union”</w:t>
        </w:r>
      </w:hyperlink>
      <w:r w:rsidR="00E74167" w:rsidRPr="005A3D1B">
        <w:t>.</w:t>
      </w:r>
    </w:p>
    <w:p w14:paraId="26F6154C" w14:textId="3A68BC17" w:rsidR="00E74167" w:rsidRDefault="00525102" w:rsidP="004F22F9">
      <w:pPr>
        <w:pStyle w:val="enumlev1"/>
      </w:pPr>
      <w:r>
        <w:rPr>
          <w:rFonts w:cs="Calibri"/>
          <w:lang w:val="en-US"/>
        </w:rPr>
        <w:t>–</w:t>
      </w:r>
      <w:r>
        <w:rPr>
          <w:lang w:val="en-US"/>
        </w:rPr>
        <w:tab/>
      </w:r>
      <w:r w:rsidR="00E74167" w:rsidRPr="005A3D1B">
        <w:t>Cost-saving measures to be implemented by Secretariate that improve the financial outlook of ITU are addressed by Decision 5 as well as various other specific PP Resolutions.</w:t>
      </w:r>
    </w:p>
    <w:p w14:paraId="40B9BEBB" w14:textId="1C17EC95" w:rsidR="00CB7520" w:rsidRDefault="00E74167" w:rsidP="00525102">
      <w:hyperlink r:id="rId15" w:history="1">
        <w:r w:rsidRPr="005A3D1B">
          <w:rPr>
            <w:rStyle w:val="Hyperlink"/>
          </w:rPr>
          <w:t>Resolution 91 on “Cost recovery for some ITU products and services”</w:t>
        </w:r>
      </w:hyperlink>
      <w:r w:rsidRPr="005A3D1B">
        <w:t xml:space="preserve"> is the base for the consideration of generating revenue from the activities or services that are offered by ITU.</w:t>
      </w:r>
    </w:p>
    <w:p w14:paraId="785BA6EA" w14:textId="086CE254" w:rsidR="00E74167" w:rsidRDefault="00E74167" w:rsidP="00E74167">
      <w:pPr>
        <w:jc w:val="center"/>
      </w:pPr>
      <w:r>
        <w:t>_______________________________</w:t>
      </w:r>
    </w:p>
    <w:sectPr w:rsidR="00E74167">
      <w:headerReference w:type="even" r:id="rId16"/>
      <w:headerReference w:type="default" r:id="rId17"/>
      <w:footerReference w:type="even" r:id="rId18"/>
      <w:footerReference w:type="default" r:id="rId19"/>
      <w:headerReference w:type="first" r:id="rId20"/>
      <w:footerReference w:type="first" r:id="rId2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B22E0" w14:textId="77777777" w:rsidR="00420918" w:rsidRDefault="00420918">
      <w:r>
        <w:separator/>
      </w:r>
    </w:p>
  </w:endnote>
  <w:endnote w:type="continuationSeparator" w:id="0">
    <w:p w14:paraId="02776CC2" w14:textId="77777777" w:rsidR="00420918" w:rsidRDefault="00420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0AE0D" w14:textId="77777777" w:rsidR="00FD62D9" w:rsidRDefault="00FD62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66139" w14:textId="77777777" w:rsidR="00FD62D9" w:rsidRDefault="00FD62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886CC"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8D6E1" w14:textId="77777777" w:rsidR="00420918" w:rsidRDefault="00420918">
      <w:r>
        <w:t>____________________</w:t>
      </w:r>
    </w:p>
  </w:footnote>
  <w:footnote w:type="continuationSeparator" w:id="0">
    <w:p w14:paraId="10601E19" w14:textId="77777777" w:rsidR="00420918" w:rsidRDefault="004209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CD29" w14:textId="77777777" w:rsidR="00FD62D9" w:rsidRDefault="00FD62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69D6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F2274C1" w14:textId="77777777" w:rsidR="00CE1B90" w:rsidRDefault="00CE1B90" w:rsidP="004F7925">
    <w:pPr>
      <w:pStyle w:val="Header"/>
    </w:pPr>
    <w:r>
      <w:t>PP</w:t>
    </w:r>
    <w:r w:rsidR="000235EC">
      <w:t>2</w:t>
    </w:r>
    <w:r w:rsidR="00EF3B7A">
      <w:t>6</w:t>
    </w:r>
    <w:r>
      <w:t>/75(Add.47)-E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B444D" w14:textId="77777777" w:rsidR="00FD62D9" w:rsidRDefault="00FD62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5BA"/>
    <w:multiLevelType w:val="hybridMultilevel"/>
    <w:tmpl w:val="94CCBC3A"/>
    <w:lvl w:ilvl="0" w:tplc="CFA6A9B2">
      <w:start w:val="1"/>
      <w:numFmt w:val="bullet"/>
      <w:lvlText w:val="-"/>
      <w:lvlJc w:val="left"/>
      <w:pPr>
        <w:ind w:left="720" w:hanging="360"/>
      </w:pPr>
      <w:rPr>
        <w:rFonts w:ascii="Calibri" w:hAnsi="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798837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76CCB"/>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2F72BF"/>
    <w:rsid w:val="00304228"/>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E52EE"/>
    <w:rsid w:val="003F0763"/>
    <w:rsid w:val="003F2121"/>
    <w:rsid w:val="003F2E54"/>
    <w:rsid w:val="003F5771"/>
    <w:rsid w:val="004014B0"/>
    <w:rsid w:val="004059B0"/>
    <w:rsid w:val="00420918"/>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60D6"/>
    <w:rsid w:val="004C73C9"/>
    <w:rsid w:val="004E01FA"/>
    <w:rsid w:val="004E6764"/>
    <w:rsid w:val="004F041D"/>
    <w:rsid w:val="004F1C55"/>
    <w:rsid w:val="004F22F9"/>
    <w:rsid w:val="004F7925"/>
    <w:rsid w:val="00504FE5"/>
    <w:rsid w:val="00507348"/>
    <w:rsid w:val="00522C97"/>
    <w:rsid w:val="00525102"/>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416"/>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E7136"/>
    <w:rsid w:val="008F2C56"/>
    <w:rsid w:val="008F3C99"/>
    <w:rsid w:val="00900D5B"/>
    <w:rsid w:val="009236FE"/>
    <w:rsid w:val="00925405"/>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D186C"/>
    <w:rsid w:val="009D5CAA"/>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520"/>
    <w:rsid w:val="00CB7795"/>
    <w:rsid w:val="00CB77D5"/>
    <w:rsid w:val="00CC14F0"/>
    <w:rsid w:val="00CC28E7"/>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74167"/>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62D9"/>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D5E1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character" w:styleId="BookTitle">
    <w:name w:val="Book Title"/>
    <w:basedOn w:val="DefaultParagraphFont"/>
    <w:uiPriority w:val="33"/>
    <w:qFormat/>
    <w:rsid w:val="00FD62D9"/>
    <w:rPr>
      <w:b/>
      <w:bCs/>
      <w:i/>
      <w:iCs/>
      <w:spacing w:val="5"/>
    </w:rPr>
  </w:style>
  <w:style w:type="paragraph" w:styleId="Caption">
    <w:name w:val="caption"/>
    <w:basedOn w:val="Normal"/>
    <w:next w:val="Normal"/>
    <w:semiHidden/>
    <w:unhideWhenUsed/>
    <w:qFormat/>
    <w:rsid w:val="00FD62D9"/>
    <w:pPr>
      <w:spacing w:before="0" w:after="200"/>
    </w:pPr>
    <w:rPr>
      <w:i/>
      <w:iCs/>
      <w:color w:val="1F497D" w:themeColor="text2"/>
      <w:sz w:val="18"/>
      <w:szCs w:val="18"/>
    </w:rPr>
  </w:style>
  <w:style w:type="character" w:styleId="Emphasis">
    <w:name w:val="Emphasis"/>
    <w:basedOn w:val="DefaultParagraphFont"/>
    <w:qFormat/>
    <w:rsid w:val="00FD62D9"/>
    <w:rPr>
      <w:i/>
      <w:iCs/>
    </w:rPr>
  </w:style>
  <w:style w:type="character" w:styleId="IntenseEmphasis">
    <w:name w:val="Intense Emphasis"/>
    <w:basedOn w:val="DefaultParagraphFont"/>
    <w:uiPriority w:val="21"/>
    <w:qFormat/>
    <w:rsid w:val="00FD62D9"/>
    <w:rPr>
      <w:i/>
      <w:iCs/>
      <w:color w:val="4F81BD" w:themeColor="accent1"/>
    </w:rPr>
  </w:style>
  <w:style w:type="paragraph" w:styleId="IntenseQuote">
    <w:name w:val="Intense Quote"/>
    <w:basedOn w:val="Normal"/>
    <w:next w:val="Normal"/>
    <w:link w:val="IntenseQuoteChar"/>
    <w:uiPriority w:val="30"/>
    <w:qFormat/>
    <w:rsid w:val="00FD62D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D62D9"/>
    <w:rPr>
      <w:rFonts w:ascii="Calibri" w:hAnsi="Calibri"/>
      <w:i/>
      <w:iCs/>
      <w:color w:val="4F81BD" w:themeColor="accent1"/>
      <w:sz w:val="24"/>
      <w:lang w:val="en-GB" w:eastAsia="en-US"/>
    </w:rPr>
  </w:style>
  <w:style w:type="character" w:styleId="IntenseReference">
    <w:name w:val="Intense Reference"/>
    <w:basedOn w:val="DefaultParagraphFont"/>
    <w:uiPriority w:val="32"/>
    <w:qFormat/>
    <w:rsid w:val="00FD62D9"/>
    <w:rPr>
      <w:b/>
      <w:bCs/>
      <w:smallCaps/>
      <w:color w:val="4F81BD" w:themeColor="accent1"/>
      <w:spacing w:val="5"/>
    </w:rPr>
  </w:style>
  <w:style w:type="paragraph" w:styleId="ListParagraph">
    <w:name w:val="List Paragraph"/>
    <w:basedOn w:val="Normal"/>
    <w:uiPriority w:val="34"/>
    <w:qFormat/>
    <w:rsid w:val="00FD62D9"/>
    <w:pPr>
      <w:ind w:left="720"/>
      <w:contextualSpacing/>
    </w:pPr>
  </w:style>
  <w:style w:type="paragraph" w:styleId="NoSpacing">
    <w:name w:val="No Spacing"/>
    <w:uiPriority w:val="1"/>
    <w:qFormat/>
    <w:rsid w:val="00FD62D9"/>
    <w:pPr>
      <w:tabs>
        <w:tab w:val="left" w:pos="567"/>
        <w:tab w:val="left" w:pos="1134"/>
        <w:tab w:val="left" w:pos="1701"/>
        <w:tab w:val="left" w:pos="2268"/>
        <w:tab w:val="left" w:pos="2835"/>
      </w:tabs>
      <w:overflowPunct w:val="0"/>
      <w:autoSpaceDE w:val="0"/>
      <w:autoSpaceDN w:val="0"/>
      <w:adjustRightInd w:val="0"/>
      <w:textAlignment w:val="baseline"/>
    </w:pPr>
    <w:rPr>
      <w:rFonts w:ascii="Calibri" w:hAnsi="Calibri"/>
      <w:sz w:val="24"/>
      <w:lang w:val="en-GB" w:eastAsia="en-US"/>
    </w:rPr>
  </w:style>
  <w:style w:type="paragraph" w:styleId="Quote">
    <w:name w:val="Quote"/>
    <w:basedOn w:val="Normal"/>
    <w:next w:val="Normal"/>
    <w:link w:val="QuoteChar"/>
    <w:uiPriority w:val="29"/>
    <w:qFormat/>
    <w:rsid w:val="00FD62D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D62D9"/>
    <w:rPr>
      <w:rFonts w:ascii="Calibri" w:hAnsi="Calibri"/>
      <w:i/>
      <w:iCs/>
      <w:color w:val="404040" w:themeColor="text1" w:themeTint="BF"/>
      <w:sz w:val="24"/>
      <w:lang w:val="en-GB" w:eastAsia="en-US"/>
    </w:rPr>
  </w:style>
  <w:style w:type="character" w:styleId="Strong">
    <w:name w:val="Strong"/>
    <w:basedOn w:val="DefaultParagraphFont"/>
    <w:qFormat/>
    <w:rsid w:val="00FD62D9"/>
    <w:rPr>
      <w:b/>
      <w:bCs/>
    </w:rPr>
  </w:style>
  <w:style w:type="paragraph" w:styleId="Subtitle">
    <w:name w:val="Subtitle"/>
    <w:basedOn w:val="Normal"/>
    <w:next w:val="Normal"/>
    <w:link w:val="SubtitleChar"/>
    <w:qFormat/>
    <w:rsid w:val="00FD62D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D62D9"/>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FD62D9"/>
    <w:rPr>
      <w:i/>
      <w:iCs/>
      <w:color w:val="404040" w:themeColor="text1" w:themeTint="BF"/>
    </w:rPr>
  </w:style>
  <w:style w:type="character" w:styleId="SubtleReference">
    <w:name w:val="Subtle Reference"/>
    <w:basedOn w:val="DefaultParagraphFont"/>
    <w:uiPriority w:val="31"/>
    <w:qFormat/>
    <w:rsid w:val="00FD62D9"/>
    <w:rPr>
      <w:smallCaps/>
      <w:color w:val="5A5A5A" w:themeColor="text1" w:themeTint="A5"/>
    </w:rPr>
  </w:style>
  <w:style w:type="paragraph" w:styleId="Title">
    <w:name w:val="Title"/>
    <w:basedOn w:val="Normal"/>
    <w:next w:val="Normal"/>
    <w:link w:val="TitleChar"/>
    <w:qFormat/>
    <w:rsid w:val="00FD62D9"/>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D62D9"/>
    <w:rPr>
      <w:rFonts w:asciiTheme="majorHAnsi" w:eastAsiaTheme="majorEastAsia" w:hAnsiTheme="majorHAnsi" w:cstheme="majorBidi"/>
      <w:spacing w:val="-10"/>
      <w:kern w:val="28"/>
      <w:sz w:val="56"/>
      <w:szCs w:val="56"/>
      <w:lang w:val="en-GB" w:eastAsia="en-US"/>
    </w:rPr>
  </w:style>
  <w:style w:type="paragraph" w:styleId="TOCHeading">
    <w:name w:val="TOC Heading"/>
    <w:basedOn w:val="Heading1"/>
    <w:next w:val="Normal"/>
    <w:uiPriority w:val="39"/>
    <w:semiHidden/>
    <w:unhideWhenUsed/>
    <w:qFormat/>
    <w:rsid w:val="00FD62D9"/>
    <w:pPr>
      <w:spacing w:before="240"/>
      <w:ind w:left="0" w:firstLine="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S26-CL-C-0073/en" TargetMode="External"/><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itu.int/md/S17-CL-C-0067/en" TargetMode="External"/><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tu.int/en/council/Documents/basic-texts/RES-091-E.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s://www.itu.int/en/council/Documents/basic-texts/RES-209-E.pdf"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S26-PP-C-0075!A47!MSW-E</DPM_x0020_File_x0020_name>
    <DPM_x0020_Version xmlns="dc5f4597-23c4-4169-8205-76c12bdd62f4">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0EA7B1-FACB-4A1C-A877-71B668BBB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F9B4FCE7-E7F6-4584-9E8B-5B2E3AD20B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350</Words>
  <Characters>2033</Characters>
  <Application>Microsoft Office Word</Application>
  <DocSecurity>0</DocSecurity>
  <Lines>53</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S26-PP-C-0075!A47!MSW-E</dc:title>
  <dc:subject>ITU Plenipotentiary Conference (PP-26)</dc:subject>
  <dc:creator>Documents Proposals Manager (DPM)</dc:creator>
  <cp:keywords>DPM_v2026.8.25.1_prod</cp:keywords>
  <cp:lastModifiedBy>GBS-3</cp:lastModifiedBy>
  <cp:revision>11</cp:revision>
  <dcterms:created xsi:type="dcterms:W3CDTF">2026-10-16T07:10:00Z</dcterms:created>
  <dcterms:modified xsi:type="dcterms:W3CDTF">2026-10-16T07:40:00Z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