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2A664AF3" w14:textId="77777777" w:rsidTr="00EC1877">
        <w:trPr>
          <w:cantSplit/>
          <w:jc w:val="center"/>
        </w:trPr>
        <w:tc>
          <w:tcPr>
            <w:tcW w:w="10031" w:type="dxa"/>
            <w:gridSpan w:val="2"/>
            <w:tcMar>
              <w:left w:w="0" w:type="dxa"/>
              <w:right w:w="0" w:type="dxa"/>
            </w:tcMar>
            <w:vAlign w:val="center"/>
          </w:tcPr>
          <w:p w14:paraId="2A195F35"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1ED8FF24" wp14:editId="05C0C9F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4C2A364F" w14:textId="77777777" w:rsidTr="00BD5C12">
        <w:trPr>
          <w:cantSplit/>
          <w:jc w:val="center"/>
        </w:trPr>
        <w:tc>
          <w:tcPr>
            <w:tcW w:w="10031" w:type="dxa"/>
            <w:gridSpan w:val="2"/>
            <w:tcBorders>
              <w:bottom w:val="single" w:sz="12" w:space="0" w:color="71716F"/>
            </w:tcBorders>
          </w:tcPr>
          <w:p w14:paraId="315605D3"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0AF4E728" w14:textId="77777777" w:rsidTr="00EC1877">
        <w:trPr>
          <w:cantSplit/>
          <w:jc w:val="center"/>
        </w:trPr>
        <w:tc>
          <w:tcPr>
            <w:tcW w:w="7229" w:type="dxa"/>
            <w:tcBorders>
              <w:top w:val="single" w:sz="12" w:space="0" w:color="71716F"/>
            </w:tcBorders>
          </w:tcPr>
          <w:p w14:paraId="0A72598E"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5FE262CB" w14:textId="77777777" w:rsidR="00BD1614" w:rsidRPr="002712F9" w:rsidRDefault="00BD1614" w:rsidP="007A47E9">
            <w:pPr>
              <w:spacing w:before="0"/>
              <w:rPr>
                <w:rFonts w:cstheme="minorHAnsi"/>
                <w:szCs w:val="24"/>
                <w:lang w:val="fr-CH"/>
              </w:rPr>
            </w:pPr>
          </w:p>
        </w:tc>
      </w:tr>
      <w:tr w:rsidR="00BD1614" w:rsidRPr="002A6F8F" w14:paraId="79606E28" w14:textId="77777777" w:rsidTr="00CE496F">
        <w:trPr>
          <w:cantSplit/>
          <w:jc w:val="center"/>
        </w:trPr>
        <w:tc>
          <w:tcPr>
            <w:tcW w:w="7229" w:type="dxa"/>
          </w:tcPr>
          <w:p w14:paraId="7054A219"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79DB9E9A" w14:textId="77777777" w:rsidR="00BD1614" w:rsidRPr="00115D2F" w:rsidRDefault="00BD1614" w:rsidP="007A47E9">
            <w:pPr>
              <w:spacing w:before="0"/>
              <w:rPr>
                <w:rFonts w:cstheme="minorHAnsi"/>
                <w:szCs w:val="24"/>
                <w:lang w:val="fr-CH"/>
              </w:rPr>
            </w:pPr>
            <w:r w:rsidRPr="00115D2F">
              <w:rPr>
                <w:rFonts w:cstheme="minorHAnsi"/>
                <w:b/>
                <w:szCs w:val="24"/>
                <w:lang w:val="fr-CH"/>
              </w:rPr>
              <w:t>Addendum 43 au</w:t>
            </w:r>
            <w:r w:rsidRPr="00115D2F">
              <w:rPr>
                <w:rFonts w:cstheme="minorHAnsi"/>
                <w:b/>
                <w:szCs w:val="24"/>
                <w:lang w:val="fr-CH"/>
              </w:rPr>
              <w:br/>
              <w:t>Document 75</w:t>
            </w:r>
            <w:r w:rsidR="005F63BD" w:rsidRPr="00115D2F">
              <w:rPr>
                <w:rFonts w:cstheme="minorHAnsi"/>
                <w:b/>
                <w:szCs w:val="24"/>
                <w:lang w:val="fr-CH"/>
              </w:rPr>
              <w:t>-F</w:t>
            </w:r>
          </w:p>
        </w:tc>
      </w:tr>
      <w:tr w:rsidR="00BD1614" w:rsidRPr="002A6F8F" w14:paraId="686677A9" w14:textId="77777777" w:rsidTr="00CE496F">
        <w:trPr>
          <w:cantSplit/>
          <w:jc w:val="center"/>
        </w:trPr>
        <w:tc>
          <w:tcPr>
            <w:tcW w:w="7229" w:type="dxa"/>
          </w:tcPr>
          <w:p w14:paraId="036EEA3F"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511D3426" w14:textId="77777777" w:rsidR="00BD1614" w:rsidRPr="00115D2F" w:rsidRDefault="00BD1614" w:rsidP="007A47E9">
            <w:pPr>
              <w:spacing w:before="0"/>
              <w:rPr>
                <w:rFonts w:cstheme="minorHAnsi"/>
                <w:b/>
                <w:szCs w:val="24"/>
                <w:lang w:val="fr-CH"/>
              </w:rPr>
            </w:pPr>
            <w:r w:rsidRPr="00115D2F">
              <w:rPr>
                <w:rFonts w:cstheme="minorHAnsi"/>
                <w:b/>
                <w:szCs w:val="24"/>
                <w:lang w:val="fr-CH"/>
              </w:rPr>
              <w:t>14 octobre 2026</w:t>
            </w:r>
          </w:p>
        </w:tc>
      </w:tr>
      <w:tr w:rsidR="00BD1614" w:rsidRPr="002A6F8F" w14:paraId="094AD786" w14:textId="77777777" w:rsidTr="00CE496F">
        <w:trPr>
          <w:cantSplit/>
          <w:jc w:val="center"/>
        </w:trPr>
        <w:tc>
          <w:tcPr>
            <w:tcW w:w="7229" w:type="dxa"/>
          </w:tcPr>
          <w:p w14:paraId="3E0970C7"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0B3848BB" w14:textId="77777777" w:rsidR="00BD1614" w:rsidRPr="00115D2F" w:rsidRDefault="00BD1614" w:rsidP="007A47E9">
            <w:pPr>
              <w:spacing w:before="0"/>
              <w:rPr>
                <w:rFonts w:cstheme="minorHAnsi"/>
                <w:b/>
                <w:szCs w:val="24"/>
                <w:lang w:val="fr-CH"/>
              </w:rPr>
            </w:pPr>
            <w:r w:rsidRPr="00115D2F">
              <w:rPr>
                <w:rFonts w:cstheme="minorHAnsi"/>
                <w:b/>
                <w:szCs w:val="24"/>
                <w:lang w:val="fr-CH"/>
              </w:rPr>
              <w:t>Original: anglais</w:t>
            </w:r>
          </w:p>
        </w:tc>
      </w:tr>
      <w:tr w:rsidR="00BD1614" w:rsidRPr="002A6F8F" w14:paraId="481273BF" w14:textId="77777777" w:rsidTr="002E1AF7">
        <w:trPr>
          <w:cantSplit/>
          <w:jc w:val="center"/>
        </w:trPr>
        <w:tc>
          <w:tcPr>
            <w:tcW w:w="10031" w:type="dxa"/>
            <w:gridSpan w:val="2"/>
          </w:tcPr>
          <w:p w14:paraId="173ADBE4" w14:textId="77777777" w:rsidR="00BD1614" w:rsidRPr="008C10D9" w:rsidRDefault="00BD1614" w:rsidP="007A47E9">
            <w:pPr>
              <w:spacing w:before="0" w:line="240" w:lineRule="atLeast"/>
              <w:rPr>
                <w:rFonts w:cstheme="minorHAnsi"/>
                <w:b/>
                <w:szCs w:val="24"/>
                <w:lang w:val="en-US"/>
              </w:rPr>
            </w:pPr>
          </w:p>
        </w:tc>
      </w:tr>
      <w:tr w:rsidR="00BD1614" w:rsidRPr="002A6F8F" w14:paraId="25D887B7" w14:textId="77777777" w:rsidTr="002E1AF7">
        <w:trPr>
          <w:cantSplit/>
          <w:jc w:val="center"/>
        </w:trPr>
        <w:tc>
          <w:tcPr>
            <w:tcW w:w="10031" w:type="dxa"/>
            <w:gridSpan w:val="2"/>
          </w:tcPr>
          <w:p w14:paraId="06EF4FE4" w14:textId="0C84934C" w:rsidR="00BD1614" w:rsidRPr="009C788A" w:rsidRDefault="00BD1614" w:rsidP="007A47E9">
            <w:pPr>
              <w:pStyle w:val="Source"/>
            </w:pPr>
            <w:bookmarkStart w:id="2" w:name="dsource" w:colFirst="0" w:colLast="0"/>
            <w:bookmarkEnd w:id="1"/>
            <w:r w:rsidRPr="009C788A">
              <w:t xml:space="preserve">États Membres de la Conférence européenne des administrations </w:t>
            </w:r>
            <w:r w:rsidR="007F559C">
              <w:br/>
            </w:r>
            <w:r w:rsidRPr="009C788A">
              <w:t>des postes et télécommunications (CEPT)</w:t>
            </w:r>
          </w:p>
        </w:tc>
      </w:tr>
      <w:tr w:rsidR="00BD1614" w:rsidRPr="009C788A" w14:paraId="3C22471D" w14:textId="77777777" w:rsidTr="002E1AF7">
        <w:trPr>
          <w:cantSplit/>
          <w:jc w:val="center"/>
        </w:trPr>
        <w:tc>
          <w:tcPr>
            <w:tcW w:w="10031" w:type="dxa"/>
            <w:gridSpan w:val="2"/>
          </w:tcPr>
          <w:p w14:paraId="7EDB3F8F" w14:textId="61FFCEAB" w:rsidR="00BD1614" w:rsidRPr="0068186F" w:rsidRDefault="0068186F" w:rsidP="00115D2F">
            <w:pPr>
              <w:pStyle w:val="Title1"/>
            </w:pPr>
            <w:bookmarkStart w:id="3" w:name="dtitle1" w:colFirst="0" w:colLast="0"/>
            <w:bookmarkEnd w:id="2"/>
            <w:r w:rsidRPr="0068186F">
              <w:t xml:space="preserve">projet de nouvelle Résolution: Faire </w:t>
            </w:r>
            <w:r w:rsidRPr="00115D2F">
              <w:t>progresser</w:t>
            </w:r>
            <w:r w:rsidRPr="0068186F">
              <w:t xml:space="preserve"> les systèmes à satellites et appuyer la mise en œuvre du programme Espace 2030</w:t>
            </w:r>
          </w:p>
        </w:tc>
      </w:tr>
      <w:tr w:rsidR="00BD1614" w:rsidRPr="009C788A" w14:paraId="78F08203" w14:textId="77777777" w:rsidTr="002E1AF7">
        <w:trPr>
          <w:cantSplit/>
          <w:jc w:val="center"/>
        </w:trPr>
        <w:tc>
          <w:tcPr>
            <w:tcW w:w="10031" w:type="dxa"/>
            <w:gridSpan w:val="2"/>
          </w:tcPr>
          <w:p w14:paraId="0A0EE83F" w14:textId="77777777" w:rsidR="00BD1614" w:rsidRPr="0068186F" w:rsidRDefault="00BD1614" w:rsidP="007A47E9">
            <w:pPr>
              <w:pStyle w:val="Title2"/>
            </w:pPr>
            <w:bookmarkStart w:id="4" w:name="dtitle2" w:colFirst="0" w:colLast="0"/>
            <w:bookmarkEnd w:id="3"/>
          </w:p>
        </w:tc>
      </w:tr>
      <w:tr w:rsidR="00BD1614" w:rsidRPr="009C788A" w14:paraId="727AD55E" w14:textId="77777777" w:rsidTr="002E1AF7">
        <w:trPr>
          <w:cantSplit/>
          <w:jc w:val="center"/>
        </w:trPr>
        <w:tc>
          <w:tcPr>
            <w:tcW w:w="10031" w:type="dxa"/>
            <w:gridSpan w:val="2"/>
          </w:tcPr>
          <w:p w14:paraId="3DB8B815" w14:textId="77777777" w:rsidR="00BD1614" w:rsidRPr="0068186F" w:rsidRDefault="00BD1614" w:rsidP="007A47E9">
            <w:pPr>
              <w:pStyle w:val="Agendaitem"/>
              <w:rPr>
                <w:lang w:val="fr-FR"/>
              </w:rPr>
            </w:pPr>
            <w:bookmarkStart w:id="5" w:name="dtitle3" w:colFirst="0" w:colLast="0"/>
            <w:bookmarkEnd w:id="4"/>
          </w:p>
        </w:tc>
      </w:tr>
      <w:bookmarkEnd w:id="5"/>
    </w:tbl>
    <w:p w14:paraId="6D586BE2" w14:textId="77777777" w:rsidR="000D15FB" w:rsidRPr="0068186F" w:rsidRDefault="000D15FB" w:rsidP="00E60DA1"/>
    <w:p w14:paraId="742FBD4D" w14:textId="77777777" w:rsidR="00BD1614" w:rsidRPr="0068186F"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68186F">
        <w:br w:type="page"/>
      </w:r>
    </w:p>
    <w:p w14:paraId="667E2B15" w14:textId="77777777" w:rsidR="00EC7E73" w:rsidRDefault="00360270">
      <w:pPr>
        <w:pStyle w:val="Proposal"/>
      </w:pPr>
      <w:r>
        <w:lastRenderedPageBreak/>
        <w:t>ADD</w:t>
      </w:r>
      <w:r>
        <w:tab/>
        <w:t>EUR/75A43/1</w:t>
      </w:r>
    </w:p>
    <w:p w14:paraId="1147A511" w14:textId="77777777" w:rsidR="00EC7E73" w:rsidRDefault="00360270">
      <w:pPr>
        <w:pStyle w:val="ResNo"/>
      </w:pPr>
      <w:r>
        <w:t>Projet de nouvelle Résolution [EUR-1]</w:t>
      </w:r>
    </w:p>
    <w:p w14:paraId="42CAF779" w14:textId="04A0CA64" w:rsidR="00EC7E73" w:rsidRDefault="0068186F" w:rsidP="00115D2F">
      <w:pPr>
        <w:pStyle w:val="Restitle"/>
      </w:pPr>
      <w:r>
        <w:rPr>
          <w:bCs/>
        </w:rPr>
        <w:t xml:space="preserve">Faire progresser les systèmes à satellites et appuyer la </w:t>
      </w:r>
      <w:r w:rsidR="007F559C">
        <w:rPr>
          <w:bCs/>
        </w:rPr>
        <w:br/>
      </w:r>
      <w:r>
        <w:rPr>
          <w:bCs/>
        </w:rPr>
        <w:t>mise en œuvre du programme Espace 2030</w:t>
      </w:r>
    </w:p>
    <w:p w14:paraId="478C08DA" w14:textId="1FAE6553" w:rsidR="0068186F" w:rsidRPr="00CF0EBB" w:rsidRDefault="0068186F" w:rsidP="0068186F">
      <w:pPr>
        <w:pStyle w:val="Normalaftertitle"/>
      </w:pPr>
      <w:r>
        <w:t>La Conférence de plénipotentiaires de l'Union internationale des télécommunications (Doha,</w:t>
      </w:r>
      <w:r w:rsidR="007F559C">
        <w:t> </w:t>
      </w:r>
      <w:r>
        <w:t>2026),</w:t>
      </w:r>
    </w:p>
    <w:p w14:paraId="623C72BA" w14:textId="77777777" w:rsidR="0068186F" w:rsidRPr="00CF0EBB" w:rsidRDefault="0068186F" w:rsidP="0068186F">
      <w:pPr>
        <w:pStyle w:val="Call"/>
      </w:pPr>
      <w:r>
        <w:rPr>
          <w:iCs/>
        </w:rPr>
        <w:t>rappelant</w:t>
      </w:r>
    </w:p>
    <w:p w14:paraId="440A3A1D" w14:textId="77777777" w:rsidR="0068186F" w:rsidRPr="00CF0EBB" w:rsidRDefault="0068186F" w:rsidP="0068186F">
      <w:r>
        <w:rPr>
          <w:i/>
          <w:iCs/>
        </w:rPr>
        <w:t>a)</w:t>
      </w:r>
      <w:r>
        <w:tab/>
        <w:t>la Résolution 70/1 de l'Assemblée générale des Nations Unies, intitulée "Transformer notre monde: le Programme de développement durable à l'horizon 2030";</w:t>
      </w:r>
    </w:p>
    <w:p w14:paraId="57643DA1" w14:textId="77777777" w:rsidR="0068186F" w:rsidRPr="00270A17" w:rsidRDefault="0068186F" w:rsidP="0068186F">
      <w:r>
        <w:rPr>
          <w:i/>
          <w:iCs/>
        </w:rPr>
        <w:t>b)</w:t>
      </w:r>
      <w:r>
        <w:tab/>
        <w:t>la Résolution 139 (Rév. Bucarest, 2022) de la Conférence de plénipotentiaires sur l'utilisation des télécommunications/technologies de l'information et de la communication (TIC) pour réduire la fracture numérique et édifier une société de l'information inclusive;</w:t>
      </w:r>
    </w:p>
    <w:p w14:paraId="3B9D3430" w14:textId="77777777" w:rsidR="0068186F" w:rsidRPr="00270A17" w:rsidRDefault="0068186F" w:rsidP="0068186F">
      <w:r>
        <w:rPr>
          <w:i/>
          <w:iCs/>
        </w:rPr>
        <w:t>c)</w:t>
      </w:r>
      <w:r>
        <w:tab/>
        <w:t>la Résolution 219 (Bucarest, 2022) de la Conférence de plénipotentiaires, intitulée "Viabilité des ressources que constituent le spectre des fréquences radioélectriques et les orbites de satellites associées utilisées par les services spatiaux";</w:t>
      </w:r>
    </w:p>
    <w:p w14:paraId="18E7E218" w14:textId="7D7CA13B" w:rsidR="0068186F" w:rsidRPr="00CF0EBB" w:rsidRDefault="0068186F" w:rsidP="0068186F">
      <w:r>
        <w:rPr>
          <w:i/>
          <w:iCs/>
        </w:rPr>
        <w:t>d)</w:t>
      </w:r>
      <w:r>
        <w:tab/>
        <w:t>la Résolution 76/3 adoptée par l'Assemblée générale des Nations Unies le 25 octobre 2021, intitulée "Le programme "Espace 2030": l'espace comme moteur de développement durable";</w:t>
      </w:r>
    </w:p>
    <w:p w14:paraId="12D95F3B" w14:textId="2F241A8B" w:rsidR="0068186F" w:rsidRPr="00CF0EBB" w:rsidRDefault="0068186F" w:rsidP="0068186F">
      <w:r>
        <w:rPr>
          <w:i/>
          <w:iCs/>
        </w:rPr>
        <w:t>e)</w:t>
      </w:r>
      <w:r>
        <w:tab/>
        <w:t xml:space="preserve">le rôle des </w:t>
      </w:r>
      <w:r w:rsidR="007F559C">
        <w:t>C</w:t>
      </w:r>
      <w:r>
        <w:t xml:space="preserve">onférences mondiales des radiocommunications (CMR) et du Règlement des radiocommunications en tant que cadre reconnu à </w:t>
      </w:r>
      <w:r w:rsidRPr="00057B0F">
        <w:t>l</w:t>
      </w:r>
      <w:r w:rsidR="00057B0F" w:rsidRPr="00057B0F">
        <w:rPr>
          <w:lang w:val="fr-CH"/>
        </w:rPr>
        <w:t>'</w:t>
      </w:r>
      <w:r w:rsidRPr="00057B0F">
        <w:t>é</w:t>
      </w:r>
      <w:r>
        <w:t>chelle mondiale pour le déploiement et l</w:t>
      </w:r>
      <w:r w:rsidR="00057B0F" w:rsidRPr="00057B0F">
        <w:rPr>
          <w:lang w:val="fr-CH"/>
        </w:rPr>
        <w:t>'</w:t>
      </w:r>
      <w:r>
        <w:t>exploitation des systèmes à satellites, y compris l</w:t>
      </w:r>
      <w:r w:rsidR="00057B0F" w:rsidRPr="00057B0F">
        <w:rPr>
          <w:lang w:val="fr-CH"/>
        </w:rPr>
        <w:t>'</w:t>
      </w:r>
      <w:r>
        <w:t>utilisation du spectre des fréquences radioélectriques, les positions orbitales et les procédures de coordination internationale;</w:t>
      </w:r>
    </w:p>
    <w:p w14:paraId="382709DD" w14:textId="77777777" w:rsidR="0068186F" w:rsidRPr="00CF0EBB" w:rsidRDefault="0068186F" w:rsidP="0068186F">
      <w:r>
        <w:rPr>
          <w:i/>
          <w:iCs/>
        </w:rPr>
        <w:t>f)</w:t>
      </w:r>
      <w:r>
        <w:tab/>
        <w:t>le rôle des États Membres pour faire en sorte que leurs systèmes à satellites soient exploités et coordonnés en conformité totale avec le Règlement des radiocommunications,</w:t>
      </w:r>
    </w:p>
    <w:p w14:paraId="4CB23C4D" w14:textId="77777777" w:rsidR="0068186F" w:rsidRPr="00CF0EBB" w:rsidRDefault="0068186F" w:rsidP="0068186F">
      <w:pPr>
        <w:pStyle w:val="Call"/>
      </w:pPr>
      <w:r>
        <w:rPr>
          <w:iCs/>
        </w:rPr>
        <w:t>reconnaissant</w:t>
      </w:r>
    </w:p>
    <w:p w14:paraId="6CC027B8" w14:textId="4D24A888" w:rsidR="0068186F" w:rsidRPr="00CF0EBB" w:rsidRDefault="0068186F" w:rsidP="0068186F">
      <w:r>
        <w:rPr>
          <w:i/>
          <w:iCs/>
        </w:rPr>
        <w:t>a)</w:t>
      </w:r>
      <w:r>
        <w:tab/>
        <w:t xml:space="preserve">que l'UIT, en sa qualité d'institution spécialisée des Nations Unies pour les télécommunications/TIC, joue un rôle important dans la promotion des questions relatives aux télécommunications/TIC et </w:t>
      </w:r>
      <w:r w:rsidR="005B6C1A">
        <w:t xml:space="preserve">des </w:t>
      </w:r>
      <w:r>
        <w:t>questions de développement connexes à l'échelle internationale</w:t>
      </w:r>
      <w:r w:rsidR="00C71A06">
        <w:t>,</w:t>
      </w:r>
      <w:r>
        <w:t xml:space="preserve"> </w:t>
      </w:r>
      <w:r w:rsidR="00C71A06">
        <w:t xml:space="preserve">en favorisant </w:t>
      </w:r>
      <w:r>
        <w:t xml:space="preserve">un environnement propice au développement des télécommunications/TIC, et </w:t>
      </w:r>
      <w:r w:rsidR="00C71A06">
        <w:t xml:space="preserve">en contribuant à </w:t>
      </w:r>
      <w:r>
        <w:t>la réalisation des Objectifs de développement durable (ODD) en facilit</w:t>
      </w:r>
      <w:r w:rsidR="00C71A06">
        <w:t>ant</w:t>
      </w:r>
      <w:r>
        <w:t xml:space="preserve"> l'accès de tous aux télécommunication</w:t>
      </w:r>
      <w:r w:rsidR="00316B80">
        <w:t>s</w:t>
      </w:r>
      <w:r>
        <w:t>/TIC;</w:t>
      </w:r>
    </w:p>
    <w:p w14:paraId="22C09E34" w14:textId="517AF93B" w:rsidR="0068186F" w:rsidRPr="00CF0EBB" w:rsidRDefault="0068186F" w:rsidP="0068186F">
      <w:r>
        <w:rPr>
          <w:i/>
          <w:iCs/>
        </w:rPr>
        <w:t>b)</w:t>
      </w:r>
      <w:r>
        <w:tab/>
        <w:t>que les systèmes à satellites, y compris les constellations en orbite géostationnaire (OSG), en orbite non géostationnaire (non OSG) et hybrides, constituent un élément essentiel de l</w:t>
      </w:r>
      <w:r w:rsidR="00057B0F" w:rsidRPr="00057B0F">
        <w:rPr>
          <w:lang w:val="fr-CH"/>
        </w:rPr>
        <w:t>'</w:t>
      </w:r>
      <w:r>
        <w:t>écosystème mondial des télécommunications/TIC;</w:t>
      </w:r>
    </w:p>
    <w:p w14:paraId="5281FB25" w14:textId="67E14E13" w:rsidR="0068186F" w:rsidRPr="00CF0EBB" w:rsidRDefault="0068186F" w:rsidP="0068186F">
      <w:r>
        <w:rPr>
          <w:i/>
          <w:iCs/>
        </w:rPr>
        <w:t>c)</w:t>
      </w:r>
      <w:r>
        <w:tab/>
        <w:t xml:space="preserve">que l'article 44 de la Constitution de l'UIT, relatif à l'utilisation du spectre des fréquences radioélectriques ainsi que de l'orbite des satellites géostationnaires et d'autres orbites de satellites, dispose que </w:t>
      </w:r>
      <w:r w:rsidR="00C71A06">
        <w:t>"</w:t>
      </w:r>
      <w:r>
        <w:t xml:space="preserve">les fréquences radioélectriques et les orbites associées, y compris l'orbite des satellites géostationnaires, sont des ressources naturelles limitées qui doivent être utilisées de manière rationnelle, efficace et économique, conformément aux dispositions du Règlement des </w:t>
      </w:r>
      <w:r>
        <w:lastRenderedPageBreak/>
        <w:t>radiocommunications, afin de permettre un accès équitable des différents pays, ou groupes de pays à ces orbites et à ces fréquences, compte tenu des besoins spéciaux des pays en développement et de la situation géographique de certains pays</w:t>
      </w:r>
      <w:r w:rsidR="00C71A06">
        <w:t>"</w:t>
      </w:r>
      <w:r>
        <w:t>;</w:t>
      </w:r>
    </w:p>
    <w:p w14:paraId="5F8C9481" w14:textId="1EA5DE5D" w:rsidR="0068186F" w:rsidRPr="00CF0EBB" w:rsidRDefault="0068186F" w:rsidP="0068186F">
      <w:r>
        <w:rPr>
          <w:i/>
          <w:iCs/>
        </w:rPr>
        <w:t>d)</w:t>
      </w:r>
      <w:r>
        <w:tab/>
        <w:t xml:space="preserve">que </w:t>
      </w:r>
      <w:r w:rsidR="006911C0">
        <w:t>l'augmentation</w:t>
      </w:r>
      <w:r>
        <w:t xml:space="preserve"> du nombre et de l'ampleur des systèmes à satellites </w:t>
      </w:r>
      <w:r w:rsidR="00CE137B">
        <w:t>met en évidence</w:t>
      </w:r>
      <w:r>
        <w:t xml:space="preserve"> l</w:t>
      </w:r>
      <w:r w:rsidR="00057B0F" w:rsidRPr="00057B0F">
        <w:rPr>
          <w:lang w:val="fr-CH"/>
        </w:rPr>
        <w:t>'</w:t>
      </w:r>
      <w:r>
        <w:t>importance d</w:t>
      </w:r>
      <w:r w:rsidR="00057B0F" w:rsidRPr="00057B0F">
        <w:rPr>
          <w:lang w:val="fr-CH"/>
        </w:rPr>
        <w:t>'</w:t>
      </w:r>
      <w:r>
        <w:t>une utilisation rationnelle, efficace et économique des ressources que constituent le spectre des fréquences radioélectriques et les orbites de satellites associées;</w:t>
      </w:r>
    </w:p>
    <w:p w14:paraId="2F29FF71" w14:textId="1AA51D73" w:rsidR="0068186F" w:rsidRPr="00CF0EBB" w:rsidRDefault="0068186F" w:rsidP="0068186F">
      <w:r>
        <w:rPr>
          <w:i/>
          <w:iCs/>
        </w:rPr>
        <w:t>e)</w:t>
      </w:r>
      <w:r>
        <w:tab/>
        <w:t>que les progrès accomplis dans le domaine des technologies de télécommunication/TIC satellitaires et spatiales et leur intégration avec les réseaux de Terre ouvrent de nouvelles perspectives en matière de connectivité large bande, de mobilité, de communications d</w:t>
      </w:r>
      <w:r w:rsidR="00057B0F" w:rsidRPr="00057B0F">
        <w:rPr>
          <w:lang w:val="fr-CH"/>
        </w:rPr>
        <w:t>'</w:t>
      </w:r>
      <w:r>
        <w:t>urgence, de surveillance de l</w:t>
      </w:r>
      <w:r w:rsidR="00057B0F" w:rsidRPr="00057B0F">
        <w:rPr>
          <w:lang w:val="fr-CH"/>
        </w:rPr>
        <w:t>'</w:t>
      </w:r>
      <w:r>
        <w:t>environnement et de services numériques;</w:t>
      </w:r>
    </w:p>
    <w:p w14:paraId="79395F13" w14:textId="3CFC9A02" w:rsidR="0068186F" w:rsidRPr="00CF0EBB" w:rsidRDefault="0068186F" w:rsidP="0068186F">
      <w:r>
        <w:rPr>
          <w:i/>
          <w:iCs/>
        </w:rPr>
        <w:t>f)</w:t>
      </w:r>
      <w:r>
        <w:tab/>
        <w:t>que la participation des États Membres et des Membres de Secteur aux travaux des commissions d</w:t>
      </w:r>
      <w:r w:rsidR="00057B0F" w:rsidRPr="00057B0F">
        <w:rPr>
          <w:lang w:val="fr-CH"/>
        </w:rPr>
        <w:t>'</w:t>
      </w:r>
      <w:r>
        <w:t>études du Secteur des radiocommunications de l</w:t>
      </w:r>
      <w:r w:rsidR="00057B0F" w:rsidRPr="00057B0F">
        <w:rPr>
          <w:lang w:val="fr-CH"/>
        </w:rPr>
        <w:t>'</w:t>
      </w:r>
      <w:r>
        <w:t>UIT (UIT-R), du Secteur de la normalisation des télécommunications de l</w:t>
      </w:r>
      <w:r w:rsidR="00057B0F" w:rsidRPr="00057B0F">
        <w:rPr>
          <w:lang w:val="fr-CH"/>
        </w:rPr>
        <w:t>'</w:t>
      </w:r>
      <w:r>
        <w:t>UIT (UIT-T) et du Secteur du développement des télécommunications de l</w:t>
      </w:r>
      <w:r w:rsidR="00057B0F" w:rsidRPr="00057B0F">
        <w:rPr>
          <w:lang w:val="fr-CH"/>
        </w:rPr>
        <w:t>'</w:t>
      </w:r>
      <w:r>
        <w:t>UIT (UIT-D) favorise une compréhension commune, l</w:t>
      </w:r>
      <w:r w:rsidR="00057B0F" w:rsidRPr="00057B0F">
        <w:rPr>
          <w:lang w:val="fr-CH"/>
        </w:rPr>
        <w:t>'</w:t>
      </w:r>
      <w:r>
        <w:t>interopérabilité et l</w:t>
      </w:r>
      <w:r w:rsidR="00057B0F" w:rsidRPr="00057B0F">
        <w:rPr>
          <w:lang w:val="fr-CH"/>
        </w:rPr>
        <w:t>'</w:t>
      </w:r>
      <w:r>
        <w:t>innovation;</w:t>
      </w:r>
    </w:p>
    <w:p w14:paraId="2901519E" w14:textId="5E13BC62" w:rsidR="0068186F" w:rsidRPr="00CF0EBB" w:rsidRDefault="0068186F" w:rsidP="0068186F">
      <w:r>
        <w:rPr>
          <w:i/>
          <w:iCs/>
        </w:rPr>
        <w:t>g)</w:t>
      </w:r>
      <w:r>
        <w:tab/>
        <w:t>que l</w:t>
      </w:r>
      <w:r w:rsidR="00057B0F" w:rsidRPr="00057B0F">
        <w:rPr>
          <w:lang w:val="fr-CH"/>
        </w:rPr>
        <w:t>'</w:t>
      </w:r>
      <w:r>
        <w:t>UIT-R, y compris dans le cadre des CMR, du Comité du Règlement des radiocommunications et des commissions d</w:t>
      </w:r>
      <w:r w:rsidR="00057B0F" w:rsidRPr="00057B0F">
        <w:rPr>
          <w:lang w:val="fr-CH"/>
        </w:rPr>
        <w:t>'</w:t>
      </w:r>
      <w:r>
        <w:t>études et groupes de travail concernés, dispose d'un mandat exclusif au sein de l</w:t>
      </w:r>
      <w:r w:rsidR="00057B0F" w:rsidRPr="00057B0F">
        <w:rPr>
          <w:lang w:val="fr-CH"/>
        </w:rPr>
        <w:t>'</w:t>
      </w:r>
      <w:r>
        <w:t>UIT pour les questions relatives à l</w:t>
      </w:r>
      <w:r w:rsidR="00057B0F" w:rsidRPr="00057B0F">
        <w:rPr>
          <w:lang w:val="fr-CH"/>
        </w:rPr>
        <w:t>'</w:t>
      </w:r>
      <w:r>
        <w:t>utilisation du spectre des fréquences radioélectriques et des orbites de satellites associées, y compris la coordination des fréquences, la notification et l'enregistrement des réseaux à satellite;</w:t>
      </w:r>
    </w:p>
    <w:p w14:paraId="32A4DBAA" w14:textId="77777777" w:rsidR="0068186F" w:rsidRPr="00CF0EBB" w:rsidRDefault="0068186F" w:rsidP="0068186F">
      <w:r>
        <w:rPr>
          <w:i/>
          <w:iCs/>
        </w:rPr>
        <w:t>h)</w:t>
      </w:r>
      <w:r>
        <w:tab/>
        <w:t>que les pays en développement, les pays les moins avancés (PMA), les petits États insulaires en développement (PEID) et les pays en développement sans littoral (PDSL) manquent de ressources et de connaissances spécialisées pour faire face aux difficultés que présentent les processus de coordination;</w:t>
      </w:r>
    </w:p>
    <w:p w14:paraId="798BC43F" w14:textId="39144BE9" w:rsidR="0068186F" w:rsidRPr="00CF0EBB" w:rsidRDefault="0068186F" w:rsidP="0068186F">
      <w:r>
        <w:rPr>
          <w:i/>
          <w:iCs/>
        </w:rPr>
        <w:t>i)</w:t>
      </w:r>
      <w:r>
        <w:tab/>
        <w:t>qu</w:t>
      </w:r>
      <w:r w:rsidR="00883561">
        <w:t>'aux termes de</w:t>
      </w:r>
      <w:r>
        <w:t xml:space="preserve"> </w:t>
      </w:r>
      <w:r w:rsidR="00883561">
        <w:t xml:space="preserve">la </w:t>
      </w:r>
      <w:r>
        <w:t>Résolution 2 (Rév.CMR-03)</w:t>
      </w:r>
      <w:r w:rsidR="00883561">
        <w:t xml:space="preserve"> de la CMR</w:t>
      </w:r>
      <w:r>
        <w:t xml:space="preserve">, </w:t>
      </w:r>
      <w:r w:rsidR="00883561">
        <w:t xml:space="preserve">il </w:t>
      </w:r>
      <w:r>
        <w:t xml:space="preserve">a </w:t>
      </w:r>
      <w:r w:rsidR="00883561">
        <w:t xml:space="preserve">été </w:t>
      </w:r>
      <w:r>
        <w:t>décidé que "l'enregistrement au Bureau des radiocommunications des assignations de fréquence pour les services de radiocommunication spatiale et l'utilisation de ces assignations ne confèrent aucune priorité permanente à tel ou tel pays ou groupe de pays et ne font en aucun cas obstacle à la création de systèmes spatiaux par d'autres pays",</w:t>
      </w:r>
    </w:p>
    <w:p w14:paraId="01F4ADA3" w14:textId="77777777" w:rsidR="0068186F" w:rsidRPr="00CF0EBB" w:rsidRDefault="0068186F" w:rsidP="0068186F">
      <w:pPr>
        <w:pStyle w:val="Call"/>
      </w:pPr>
      <w:r>
        <w:rPr>
          <w:iCs/>
        </w:rPr>
        <w:t>notant</w:t>
      </w:r>
    </w:p>
    <w:p w14:paraId="22B5E65C" w14:textId="0D1D6B66" w:rsidR="0068186F" w:rsidRPr="0040694C" w:rsidRDefault="0068186F" w:rsidP="0068186F">
      <w:r>
        <w:rPr>
          <w:i/>
          <w:iCs/>
        </w:rPr>
        <w:t>a)</w:t>
      </w:r>
      <w:r>
        <w:tab/>
        <w:t xml:space="preserve">que de nombreuses parties prenantes mettent au point et déploient activement des systèmes à satellites et des réseaux de télécommunication/TIC de Terre et spatiaux </w:t>
      </w:r>
      <w:r w:rsidR="00883561">
        <w:t>issus de la convergence</w:t>
      </w:r>
      <w:r>
        <w:t>, dans le cadre de leurs mandats respectifs;</w:t>
      </w:r>
    </w:p>
    <w:p w14:paraId="37532E58" w14:textId="03A3A3BA" w:rsidR="0068186F" w:rsidRPr="00CF0EBB" w:rsidRDefault="0068186F" w:rsidP="0068186F">
      <w:r>
        <w:rPr>
          <w:i/>
          <w:iCs/>
        </w:rPr>
        <w:t>b)</w:t>
      </w:r>
      <w:r>
        <w:tab/>
        <w:t xml:space="preserve">que des travaux relatifs aux systèmes à satellites sont déjà </w:t>
      </w:r>
      <w:r w:rsidR="00857585">
        <w:t>menés</w:t>
      </w:r>
      <w:r>
        <w:t xml:space="preserve"> à l</w:t>
      </w:r>
      <w:r w:rsidR="007F43AC" w:rsidRPr="00057B0F">
        <w:rPr>
          <w:lang w:val="fr-CH"/>
        </w:rPr>
        <w:t>'</w:t>
      </w:r>
      <w:r>
        <w:t xml:space="preserve">UIT, notamment dans le cadre des CMR, des </w:t>
      </w:r>
      <w:r w:rsidR="00AA4853">
        <w:t>a</w:t>
      </w:r>
      <w:r w:rsidR="00AA4853" w:rsidRPr="00AA4853">
        <w:t>ssemblées mondiales de normalisation des télécommunications</w:t>
      </w:r>
      <w:r>
        <w:t xml:space="preserve">, des </w:t>
      </w:r>
      <w:r w:rsidR="00AA4853">
        <w:t>c</w:t>
      </w:r>
      <w:r w:rsidR="00AA4853" w:rsidRPr="00AA4853">
        <w:t>onférences mondiales de développement des télécommunications</w:t>
      </w:r>
      <w:r>
        <w:t>, des commissions d</w:t>
      </w:r>
      <w:r w:rsidR="007F43AC" w:rsidRPr="00057B0F">
        <w:rPr>
          <w:lang w:val="fr-CH"/>
        </w:rPr>
        <w:t>'</w:t>
      </w:r>
      <w:r>
        <w:t>études, des groupes spécialisés, des ateliers et des activités de renforcement des capacités dans les trois</w:t>
      </w:r>
      <w:r w:rsidR="007F559C">
        <w:t> </w:t>
      </w:r>
      <w:r>
        <w:t>Secteurs;</w:t>
      </w:r>
    </w:p>
    <w:p w14:paraId="0D25A510" w14:textId="48DE7EC0" w:rsidR="0068186F" w:rsidRPr="00CF0EBB" w:rsidRDefault="0068186F" w:rsidP="0068186F">
      <w:r>
        <w:rPr>
          <w:i/>
          <w:iCs/>
        </w:rPr>
        <w:t>c)</w:t>
      </w:r>
      <w:r>
        <w:tab/>
        <w:t xml:space="preserve">que </w:t>
      </w:r>
      <w:r w:rsidR="00AA4853">
        <w:t xml:space="preserve">le déploiement efficace des </w:t>
      </w:r>
      <w:r>
        <w:t xml:space="preserve">systèmes à satellites </w:t>
      </w:r>
      <w:r w:rsidR="00AA4853">
        <w:t>passe par</w:t>
      </w:r>
      <w:r>
        <w:t xml:space="preserve"> </w:t>
      </w:r>
      <w:r w:rsidR="00AA4853">
        <w:t xml:space="preserve">une </w:t>
      </w:r>
      <w:r>
        <w:t xml:space="preserve">coordination internationale effectuée conformément au Règlement des radiocommunications, </w:t>
      </w:r>
      <w:r w:rsidR="00AA4853">
        <w:t xml:space="preserve">par </w:t>
      </w:r>
      <w:r>
        <w:t>l'échange d</w:t>
      </w:r>
      <w:r w:rsidR="00EE606C" w:rsidRPr="00057B0F">
        <w:rPr>
          <w:lang w:val="fr-CH"/>
        </w:rPr>
        <w:t>'</w:t>
      </w:r>
      <w:r>
        <w:t xml:space="preserve">informations et </w:t>
      </w:r>
      <w:r w:rsidR="00AA4853">
        <w:t xml:space="preserve">par </w:t>
      </w:r>
      <w:r w:rsidR="00857585">
        <w:t>des</w:t>
      </w:r>
      <w:r>
        <w:t xml:space="preserve"> approches interopérables;</w:t>
      </w:r>
    </w:p>
    <w:p w14:paraId="783A080A" w14:textId="755B8B11" w:rsidR="0068186F" w:rsidRPr="00CF0EBB" w:rsidRDefault="0068186F" w:rsidP="0068186F">
      <w:r>
        <w:rPr>
          <w:i/>
          <w:iCs/>
        </w:rPr>
        <w:t>d)</w:t>
      </w:r>
      <w:r>
        <w:tab/>
        <w:t>qu</w:t>
      </w:r>
      <w:r w:rsidR="00EE606C" w:rsidRPr="00057B0F">
        <w:rPr>
          <w:lang w:val="fr-CH"/>
        </w:rPr>
        <w:t>'</w:t>
      </w:r>
      <w:r>
        <w:t>un accès viable et à long terme aux ressources spectrales et orbitales reste essentiel pour les services spatiaux,</w:t>
      </w:r>
    </w:p>
    <w:p w14:paraId="65534E6F" w14:textId="77777777" w:rsidR="0068186F" w:rsidRPr="00CF0EBB" w:rsidRDefault="0068186F" w:rsidP="0068186F">
      <w:pPr>
        <w:pStyle w:val="Call"/>
      </w:pPr>
      <w:r>
        <w:rPr>
          <w:iCs/>
        </w:rPr>
        <w:lastRenderedPageBreak/>
        <w:t>considérant</w:t>
      </w:r>
    </w:p>
    <w:p w14:paraId="47F4DA41" w14:textId="17BA9CA8" w:rsidR="0068186F" w:rsidRPr="00CF0EBB" w:rsidRDefault="0068186F" w:rsidP="0068186F">
      <w:r>
        <w:rPr>
          <w:i/>
          <w:iCs/>
        </w:rPr>
        <w:t>a)</w:t>
      </w:r>
      <w:r>
        <w:tab/>
        <w:t>q</w:t>
      </w:r>
      <w:r w:rsidR="00EE606C">
        <w:t>u</w:t>
      </w:r>
      <w:r w:rsidR="00EE606C" w:rsidRPr="00057B0F">
        <w:rPr>
          <w:lang w:val="fr-CH"/>
        </w:rPr>
        <w:t>'</w:t>
      </w:r>
      <w:r>
        <w:t xml:space="preserve">un écosystème des télécommunications/TIC </w:t>
      </w:r>
      <w:r w:rsidR="00857585">
        <w:t xml:space="preserve">intégré et convergent </w:t>
      </w:r>
      <w:r>
        <w:t>associant des réseaux de télécommunication/TIC de Terre et spatiaux favorise l</w:t>
      </w:r>
      <w:r w:rsidR="00EE606C" w:rsidRPr="00057B0F">
        <w:rPr>
          <w:lang w:val="fr-CH"/>
        </w:rPr>
        <w:t>'</w:t>
      </w:r>
      <w:r>
        <w:t>innovation, la résilience et la connectivité inclusive;</w:t>
      </w:r>
    </w:p>
    <w:p w14:paraId="1765D8F7" w14:textId="77777777" w:rsidR="0068186F" w:rsidRPr="00CF0EBB" w:rsidRDefault="0068186F" w:rsidP="0068186F">
      <w:r>
        <w:rPr>
          <w:i/>
          <w:iCs/>
        </w:rPr>
        <w:t>b)</w:t>
      </w:r>
      <w:r>
        <w:tab/>
        <w:t>que les systèmes à satellites jouent un rôle important au quotidien, notamment dans les domaines de la radiodiffusion, des communications, de la navigation, de l'observation et de la surveillance, de la science et de la recherche;</w:t>
      </w:r>
    </w:p>
    <w:p w14:paraId="39413E0B" w14:textId="5F0A3F14" w:rsidR="0068186F" w:rsidRPr="00CF0EBB" w:rsidRDefault="0068186F" w:rsidP="0068186F">
      <w:r>
        <w:rPr>
          <w:i/>
          <w:iCs/>
        </w:rPr>
        <w:t>c)</w:t>
      </w:r>
      <w:r>
        <w:tab/>
        <w:t>que les systèmes à satellites émergents et la convergence entre les technologies de télécommunication/TIC de Terre et spatiales offrent des possibilités d</w:t>
      </w:r>
      <w:r w:rsidR="00EE606C" w:rsidRPr="00057B0F">
        <w:rPr>
          <w:lang w:val="fr-CH"/>
        </w:rPr>
        <w:t>'</w:t>
      </w:r>
      <w:r>
        <w:t>améliorer la connectivité dans les zones isolées, rurales et mal desservies, ainsi que la qualité de fonctionnement, la qualité de service, l</w:t>
      </w:r>
      <w:r w:rsidR="00EE606C" w:rsidRPr="00057B0F">
        <w:rPr>
          <w:lang w:val="fr-CH"/>
        </w:rPr>
        <w:t>'</w:t>
      </w:r>
      <w:r>
        <w:t>accessibilité financière et la polyvalence;</w:t>
      </w:r>
    </w:p>
    <w:p w14:paraId="16F5FC52" w14:textId="77777777" w:rsidR="0068186F" w:rsidRPr="00CF0EBB" w:rsidRDefault="0068186F" w:rsidP="0068186F">
      <w:r>
        <w:rPr>
          <w:i/>
          <w:iCs/>
        </w:rPr>
        <w:t>d)</w:t>
      </w:r>
      <w:r>
        <w:tab/>
        <w:t>que le Règlement des radiocommunications établit le cadre réglementaire pour le déploiement et l'exploitation des systèmes à satellites, y compris l'utilisation du spectre des fréquences radioélectriques et des ressources orbitales associées;</w:t>
      </w:r>
    </w:p>
    <w:p w14:paraId="75DDA4D6" w14:textId="7BEA5A37" w:rsidR="0068186F" w:rsidRPr="00B663E3" w:rsidRDefault="0068186F" w:rsidP="0068186F">
      <w:r>
        <w:rPr>
          <w:i/>
          <w:iCs/>
        </w:rPr>
        <w:t>e)</w:t>
      </w:r>
      <w:r>
        <w:tab/>
        <w:t>que les États Membres, les Membres de Secteur et les autres membres de l</w:t>
      </w:r>
      <w:r w:rsidR="00EE606C" w:rsidRPr="00057B0F">
        <w:rPr>
          <w:lang w:val="fr-CH"/>
        </w:rPr>
        <w:t>'</w:t>
      </w:r>
      <w:r>
        <w:t>Union apportent une expérience et des compétences spécialisées précieuses en ce qui concerne les satellites et la convergence entre les systèmes de télécommunication/TIC de Terre et spatiaux;</w:t>
      </w:r>
    </w:p>
    <w:p w14:paraId="530997C8" w14:textId="1F7857E2" w:rsidR="0068186F" w:rsidRPr="00CF0EBB" w:rsidRDefault="0068186F" w:rsidP="0068186F">
      <w:r>
        <w:rPr>
          <w:i/>
          <w:iCs/>
        </w:rPr>
        <w:t>f)</w:t>
      </w:r>
      <w:r>
        <w:tab/>
        <w:t xml:space="preserve">que les technologies satellitaires et les architectures de réseau évoluent et progressent constamment grâce </w:t>
      </w:r>
      <w:r w:rsidR="005C62F5">
        <w:t>au développement</w:t>
      </w:r>
      <w:r>
        <w:t xml:space="preserve"> de</w:t>
      </w:r>
      <w:r w:rsidR="005C62F5">
        <w:t>s</w:t>
      </w:r>
      <w:r>
        <w:t xml:space="preserve"> dispositions réglementaires et techniques relatives aux satellites dans le cadre du processus établi des CMR,</w:t>
      </w:r>
    </w:p>
    <w:p w14:paraId="3210BF2E" w14:textId="77777777" w:rsidR="0068186F" w:rsidRPr="00CF0EBB" w:rsidRDefault="0068186F" w:rsidP="0068186F">
      <w:pPr>
        <w:pStyle w:val="Call"/>
      </w:pPr>
      <w:r>
        <w:rPr>
          <w:iCs/>
        </w:rPr>
        <w:t>décide</w:t>
      </w:r>
    </w:p>
    <w:p w14:paraId="4783144A" w14:textId="089B5E8D" w:rsidR="0068186F" w:rsidRPr="00CF0EBB" w:rsidRDefault="0068186F" w:rsidP="0068186F">
      <w:r>
        <w:t>que l'UIT, dans le cadre de son mandat et de ses compétences fondamentales</w:t>
      </w:r>
      <w:r w:rsidR="00A7549C">
        <w:t>, doit</w:t>
      </w:r>
      <w:r>
        <w:t>:</w:t>
      </w:r>
    </w:p>
    <w:p w14:paraId="0AAE26CA" w14:textId="61CB3D6B" w:rsidR="0068186F" w:rsidRPr="0034732C" w:rsidRDefault="0068186F" w:rsidP="0068186F">
      <w:r>
        <w:t>1</w:t>
      </w:r>
      <w:r>
        <w:tab/>
        <w:t>veiller à ce que tous les travaux concernant l</w:t>
      </w:r>
      <w:r w:rsidR="00EE606C">
        <w:t>'</w:t>
      </w:r>
      <w:r>
        <w:t>élaboration, l</w:t>
      </w:r>
      <w:r w:rsidR="00EE606C">
        <w:t>'</w:t>
      </w:r>
      <w:r>
        <w:t>amélioration et l</w:t>
      </w:r>
      <w:r w:rsidR="00EE606C">
        <w:t>'</w:t>
      </w:r>
      <w:r>
        <w:t>adaptation des dispositions réglementaires régissant les systèmes à satellites, l</w:t>
      </w:r>
      <w:r w:rsidR="00EE606C">
        <w:t>'</w:t>
      </w:r>
      <w:r>
        <w:t>attribution et l</w:t>
      </w:r>
      <w:r w:rsidR="00EE606C">
        <w:t>'</w:t>
      </w:r>
      <w:r>
        <w:t>utilisation du spectre, les ressources orbitales associées et la coordination des fréquences radioélectriques relèvent exclusivement de la compétence de l</w:t>
      </w:r>
      <w:r w:rsidR="00EE606C">
        <w:t>'</w:t>
      </w:r>
      <w:r>
        <w:t>UIT-R et du cadre établi par les CMR et le Règlement des radiocommunications;</w:t>
      </w:r>
    </w:p>
    <w:p w14:paraId="5612C6EF" w14:textId="0866946D" w:rsidR="0068186F" w:rsidRPr="009F046C" w:rsidRDefault="0068186F" w:rsidP="0068186F">
      <w:r>
        <w:t>2</w:t>
      </w:r>
      <w:r>
        <w:tab/>
        <w:t>appuyer la mise en œuvre du programme "Espace 2030", compte tenu du rôle unique de l</w:t>
      </w:r>
      <w:r w:rsidR="00EE606C">
        <w:t>'</w:t>
      </w:r>
      <w:r>
        <w:t>U</w:t>
      </w:r>
      <w:r w:rsidR="00A7549C">
        <w:t>nion</w:t>
      </w:r>
      <w:r>
        <w:t xml:space="preserve"> en </w:t>
      </w:r>
      <w:r w:rsidR="00B21AB4">
        <w:t>matière d'a</w:t>
      </w:r>
      <w:r>
        <w:t>ccès au spectre des fréquences radioélectriques et aux orbites de satellites associées, conformément à l</w:t>
      </w:r>
      <w:r w:rsidR="00EE606C">
        <w:t>'</w:t>
      </w:r>
      <w:r>
        <w:t>article 44 de la Constitution, et en accordant une attention particulière aux pays en développement, aux PMA, aux PEID et aux PDSL;</w:t>
      </w:r>
    </w:p>
    <w:p w14:paraId="29669777" w14:textId="154A2482" w:rsidR="0068186F" w:rsidRPr="00CF0EBB" w:rsidRDefault="0068186F" w:rsidP="0068186F">
      <w:r>
        <w:t>3</w:t>
      </w:r>
      <w:r>
        <w:tab/>
        <w:t>faire en sorte que l</w:t>
      </w:r>
      <w:r w:rsidR="00EE606C">
        <w:t>'</w:t>
      </w:r>
      <w:r>
        <w:t>UIT-R, par l</w:t>
      </w:r>
      <w:r w:rsidR="00EE606C">
        <w:t>'</w:t>
      </w:r>
      <w:r>
        <w:t>intermédiaire de ses commissions d</w:t>
      </w:r>
      <w:r w:rsidR="00EE606C">
        <w:t>'</w:t>
      </w:r>
      <w:r>
        <w:t>études et de ses groupes de travail, conserve le rôle principal sur les plans technique et réglementaire au sein de l</w:t>
      </w:r>
      <w:r w:rsidR="00EE606C">
        <w:t>'</w:t>
      </w:r>
      <w:r>
        <w:t>UIT pour toutes les questions relatives aux radiocommunications par satellite, et que les travaux de l</w:t>
      </w:r>
      <w:r w:rsidR="00EE606C">
        <w:t>'</w:t>
      </w:r>
      <w:r>
        <w:t>UIT</w:t>
      </w:r>
      <w:r w:rsidR="00A02B0B">
        <w:noBreakHyphen/>
      </w:r>
      <w:r>
        <w:t>T et de l</w:t>
      </w:r>
      <w:r w:rsidR="00EE606C">
        <w:t>'</w:t>
      </w:r>
      <w:r>
        <w:t>UIT-D au titre de la présente Résolution restent complémentaires aux travaux de l</w:t>
      </w:r>
      <w:r w:rsidR="00EE606C">
        <w:t>'</w:t>
      </w:r>
      <w:r>
        <w:t>UIT-R et évitent de faire double emploi ou de les remplacer;</w:t>
      </w:r>
    </w:p>
    <w:p w14:paraId="5FCD857F" w14:textId="19A8B3A0" w:rsidR="0068186F" w:rsidRPr="00CF0EBB" w:rsidRDefault="0068186F" w:rsidP="0068186F">
      <w:r>
        <w:t>4</w:t>
      </w:r>
      <w:r>
        <w:tab/>
        <w:t>poursuivre les travaux relatifs aux systèmes à satellites et à la convergence entre les télécommunications/TIC de Terre et spatiales, y compris les études, l</w:t>
      </w:r>
      <w:r w:rsidR="00EE606C">
        <w:t>'</w:t>
      </w:r>
      <w:r>
        <w:t>échange d</w:t>
      </w:r>
      <w:r w:rsidR="00EE606C">
        <w:t>'</w:t>
      </w:r>
      <w:r>
        <w:t>informations et le renforcement des capacités;</w:t>
      </w:r>
    </w:p>
    <w:p w14:paraId="6A874E19" w14:textId="27F4074B" w:rsidR="0068186F" w:rsidRPr="00CF0EBB" w:rsidRDefault="0068186F" w:rsidP="0068186F">
      <w:r>
        <w:t>5</w:t>
      </w:r>
      <w:r>
        <w:tab/>
        <w:t>encourager l</w:t>
      </w:r>
      <w:r w:rsidR="00EE606C">
        <w:t>'</w:t>
      </w:r>
      <w:r>
        <w:t xml:space="preserve">innovation, la résilience et le développement durable dans un écosystème des télécommunications/TIC de Terre et spatiales </w:t>
      </w:r>
      <w:r w:rsidR="001B6EC3">
        <w:t>issu de la convergence</w:t>
      </w:r>
      <w:r>
        <w:t>;</w:t>
      </w:r>
    </w:p>
    <w:p w14:paraId="63CC03AD" w14:textId="58BFACA7" w:rsidR="0068186F" w:rsidRPr="00CF0EBB" w:rsidRDefault="0068186F" w:rsidP="0068186F">
      <w:r>
        <w:lastRenderedPageBreak/>
        <w:t>6</w:t>
      </w:r>
      <w:r>
        <w:tab/>
        <w:t>encourager la coopération entre l</w:t>
      </w:r>
      <w:r w:rsidR="00EE606C">
        <w:t>'</w:t>
      </w:r>
      <w:r>
        <w:t>UIT-R, l</w:t>
      </w:r>
      <w:r w:rsidR="00EE606C">
        <w:t>'</w:t>
      </w:r>
      <w:r>
        <w:t>UIT-T et l</w:t>
      </w:r>
      <w:r w:rsidR="00EE606C">
        <w:t>'</w:t>
      </w:r>
      <w:r>
        <w:t>UIT-D, en conformité avec leurs mandats respectifs;</w:t>
      </w:r>
    </w:p>
    <w:p w14:paraId="24B5E196" w14:textId="4D35F352" w:rsidR="0068186F" w:rsidRPr="00CF0EBB" w:rsidRDefault="0068186F" w:rsidP="0068186F">
      <w:r>
        <w:t>7</w:t>
      </w:r>
      <w:r>
        <w:tab/>
      </w:r>
      <w:r w:rsidR="00AF1DA6">
        <w:t xml:space="preserve">favoriser </w:t>
      </w:r>
      <w:r>
        <w:t xml:space="preserve">la large participation des </w:t>
      </w:r>
      <w:r w:rsidR="00A7549C">
        <w:t>États</w:t>
      </w:r>
      <w:r>
        <w:t xml:space="preserve"> Membres, des Membres de Secteur et des autres membres de l</w:t>
      </w:r>
      <w:r w:rsidR="00EE606C">
        <w:t>'</w:t>
      </w:r>
      <w:r>
        <w:t>Union aux travaux des commissions d</w:t>
      </w:r>
      <w:r w:rsidR="00EE606C">
        <w:t>'</w:t>
      </w:r>
      <w:r>
        <w:t xml:space="preserve">études </w:t>
      </w:r>
      <w:r w:rsidR="00AF1DA6">
        <w:t xml:space="preserve">concernées </w:t>
      </w:r>
      <w:r>
        <w:t>des trois Secteurs,</w:t>
      </w:r>
    </w:p>
    <w:p w14:paraId="709BF3E2" w14:textId="77777777" w:rsidR="0068186F" w:rsidRPr="00CF0EBB" w:rsidRDefault="0068186F" w:rsidP="0068186F">
      <w:pPr>
        <w:pStyle w:val="Call"/>
      </w:pPr>
      <w:r>
        <w:rPr>
          <w:iCs/>
        </w:rPr>
        <w:t>charge le Secrétaire général, en consultation avec les Directeurs des trois Bureaux</w:t>
      </w:r>
    </w:p>
    <w:p w14:paraId="29E80E61" w14:textId="6DC5C4F8" w:rsidR="0068186F" w:rsidRPr="00CF0EBB" w:rsidRDefault="0068186F" w:rsidP="0068186F">
      <w:r>
        <w:t>1</w:t>
      </w:r>
      <w:r>
        <w:tab/>
        <w:t>de coordonner les activités de l</w:t>
      </w:r>
      <w:r w:rsidR="00EE606C">
        <w:t>'</w:t>
      </w:r>
      <w:r>
        <w:t>Union relatives aux systèmes à satellites et à la convergence entre les écosystèmes des télécommunications/TIC de Terre et spatiales;</w:t>
      </w:r>
    </w:p>
    <w:p w14:paraId="467C5AA8" w14:textId="77777777" w:rsidR="0068186F" w:rsidRPr="00CF0EBB" w:rsidRDefault="0068186F" w:rsidP="0068186F">
      <w:r>
        <w:t>2</w:t>
      </w:r>
      <w:r>
        <w:tab/>
        <w:t>de favoriser des écosystèmes des télécommunications/TIC robustes qui assurent la convergence des réseaux et services à satellite et de Terre;</w:t>
      </w:r>
    </w:p>
    <w:p w14:paraId="2BAEBA72" w14:textId="5C435E75" w:rsidR="0068186F" w:rsidRPr="00CF0EBB" w:rsidRDefault="0068186F" w:rsidP="0068186F">
      <w:r>
        <w:t>3</w:t>
      </w:r>
      <w:r>
        <w:tab/>
        <w:t>de coopérer, dans le cadre du mandat de l</w:t>
      </w:r>
      <w:r w:rsidR="00EE606C">
        <w:t>'</w:t>
      </w:r>
      <w:r>
        <w:t>UIT, avec les institutions des Nations Unies et les organisations internationales concernées sur la connectivité spatiale et le développement durable;</w:t>
      </w:r>
    </w:p>
    <w:p w14:paraId="693371F7" w14:textId="661FA2FA" w:rsidR="0068186F" w:rsidRPr="00CF0EBB" w:rsidRDefault="0068186F" w:rsidP="0068186F">
      <w:r>
        <w:t>4</w:t>
      </w:r>
      <w:r>
        <w:tab/>
        <w:t>de contribuer, selon qu</w:t>
      </w:r>
      <w:r w:rsidR="00EE606C">
        <w:t>'</w:t>
      </w:r>
      <w:r>
        <w:t>il conviendra et dans le cadre du mandat de l</w:t>
      </w:r>
      <w:r w:rsidR="00EE606C">
        <w:t>'</w:t>
      </w:r>
      <w:r>
        <w:t>UIT, aux travaux menés au titre du programme "Espace 2030";</w:t>
      </w:r>
    </w:p>
    <w:p w14:paraId="75A806AA" w14:textId="77777777" w:rsidR="0068186F" w:rsidRPr="00CF0EBB" w:rsidRDefault="0068186F" w:rsidP="0068186F">
      <w:r>
        <w:t>5</w:t>
      </w:r>
      <w:r>
        <w:tab/>
        <w:t>de présenter chaque année au Conseil un rapport sur le rôle de l'UIT dans la mise en œuvre du programme "Espace2030";</w:t>
      </w:r>
    </w:p>
    <w:p w14:paraId="4A14A437" w14:textId="7DEB040B" w:rsidR="0068186F" w:rsidRPr="00CF0EBB" w:rsidRDefault="0068186F" w:rsidP="0068186F">
      <w:r>
        <w:t>6</w:t>
      </w:r>
      <w:r>
        <w:tab/>
        <w:t>d</w:t>
      </w:r>
      <w:r w:rsidR="00EE606C">
        <w:t>'</w:t>
      </w:r>
      <w:r>
        <w:t>encourager l</w:t>
      </w:r>
      <w:r w:rsidR="00EE606C">
        <w:t>'</w:t>
      </w:r>
      <w:r>
        <w:t>échange d</w:t>
      </w:r>
      <w:r w:rsidR="00EE606C">
        <w:t>'</w:t>
      </w:r>
      <w:r>
        <w:t>informations et de données d'expérience, en particulier pour les pays en développement, les PMA, les PEID et les PDSL, sur les déploiements et l'intégration de satellites et les possibilités en la matière, ainsi que sur l</w:t>
      </w:r>
      <w:r w:rsidR="00EE606C">
        <w:t>'</w:t>
      </w:r>
      <w:r>
        <w:t>application du Règlement des radiocommunications;</w:t>
      </w:r>
    </w:p>
    <w:p w14:paraId="14ECA095" w14:textId="77777777" w:rsidR="0068186F" w:rsidRPr="00CF0EBB" w:rsidRDefault="0068186F" w:rsidP="0068186F">
      <w:r>
        <w:t>7</w:t>
      </w:r>
      <w:r>
        <w:tab/>
        <w:t>d'exploiter les possibilités de coopération avec les parties prenantes concernées, notamment le secteur privé, les établissements universitaires et les communautés techniques;</w:t>
      </w:r>
    </w:p>
    <w:p w14:paraId="54D93C5C" w14:textId="77777777" w:rsidR="0068186F" w:rsidRPr="00CF0EBB" w:rsidRDefault="0068186F" w:rsidP="0068186F">
      <w:r>
        <w:t>8</w:t>
      </w:r>
      <w:r>
        <w:tab/>
        <w:t>de renforcer les partenariats et la coopération au niveau mondial entre les États Membres, les entités du système des Nations Unies, les organisations intergouvernementales et non gouvernementales internationales et régionales, les entreprises et les entités du secteur privé, afin de veiller à ce que, dans le cadre d'une action commune et en tirant parti des données d'expérience concrètes et des contributions des différentes parties prenantes, les avantages qu'offre l'espace soient mis à la portée de tous, partout dans le monde;</w:t>
      </w:r>
    </w:p>
    <w:p w14:paraId="2CED7329" w14:textId="77777777" w:rsidR="0068186F" w:rsidRPr="00CF0EBB" w:rsidRDefault="0068186F" w:rsidP="0068186F">
      <w:r>
        <w:t>9</w:t>
      </w:r>
      <w:r>
        <w:tab/>
        <w:t>de promouvoir la coopération en vue de fournir un accès aux avantages qu'offrent les activités spatiales sur les plans scientifique, technologique, économique, social, environnemental et culturel;</w:t>
      </w:r>
    </w:p>
    <w:p w14:paraId="2C67A84A" w14:textId="77777777" w:rsidR="0068186F" w:rsidRPr="00CF0EBB" w:rsidRDefault="0068186F" w:rsidP="0068186F">
      <w:r>
        <w:t>10</w:t>
      </w:r>
      <w:r>
        <w:tab/>
        <w:t>de collaborer avec le Bureau des affaires spatiales de l'Organisation des Nations Unies, autant que possible, pour intensifier les activités de renforcement des capacités en faveur des pays en développement, des PMA, des PEID et des PDSL en ce qui concerne l'application du droit spatial, les sciences et les technologies spatiales et la sensibilisation aux avantages que présente l'espace extra-atmosphérique;</w:t>
      </w:r>
    </w:p>
    <w:p w14:paraId="1FAFE1CC" w14:textId="77777777" w:rsidR="0068186F" w:rsidRPr="00CF0EBB" w:rsidRDefault="0068186F" w:rsidP="0068186F">
      <w:r>
        <w:t>11</w:t>
      </w:r>
      <w:r>
        <w:tab/>
        <w:t>de rendre compte au Conseil des réunions interinstitutions des Nations Unies sur les activités liées à l'espace extra-atmosphérique (ONU-Espace) et des mesures prises pour promouvoir les synergies et éviter tout double emploi en ce qui concerne l'utilisation des technologies spatiales,</w:t>
      </w:r>
    </w:p>
    <w:p w14:paraId="39760A74" w14:textId="77777777" w:rsidR="0068186F" w:rsidRPr="00CF0EBB" w:rsidRDefault="0068186F" w:rsidP="0068186F">
      <w:pPr>
        <w:pStyle w:val="Call"/>
      </w:pPr>
      <w:r>
        <w:rPr>
          <w:iCs/>
        </w:rPr>
        <w:lastRenderedPageBreak/>
        <w:t>charge les Directeurs des trois Bureaux</w:t>
      </w:r>
    </w:p>
    <w:p w14:paraId="007BD897" w14:textId="57CE4679" w:rsidR="0068186F" w:rsidRPr="00AD3D74" w:rsidRDefault="0068186F" w:rsidP="0068186F">
      <w:r>
        <w:t>de continuer d</w:t>
      </w:r>
      <w:r w:rsidR="00EE606C">
        <w:t>'</w:t>
      </w:r>
      <w:r>
        <w:t>appuyer les travaux menés par leurs Secteurs respectifs sur les systèmes à satellites et la convergence entre les télécommunications/TIC de Terre et spatiales, notamment dans le cadre de commissions d</w:t>
      </w:r>
      <w:r w:rsidR="00EE606C">
        <w:t>'</w:t>
      </w:r>
      <w:r>
        <w:t>études, d</w:t>
      </w:r>
      <w:r w:rsidR="00EE606C">
        <w:t>'</w:t>
      </w:r>
      <w:r>
        <w:t>ateliers, de séminaires régionaux, d</w:t>
      </w:r>
      <w:r w:rsidR="00EE606C">
        <w:t>'</w:t>
      </w:r>
      <w:r>
        <w:t>activités d</w:t>
      </w:r>
      <w:r w:rsidR="00EE606C">
        <w:t>'</w:t>
      </w:r>
      <w:r>
        <w:t>échange d</w:t>
      </w:r>
      <w:r w:rsidR="00EE606C">
        <w:t>'</w:t>
      </w:r>
      <w:r>
        <w:t>informations et de renforcement des capacités,</w:t>
      </w:r>
    </w:p>
    <w:p w14:paraId="2A30C12B" w14:textId="77777777" w:rsidR="0068186F" w:rsidRPr="00CF0EBB" w:rsidRDefault="0068186F" w:rsidP="0068186F">
      <w:pPr>
        <w:pStyle w:val="Call"/>
      </w:pPr>
      <w:r>
        <w:rPr>
          <w:iCs/>
        </w:rPr>
        <w:t>charge le Directeur du Bureau des radiocommunications</w:t>
      </w:r>
    </w:p>
    <w:p w14:paraId="2B6F5DD3" w14:textId="0B65B15A" w:rsidR="0068186F" w:rsidRPr="009F046C" w:rsidRDefault="0068186F" w:rsidP="0068186F">
      <w:r>
        <w:t>1</w:t>
      </w:r>
      <w:r>
        <w:tab/>
        <w:t>de continuer d</w:t>
      </w:r>
      <w:r w:rsidR="00EE606C">
        <w:t>'</w:t>
      </w:r>
      <w:r>
        <w:t>appuyer les travaux de l</w:t>
      </w:r>
      <w:r w:rsidR="00EE606C">
        <w:t>'</w:t>
      </w:r>
      <w:r>
        <w:t>UIT-R sur les radiocommunications par satellite, y</w:t>
      </w:r>
      <w:r w:rsidR="00A02B0B">
        <w:t> </w:t>
      </w:r>
      <w:r>
        <w:t>compris les études contribuant aux processus des CMR et à l</w:t>
      </w:r>
      <w:r w:rsidR="00EE606C">
        <w:t>'</w:t>
      </w:r>
      <w:r>
        <w:t>évolution du Règlement des radiocommunications en ce qui concerne l</w:t>
      </w:r>
      <w:r w:rsidR="00EE606C">
        <w:t>'</w:t>
      </w:r>
      <w:r>
        <w:t>utilisation du spectre, les ressources orbitales, la compatibilité, la coordination et les processus de notification;</w:t>
      </w:r>
    </w:p>
    <w:p w14:paraId="6A6F2667" w14:textId="5D10D9DD" w:rsidR="0068186F" w:rsidRPr="00CF0EBB" w:rsidRDefault="0068186F" w:rsidP="0068186F">
      <w:r>
        <w:t>2</w:t>
      </w:r>
      <w:r>
        <w:tab/>
        <w:t>d</w:t>
      </w:r>
      <w:r w:rsidR="00EE606C">
        <w:t>'</w:t>
      </w:r>
      <w:r>
        <w:t xml:space="preserve">aider les </w:t>
      </w:r>
      <w:r w:rsidR="00A7549C">
        <w:t>États</w:t>
      </w:r>
      <w:r>
        <w:t xml:space="preserve"> Membres à résoudre les cas de brouillages préjudiciables, notamment en faisant la promotion des systèmes de surveillance spatiale de l</w:t>
      </w:r>
      <w:r w:rsidR="00EE606C">
        <w:t>'</w:t>
      </w:r>
      <w:r>
        <w:t>UIT et en appuyant les travaux du Comité du Règlement des radiocommunications;</w:t>
      </w:r>
    </w:p>
    <w:p w14:paraId="45212F32" w14:textId="7B83C217" w:rsidR="0068186F" w:rsidRPr="00AD3D74" w:rsidRDefault="0068186F" w:rsidP="0068186F">
      <w:r>
        <w:t>3</w:t>
      </w:r>
      <w:r>
        <w:tab/>
        <w:t>d</w:t>
      </w:r>
      <w:r w:rsidR="00EE606C">
        <w:t>'</w:t>
      </w:r>
      <w:r>
        <w:t>aider les pays en développement, les PMA, les PEID et les PDSL à suivre les procédures prévues dans le Règlement des radiocommunications, afin qu</w:t>
      </w:r>
      <w:r w:rsidR="00EE606C">
        <w:t>'</w:t>
      </w:r>
      <w:r>
        <w:t xml:space="preserve">ils puissent accéder </w:t>
      </w:r>
      <w:r w:rsidR="00497C0F">
        <w:t>sans difficulté</w:t>
      </w:r>
      <w:r>
        <w:t xml:space="preserve"> aux ressources spectrales et orbitales pour les satellites,</w:t>
      </w:r>
    </w:p>
    <w:p w14:paraId="251C775E" w14:textId="77777777" w:rsidR="0068186F" w:rsidRPr="00CF0EBB" w:rsidRDefault="0068186F" w:rsidP="0068186F">
      <w:pPr>
        <w:pStyle w:val="Call"/>
      </w:pPr>
      <w:r>
        <w:rPr>
          <w:iCs/>
        </w:rPr>
        <w:t>invite les États Membres, les Membres de Secteur, les Associés et les établissements universitaires</w:t>
      </w:r>
    </w:p>
    <w:p w14:paraId="501C21B2" w14:textId="5C6DA175" w:rsidR="0068186F" w:rsidRPr="00CF0EBB" w:rsidRDefault="0068186F" w:rsidP="0068186F">
      <w:r>
        <w:t>1</w:t>
      </w:r>
      <w:r>
        <w:tab/>
        <w:t xml:space="preserve">à promouvoir une </w:t>
      </w:r>
      <w:r w:rsidR="00487651">
        <w:t xml:space="preserve">prise de conscience </w:t>
      </w:r>
      <w:r>
        <w:t xml:space="preserve">commune selon laquelle les systèmes à satellites, </w:t>
      </w:r>
      <w:r w:rsidR="00497C0F">
        <w:t>tout comme</w:t>
      </w:r>
      <w:r>
        <w:t xml:space="preserve"> les réseaux de Terre, font partie intégrante de l</w:t>
      </w:r>
      <w:r w:rsidR="00EE606C">
        <w:t>'</w:t>
      </w:r>
      <w:r>
        <w:t>écosystème mondial des télécommunications/TIC;</w:t>
      </w:r>
    </w:p>
    <w:p w14:paraId="62458D9E" w14:textId="1BB68114" w:rsidR="0068186F" w:rsidRPr="00AD3D74" w:rsidRDefault="0068186F" w:rsidP="0068186F">
      <w:r>
        <w:t>2</w:t>
      </w:r>
      <w:r>
        <w:tab/>
        <w:t>à échanger des données d</w:t>
      </w:r>
      <w:r w:rsidR="00EE606C">
        <w:t>'</w:t>
      </w:r>
      <w:r>
        <w:t>expérience et à participer aux discussions internationales sur les systèmes à satellites et la convergence entre les services de télécommunication/TIC de Terre et spatiaux;</w:t>
      </w:r>
    </w:p>
    <w:p w14:paraId="2156CC14" w14:textId="003088F4" w:rsidR="0068186F" w:rsidRPr="00AD3D74" w:rsidRDefault="0068186F" w:rsidP="0068186F">
      <w:r>
        <w:t>3</w:t>
      </w:r>
      <w:r>
        <w:tab/>
        <w:t>à contribuer aux études, à l</w:t>
      </w:r>
      <w:r w:rsidR="00EE606C">
        <w:t>'</w:t>
      </w:r>
      <w:r>
        <w:t>échange d</w:t>
      </w:r>
      <w:r w:rsidR="00EE606C">
        <w:t>'</w:t>
      </w:r>
      <w:r>
        <w:t>informations, au renforcement des capacités et à la normalisation en ce qui concerne les satellites et la convergence entre les technologies de télécommunication/TIC de Terre et spatiales;</w:t>
      </w:r>
    </w:p>
    <w:p w14:paraId="35C34396" w14:textId="6D5865DA" w:rsidR="009C788A" w:rsidRDefault="0068186F" w:rsidP="00A02B0B">
      <w:r w:rsidRPr="00A02B0B">
        <w:t>4</w:t>
      </w:r>
      <w:r w:rsidRPr="00A02B0B">
        <w:tab/>
        <w:t>à participer activement aux travaux des commissions d</w:t>
      </w:r>
      <w:r w:rsidR="00EE606C" w:rsidRPr="00A02B0B">
        <w:t>'</w:t>
      </w:r>
      <w:r w:rsidRPr="00A02B0B">
        <w:t>études de l</w:t>
      </w:r>
      <w:r w:rsidR="00EE606C" w:rsidRPr="00A02B0B">
        <w:t>'</w:t>
      </w:r>
      <w:r w:rsidRPr="00A02B0B">
        <w:t>UIT-R, de l</w:t>
      </w:r>
      <w:r w:rsidR="00EE606C" w:rsidRPr="00A02B0B">
        <w:t>'</w:t>
      </w:r>
      <w:r w:rsidRPr="00A02B0B">
        <w:t>UIT-T et de l</w:t>
      </w:r>
      <w:r w:rsidR="00EE606C" w:rsidRPr="00A02B0B">
        <w:t>'</w:t>
      </w:r>
      <w:r w:rsidRPr="00A02B0B">
        <w:t>UIT</w:t>
      </w:r>
      <w:r w:rsidR="00A02B0B" w:rsidRPr="00A02B0B">
        <w:noBreakHyphen/>
      </w:r>
      <w:r w:rsidRPr="00A02B0B">
        <w:t>D concernant les systèmes à satellites et la convergence entre les télécommunications/TIC de Terre et spatiales.</w:t>
      </w:r>
    </w:p>
    <w:p w14:paraId="36561189" w14:textId="77777777" w:rsidR="00A02B0B" w:rsidRPr="00A02B0B" w:rsidRDefault="00A02B0B" w:rsidP="00A02B0B">
      <w:pPr>
        <w:pStyle w:val="Reasons"/>
      </w:pPr>
    </w:p>
    <w:p w14:paraId="1F049AD9" w14:textId="77777777" w:rsidR="009C788A" w:rsidRDefault="009C788A">
      <w:pPr>
        <w:jc w:val="center"/>
      </w:pPr>
      <w:r>
        <w:t>______________</w:t>
      </w:r>
    </w:p>
    <w:sectPr w:rsidR="009C788A" w:rsidSect="003A0B7D">
      <w:headerReference w:type="default" r:id="rId13"/>
      <w:footerReference w:type="first" r:id="rId14"/>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E8580" w14:textId="77777777" w:rsidR="005F0FD5" w:rsidRDefault="005F0FD5">
      <w:r>
        <w:separator/>
      </w:r>
    </w:p>
  </w:endnote>
  <w:endnote w:type="continuationSeparator" w:id="0">
    <w:p w14:paraId="11633786" w14:textId="77777777" w:rsidR="005F0FD5" w:rsidRDefault="005F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3953"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w:t>
      </w:r>
      <w:r w:rsidRPr="00EF3B7A">
        <w:rPr>
          <w:rStyle w:val="Hyperlink"/>
          <w:color w:val="00A3E0"/>
          <w:sz w:val="22"/>
          <w:szCs w:val="22"/>
          <w:lang w:val="en-GB"/>
        </w:rPr>
        <w:t>t</w:t>
      </w:r>
      <w:r w:rsidRPr="00EF3B7A">
        <w:rPr>
          <w:rStyle w:val="Hyperlink"/>
          <w:color w:val="00A3E0"/>
          <w:sz w:val="22"/>
          <w:szCs w:val="22"/>
          <w:lang w:val="en-GB"/>
        </w:rPr>
        <w: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268DD" w14:textId="77777777" w:rsidR="005F0FD5" w:rsidRDefault="005F0FD5">
      <w:r>
        <w:t>____________________</w:t>
      </w:r>
    </w:p>
  </w:footnote>
  <w:footnote w:type="continuationSeparator" w:id="0">
    <w:p w14:paraId="6E4C39F3" w14:textId="77777777" w:rsidR="005F0FD5" w:rsidRDefault="005F0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45EA"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0163128E" w14:textId="77777777" w:rsidR="00BD1614" w:rsidRDefault="00BD1614" w:rsidP="001E2226">
    <w:pPr>
      <w:pStyle w:val="Header"/>
    </w:pPr>
    <w:r>
      <w:t>PP</w:t>
    </w:r>
    <w:r w:rsidR="002A7A1D">
      <w:t>2</w:t>
    </w:r>
    <w:r w:rsidR="008407A7">
      <w:t>6</w:t>
    </w:r>
    <w:r>
      <w:t>/75(Add.43)-</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1745AF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85CBEE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C8EC8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1549F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5C0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003E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3666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04A6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85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1769EB2"/>
    <w:lvl w:ilvl="0">
      <w:start w:val="1"/>
      <w:numFmt w:val="bullet"/>
      <w:lvlText w:val=""/>
      <w:lvlJc w:val="left"/>
      <w:pPr>
        <w:tabs>
          <w:tab w:val="num" w:pos="360"/>
        </w:tabs>
        <w:ind w:left="360" w:hanging="360"/>
      </w:pPr>
      <w:rPr>
        <w:rFonts w:ascii="Symbol" w:hAnsi="Symbol" w:hint="default"/>
      </w:rPr>
    </w:lvl>
  </w:abstractNum>
  <w:num w:numId="1" w16cid:durableId="698361977">
    <w:abstractNumId w:val="9"/>
  </w:num>
  <w:num w:numId="2" w16cid:durableId="1870602991">
    <w:abstractNumId w:val="7"/>
  </w:num>
  <w:num w:numId="3" w16cid:durableId="199517718">
    <w:abstractNumId w:val="6"/>
  </w:num>
  <w:num w:numId="4" w16cid:durableId="1844543204">
    <w:abstractNumId w:val="5"/>
  </w:num>
  <w:num w:numId="5" w16cid:durableId="1691448024">
    <w:abstractNumId w:val="4"/>
  </w:num>
  <w:num w:numId="6" w16cid:durableId="1907493593">
    <w:abstractNumId w:val="8"/>
  </w:num>
  <w:num w:numId="7" w16cid:durableId="629867127">
    <w:abstractNumId w:val="3"/>
  </w:num>
  <w:num w:numId="8" w16cid:durableId="1918242392">
    <w:abstractNumId w:val="2"/>
  </w:num>
  <w:num w:numId="9" w16cid:durableId="888807703">
    <w:abstractNumId w:val="1"/>
  </w:num>
  <w:num w:numId="10" w16cid:durableId="863130473">
    <w:abstractNumId w:val="0"/>
  </w:num>
  <w:num w:numId="11" w16cid:durableId="899243979">
    <w:abstractNumId w:val="8"/>
  </w:num>
  <w:num w:numId="12" w16cid:durableId="157381086">
    <w:abstractNumId w:val="3"/>
  </w:num>
  <w:num w:numId="13" w16cid:durableId="1831166838">
    <w:abstractNumId w:val="2"/>
  </w:num>
  <w:num w:numId="14" w16cid:durableId="1079910003">
    <w:abstractNumId w:val="1"/>
  </w:num>
  <w:num w:numId="15" w16cid:durableId="906914937">
    <w:abstractNumId w:val="0"/>
  </w:num>
  <w:num w:numId="16" w16cid:durableId="547491796">
    <w:abstractNumId w:val="8"/>
  </w:num>
  <w:num w:numId="17" w16cid:durableId="1363627648">
    <w:abstractNumId w:val="3"/>
  </w:num>
  <w:num w:numId="18" w16cid:durableId="1511722000">
    <w:abstractNumId w:val="2"/>
  </w:num>
  <w:num w:numId="19" w16cid:durableId="206533432">
    <w:abstractNumId w:val="1"/>
  </w:num>
  <w:num w:numId="20" w16cid:durableId="1799764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7B0F"/>
    <w:rsid w:val="00060D74"/>
    <w:rsid w:val="00072D5C"/>
    <w:rsid w:val="0008398C"/>
    <w:rsid w:val="00084308"/>
    <w:rsid w:val="000B14B6"/>
    <w:rsid w:val="000C467B"/>
    <w:rsid w:val="000D15FB"/>
    <w:rsid w:val="000F58F7"/>
    <w:rsid w:val="001051E4"/>
    <w:rsid w:val="00115D2F"/>
    <w:rsid w:val="001354EA"/>
    <w:rsid w:val="00136FCE"/>
    <w:rsid w:val="00153BA4"/>
    <w:rsid w:val="001941AD"/>
    <w:rsid w:val="0019732C"/>
    <w:rsid w:val="001A0682"/>
    <w:rsid w:val="001B4D8D"/>
    <w:rsid w:val="001B6EC3"/>
    <w:rsid w:val="001C3790"/>
    <w:rsid w:val="001D31B2"/>
    <w:rsid w:val="001E1B9B"/>
    <w:rsid w:val="001E2226"/>
    <w:rsid w:val="001F0B24"/>
    <w:rsid w:val="001F6233"/>
    <w:rsid w:val="00214288"/>
    <w:rsid w:val="002228A3"/>
    <w:rsid w:val="002355CD"/>
    <w:rsid w:val="00270B2F"/>
    <w:rsid w:val="002712F9"/>
    <w:rsid w:val="002A0E1B"/>
    <w:rsid w:val="002A7A1D"/>
    <w:rsid w:val="002C1059"/>
    <w:rsid w:val="002C2F9C"/>
    <w:rsid w:val="002D0C22"/>
    <w:rsid w:val="002E1AF7"/>
    <w:rsid w:val="00316B80"/>
    <w:rsid w:val="00322DEA"/>
    <w:rsid w:val="00355FBD"/>
    <w:rsid w:val="00360270"/>
    <w:rsid w:val="00371863"/>
    <w:rsid w:val="0037364D"/>
    <w:rsid w:val="00381461"/>
    <w:rsid w:val="00391C12"/>
    <w:rsid w:val="003A0B7D"/>
    <w:rsid w:val="003A45C2"/>
    <w:rsid w:val="003B7A11"/>
    <w:rsid w:val="003C4BE2"/>
    <w:rsid w:val="003D147D"/>
    <w:rsid w:val="003D637A"/>
    <w:rsid w:val="003F516B"/>
    <w:rsid w:val="00413CB9"/>
    <w:rsid w:val="00430015"/>
    <w:rsid w:val="004678D0"/>
    <w:rsid w:val="00482954"/>
    <w:rsid w:val="00487651"/>
    <w:rsid w:val="004951C0"/>
    <w:rsid w:val="00497C0F"/>
    <w:rsid w:val="004C7646"/>
    <w:rsid w:val="004D2656"/>
    <w:rsid w:val="00524001"/>
    <w:rsid w:val="00564B63"/>
    <w:rsid w:val="00575DC7"/>
    <w:rsid w:val="005836C2"/>
    <w:rsid w:val="005A4EFD"/>
    <w:rsid w:val="005A5ABE"/>
    <w:rsid w:val="005B6C1A"/>
    <w:rsid w:val="005C2ECC"/>
    <w:rsid w:val="005C62F5"/>
    <w:rsid w:val="005C6744"/>
    <w:rsid w:val="005E419E"/>
    <w:rsid w:val="005F0FD5"/>
    <w:rsid w:val="005F63BD"/>
    <w:rsid w:val="00611CF1"/>
    <w:rsid w:val="006201D9"/>
    <w:rsid w:val="006277DB"/>
    <w:rsid w:val="00635B7B"/>
    <w:rsid w:val="00655B98"/>
    <w:rsid w:val="006710E6"/>
    <w:rsid w:val="0068186F"/>
    <w:rsid w:val="00686973"/>
    <w:rsid w:val="006911C0"/>
    <w:rsid w:val="00696B2D"/>
    <w:rsid w:val="006A2656"/>
    <w:rsid w:val="006A3475"/>
    <w:rsid w:val="006A6342"/>
    <w:rsid w:val="006B6C9C"/>
    <w:rsid w:val="006C7AE3"/>
    <w:rsid w:val="006D55E8"/>
    <w:rsid w:val="006E1921"/>
    <w:rsid w:val="006F36F9"/>
    <w:rsid w:val="0070576B"/>
    <w:rsid w:val="00713335"/>
    <w:rsid w:val="00727C2F"/>
    <w:rsid w:val="00735F13"/>
    <w:rsid w:val="00751FD0"/>
    <w:rsid w:val="007575CC"/>
    <w:rsid w:val="007717F2"/>
    <w:rsid w:val="00772E3B"/>
    <w:rsid w:val="00780430"/>
    <w:rsid w:val="0078134C"/>
    <w:rsid w:val="007A47E9"/>
    <w:rsid w:val="007A5830"/>
    <w:rsid w:val="007A6205"/>
    <w:rsid w:val="007D21FB"/>
    <w:rsid w:val="007F43AC"/>
    <w:rsid w:val="007F559C"/>
    <w:rsid w:val="00801256"/>
    <w:rsid w:val="008264FC"/>
    <w:rsid w:val="008407A7"/>
    <w:rsid w:val="00857585"/>
    <w:rsid w:val="008703CB"/>
    <w:rsid w:val="00882424"/>
    <w:rsid w:val="00883561"/>
    <w:rsid w:val="008B61AF"/>
    <w:rsid w:val="008C33C2"/>
    <w:rsid w:val="008C6137"/>
    <w:rsid w:val="008E2DB4"/>
    <w:rsid w:val="00901DD5"/>
    <w:rsid w:val="00901E77"/>
    <w:rsid w:val="0090735B"/>
    <w:rsid w:val="00912D5E"/>
    <w:rsid w:val="00934340"/>
    <w:rsid w:val="009460F3"/>
    <w:rsid w:val="00956DC7"/>
    <w:rsid w:val="00966CD3"/>
    <w:rsid w:val="00987A20"/>
    <w:rsid w:val="009A0E15"/>
    <w:rsid w:val="009C788A"/>
    <w:rsid w:val="009D4037"/>
    <w:rsid w:val="009F0592"/>
    <w:rsid w:val="00A02B0B"/>
    <w:rsid w:val="00A20E72"/>
    <w:rsid w:val="00A246DC"/>
    <w:rsid w:val="00A47BAF"/>
    <w:rsid w:val="00A542D3"/>
    <w:rsid w:val="00A5784F"/>
    <w:rsid w:val="00A7549C"/>
    <w:rsid w:val="00A8436E"/>
    <w:rsid w:val="00A95B66"/>
    <w:rsid w:val="00AA4853"/>
    <w:rsid w:val="00AB190D"/>
    <w:rsid w:val="00AE0667"/>
    <w:rsid w:val="00AF1DA6"/>
    <w:rsid w:val="00B21AB4"/>
    <w:rsid w:val="00B41E0A"/>
    <w:rsid w:val="00B56DE0"/>
    <w:rsid w:val="00B71F12"/>
    <w:rsid w:val="00B73147"/>
    <w:rsid w:val="00B76FEC"/>
    <w:rsid w:val="00B96B1E"/>
    <w:rsid w:val="00BB2A6F"/>
    <w:rsid w:val="00BD1614"/>
    <w:rsid w:val="00BD382C"/>
    <w:rsid w:val="00BD5C12"/>
    <w:rsid w:val="00BD5DA6"/>
    <w:rsid w:val="00BF7D25"/>
    <w:rsid w:val="00C010C0"/>
    <w:rsid w:val="00C0405F"/>
    <w:rsid w:val="00C40CB5"/>
    <w:rsid w:val="00C46CBD"/>
    <w:rsid w:val="00C54CE6"/>
    <w:rsid w:val="00C575E2"/>
    <w:rsid w:val="00C71A06"/>
    <w:rsid w:val="00C7368B"/>
    <w:rsid w:val="00C92746"/>
    <w:rsid w:val="00CA2498"/>
    <w:rsid w:val="00CC4DC5"/>
    <w:rsid w:val="00CE137B"/>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C7E73"/>
    <w:rsid w:val="00ED062D"/>
    <w:rsid w:val="00ED229F"/>
    <w:rsid w:val="00ED2CD9"/>
    <w:rsid w:val="00EE606C"/>
    <w:rsid w:val="00F028D7"/>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62EB29"/>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CommentText">
    <w:name w:val="annotation text"/>
    <w:basedOn w:val="Normal"/>
    <w:link w:val="CommentTextChar"/>
    <w:semiHidden/>
    <w:unhideWhenUsed/>
    <w:rPr>
      <w:sz w:val="20"/>
    </w:rPr>
  </w:style>
  <w:style w:type="character" w:customStyle="1" w:styleId="CommentTextChar">
    <w:name w:val="Comment Text Char"/>
    <w:basedOn w:val="DefaultParagraphFont"/>
    <w:link w:val="CommentText"/>
    <w:semiHidden/>
    <w:rPr>
      <w:rFonts w:ascii="Calibri" w:hAnsi="Calibri"/>
      <w:lang w:val="fr-FR" w:eastAsia="en-US"/>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5B6C1A"/>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dc1cd14-acb7-4a66-93d7-614c33f115f7" targetNamespace="http://schemas.microsoft.com/office/2006/metadata/properties" ma:root="true" ma:fieldsID="d41af5c836d734370eb92e7ee5f83852" ns2:_="" ns3:_="">
    <xsd:import namespace="996b2e75-67fd-4955-a3b0-5ab9934cb50b"/>
    <xsd:import namespace="fdc1cd14-acb7-4a66-93d7-614c33f115f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dc1cd14-acb7-4a66-93d7-614c33f115f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fdc1cd14-acb7-4a66-93d7-614c33f115f7">DPM</DPM_x0020_Author>
    <DPM_x0020_File_x0020_name xmlns="fdc1cd14-acb7-4a66-93d7-614c33f115f7">S26-PP-C-0075!A43!MSW-F</DPM_x0020_File_x0020_name>
    <DPM_x0020_Version xmlns="fdc1cd14-acb7-4a66-93d7-614c33f115f7">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dc1cd14-acb7-4a66-93d7-614c33f11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dc1cd14-acb7-4a66-93d7-614c33f115f7"/>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2149</Words>
  <Characters>12878</Characters>
  <Application>Microsoft Office Word</Application>
  <DocSecurity>0</DocSecurity>
  <Lines>214</Lines>
  <Paragraphs>83</Paragraphs>
  <ScaleCrop>false</ScaleCrop>
  <HeadingPairs>
    <vt:vector size="2" baseType="variant">
      <vt:variant>
        <vt:lpstr>Title</vt:lpstr>
      </vt:variant>
      <vt:variant>
        <vt:i4>1</vt:i4>
      </vt:variant>
    </vt:vector>
  </HeadingPairs>
  <TitlesOfParts>
    <vt:vector size="1" baseType="lpstr">
      <vt:lpstr>S26-PP-C-0075!A43!MSW-F</vt:lpstr>
    </vt:vector>
  </TitlesOfParts>
  <Manager/>
  <Company/>
  <LinksUpToDate>false</LinksUpToDate>
  <CharactersWithSpaces>14944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S26-PP-C-0075!A43!MSW-F</dc:title>
  <dc:subject>ITU Plenipotentiary Conference (PP-26)</dc:subject>
  <dc:creator>Documents Proposals Manager (DPM)</dc:creator>
  <cp:keywords>DPM_v2026.8.25.1_prod</cp:keywords>
  <dc:description/>
  <cp:lastModifiedBy>French</cp:lastModifiedBy>
  <cp:revision>11</cp:revision>
  <dcterms:created xsi:type="dcterms:W3CDTF">2026-10-27T13:28:00Z</dcterms:created>
  <dcterms:modified xsi:type="dcterms:W3CDTF">2026-10-27T14:45:00Z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