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14:paraId="7F9A2AA0" w14:textId="77777777" w:rsidTr="004D7CC5">
        <w:trPr>
          <w:cantSplit/>
          <w:trHeight w:hRule="exact" w:val="1417"/>
        </w:trPr>
        <w:tc>
          <w:tcPr>
            <w:tcW w:w="10031" w:type="dxa"/>
            <w:gridSpan w:val="2"/>
            <w:tcMar>
              <w:left w:w="0" w:type="dxa"/>
              <w:right w:w="0" w:type="dxa"/>
            </w:tcMar>
            <w:vAlign w:val="center"/>
          </w:tcPr>
          <w:p w14:paraId="7BB23B4E" w14:textId="77777777" w:rsidR="00161CDA" w:rsidRPr="00D96B4B" w:rsidRDefault="003038E3" w:rsidP="003038E3">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9CE49FD" w14:textId="77777777" w:rsidTr="004D7CC5">
        <w:trPr>
          <w:cantSplit/>
          <w:trHeight w:val="283"/>
        </w:trPr>
        <w:tc>
          <w:tcPr>
            <w:tcW w:w="10031" w:type="dxa"/>
            <w:gridSpan w:val="2"/>
            <w:tcBorders>
              <w:bottom w:val="single" w:sz="12" w:space="0" w:color="71716F"/>
            </w:tcBorders>
          </w:tcPr>
          <w:p w14:paraId="58622FBD" w14:textId="77777777" w:rsidR="00EF3B7A" w:rsidRPr="00D96B4B" w:rsidRDefault="00EF3B7A" w:rsidP="003038E3">
            <w:pPr>
              <w:spacing w:before="0"/>
              <w:rPr>
                <w:rFonts w:cstheme="minorHAnsi"/>
                <w:szCs w:val="24"/>
              </w:rPr>
            </w:pPr>
            <w:bookmarkStart w:id="0" w:name="ditulogo"/>
            <w:bookmarkStart w:id="1" w:name="dhead"/>
            <w:bookmarkEnd w:id="0"/>
          </w:p>
        </w:tc>
      </w:tr>
      <w:tr w:rsidR="001A16ED" w:rsidRPr="00C324A8" w14:paraId="0D0C557E" w14:textId="77777777" w:rsidTr="004D7CC5">
        <w:trPr>
          <w:cantSplit/>
          <w:trHeight w:val="255"/>
        </w:trPr>
        <w:tc>
          <w:tcPr>
            <w:tcW w:w="7230" w:type="dxa"/>
            <w:tcBorders>
              <w:top w:val="single" w:sz="12" w:space="0" w:color="71716F"/>
            </w:tcBorders>
          </w:tcPr>
          <w:p w14:paraId="09F95112" w14:textId="77777777" w:rsidR="001A16ED" w:rsidRPr="00D96B4B"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3CA7D111" w14:textId="77777777" w:rsidR="001A16ED" w:rsidRPr="00D96B4B" w:rsidRDefault="001A16ED" w:rsidP="003038E3">
            <w:pPr>
              <w:spacing w:before="0"/>
              <w:rPr>
                <w:rFonts w:cstheme="minorHAnsi"/>
                <w:sz w:val="20"/>
              </w:rPr>
            </w:pPr>
          </w:p>
        </w:tc>
      </w:tr>
      <w:tr w:rsidR="001A16ED" w:rsidRPr="00C324A8" w14:paraId="4168515F" w14:textId="77777777" w:rsidTr="004D7CC5">
        <w:trPr>
          <w:cantSplit/>
          <w:trHeight w:val="23"/>
        </w:trPr>
        <w:tc>
          <w:tcPr>
            <w:tcW w:w="7230" w:type="dxa"/>
          </w:tcPr>
          <w:p w14:paraId="2D386DDC" w14:textId="77777777" w:rsidR="001A16ED" w:rsidRPr="00D96B4B" w:rsidRDefault="0044665A" w:rsidP="003038E3">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8DB5567" w14:textId="0E013413" w:rsidR="001A16ED" w:rsidRPr="00F44B1A" w:rsidRDefault="0044665A" w:rsidP="00AA6D0C">
            <w:pPr>
              <w:pStyle w:val="Data"/>
              <w:framePr w:hSpace="0" w:wrap="auto" w:hAnchor="text" w:xAlign="left" w:yAlign="inline"/>
            </w:pPr>
            <w:r>
              <w:t xml:space="preserve">Document </w:t>
            </w:r>
            <w:r w:rsidR="002701E1">
              <w:t>72</w:t>
            </w:r>
            <w:r>
              <w:t>-E</w:t>
            </w:r>
          </w:p>
        </w:tc>
      </w:tr>
      <w:tr w:rsidR="001A16ED" w:rsidRPr="00C324A8" w14:paraId="243B28BC" w14:textId="77777777" w:rsidTr="004D7CC5">
        <w:trPr>
          <w:cantSplit/>
          <w:trHeight w:val="23"/>
        </w:trPr>
        <w:tc>
          <w:tcPr>
            <w:tcW w:w="7230" w:type="dxa"/>
          </w:tcPr>
          <w:p w14:paraId="5A067424" w14:textId="77777777" w:rsidR="001A16ED" w:rsidRPr="00841AB4" w:rsidRDefault="001A16ED" w:rsidP="003038E3">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4A25F9F" w14:textId="65B1C2F3" w:rsidR="001A16ED" w:rsidRPr="00D96B4B" w:rsidRDefault="002701E1" w:rsidP="005E7454">
            <w:pPr>
              <w:pStyle w:val="Data"/>
              <w:framePr w:hSpace="0" w:wrap="auto" w:hAnchor="text" w:xAlign="left" w:yAlign="inline"/>
            </w:pPr>
            <w:r>
              <w:t>5 October 2026</w:t>
            </w:r>
          </w:p>
        </w:tc>
      </w:tr>
      <w:tr w:rsidR="001A16ED" w:rsidRPr="00C324A8" w14:paraId="35EE9952" w14:textId="77777777" w:rsidTr="004D7CC5">
        <w:trPr>
          <w:cantSplit/>
          <w:trHeight w:val="23"/>
        </w:trPr>
        <w:tc>
          <w:tcPr>
            <w:tcW w:w="7230" w:type="dxa"/>
          </w:tcPr>
          <w:p w14:paraId="0C968333" w14:textId="77777777" w:rsidR="001A16ED" w:rsidRPr="00D96B4B"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533F946" w14:textId="77777777" w:rsidR="001A16ED" w:rsidRPr="00D96B4B" w:rsidRDefault="0044665A" w:rsidP="005E7454">
            <w:pPr>
              <w:pStyle w:val="Data"/>
              <w:framePr w:hSpace="0" w:wrap="auto" w:hAnchor="text" w:xAlign="left" w:yAlign="inline"/>
            </w:pPr>
            <w:r>
              <w:t>Original: English</w:t>
            </w:r>
          </w:p>
        </w:tc>
      </w:tr>
      <w:tr w:rsidR="001A16ED" w:rsidRPr="00C324A8" w14:paraId="50939A66" w14:textId="77777777" w:rsidTr="004D7CC5">
        <w:trPr>
          <w:cantSplit/>
          <w:trHeight w:val="23"/>
        </w:trPr>
        <w:tc>
          <w:tcPr>
            <w:tcW w:w="10031" w:type="dxa"/>
            <w:gridSpan w:val="2"/>
          </w:tcPr>
          <w:p w14:paraId="1D7C9CAF" w14:textId="77777777" w:rsidR="001A16ED" w:rsidRPr="00D96B4B" w:rsidRDefault="001A16ED" w:rsidP="003038E3">
            <w:pPr>
              <w:tabs>
                <w:tab w:val="left" w:pos="993"/>
              </w:tabs>
              <w:rPr>
                <w:rFonts w:ascii="Verdana" w:hAnsi="Verdana"/>
                <w:b/>
                <w:szCs w:val="24"/>
              </w:rPr>
            </w:pPr>
          </w:p>
        </w:tc>
      </w:tr>
      <w:tr w:rsidR="005B5999" w:rsidRPr="00C324A8" w14:paraId="445CC31D" w14:textId="77777777" w:rsidTr="004D7CC5">
        <w:trPr>
          <w:cantSplit/>
          <w:trHeight w:val="23"/>
        </w:trPr>
        <w:tc>
          <w:tcPr>
            <w:tcW w:w="10031" w:type="dxa"/>
            <w:gridSpan w:val="2"/>
          </w:tcPr>
          <w:p w14:paraId="49971711" w14:textId="03F67903" w:rsidR="005B5999" w:rsidRDefault="005B5999" w:rsidP="005B5999">
            <w:pPr>
              <w:pStyle w:val="Source"/>
            </w:pPr>
            <w:r w:rsidRPr="00FB5117">
              <w:t>Report by the Secretary-General</w:t>
            </w:r>
          </w:p>
        </w:tc>
      </w:tr>
      <w:tr w:rsidR="005B5999" w:rsidRPr="00C324A8" w14:paraId="22D7A1F5" w14:textId="77777777" w:rsidTr="004D7CC5">
        <w:trPr>
          <w:cantSplit/>
          <w:trHeight w:val="23"/>
        </w:trPr>
        <w:tc>
          <w:tcPr>
            <w:tcW w:w="10031" w:type="dxa"/>
            <w:gridSpan w:val="2"/>
          </w:tcPr>
          <w:p w14:paraId="35B60481" w14:textId="083FD9FD" w:rsidR="005B5999" w:rsidRDefault="005B5999" w:rsidP="005B5999">
            <w:pPr>
              <w:pStyle w:val="Title1"/>
            </w:pPr>
            <w:r w:rsidRPr="00FB5117">
              <w:rPr>
                <w:caps w:val="0"/>
              </w:rPr>
              <w:t>AFTER-SERVICE HEALTH INSURANCE (ASHI) LIABILITY UPDATE</w:t>
            </w:r>
          </w:p>
        </w:tc>
      </w:tr>
      <w:tr w:rsidR="001A16ED" w:rsidRPr="00C324A8" w14:paraId="7DCE0D4B" w14:textId="77777777" w:rsidTr="004D7CC5">
        <w:trPr>
          <w:cantSplit/>
          <w:trHeight w:val="23"/>
        </w:trPr>
        <w:tc>
          <w:tcPr>
            <w:tcW w:w="10031" w:type="dxa"/>
            <w:gridSpan w:val="2"/>
          </w:tcPr>
          <w:p w14:paraId="456CE65B" w14:textId="149A76CF" w:rsidR="001A16ED" w:rsidRDefault="001A16ED" w:rsidP="003038E3">
            <w:pPr>
              <w:pStyle w:val="Title2"/>
            </w:pPr>
          </w:p>
        </w:tc>
      </w:tr>
      <w:bookmarkEnd w:id="6"/>
      <w:bookmarkEnd w:id="7"/>
    </w:tbl>
    <w:p w14:paraId="398957B2" w14:textId="77777777" w:rsidR="005B5999" w:rsidRDefault="005B5999" w:rsidP="00AB2D04"/>
    <w:tbl>
      <w:tblPr>
        <w:tblStyle w:val="TableGrid"/>
        <w:tblW w:w="0" w:type="auto"/>
        <w:jc w:val="center"/>
        <w:tblLook w:val="04A0" w:firstRow="1" w:lastRow="0" w:firstColumn="1" w:lastColumn="0" w:noHBand="0" w:noVBand="1"/>
      </w:tblPr>
      <w:tblGrid>
        <w:gridCol w:w="7937"/>
      </w:tblGrid>
      <w:tr w:rsidR="005B5999" w14:paraId="4FE9AB1A" w14:textId="77777777" w:rsidTr="00650EC9">
        <w:trPr>
          <w:trHeight w:val="3402"/>
          <w:jc w:val="center"/>
        </w:trPr>
        <w:tc>
          <w:tcPr>
            <w:tcW w:w="7937" w:type="dxa"/>
          </w:tcPr>
          <w:p w14:paraId="5A988EED" w14:textId="77777777" w:rsidR="005B5999" w:rsidRPr="00173340" w:rsidRDefault="005B5999" w:rsidP="00650EC9">
            <w:pPr>
              <w:pStyle w:val="Headingb"/>
            </w:pPr>
            <w:r w:rsidRPr="00173340">
              <w:t>Summary</w:t>
            </w:r>
          </w:p>
          <w:p w14:paraId="29B00AA4" w14:textId="77777777" w:rsidR="005B5999" w:rsidRDefault="005B5999" w:rsidP="00650EC9">
            <w:pPr>
              <w:snapToGrid w:val="0"/>
              <w:spacing w:after="120"/>
              <w:jc w:val="both"/>
            </w:pPr>
            <w:r>
              <w:t xml:space="preserve">Update on the status of the </w:t>
            </w:r>
            <w:r w:rsidRPr="00FB5117">
              <w:t>ASHI liability</w:t>
            </w:r>
            <w:r>
              <w:t xml:space="preserve">, including the implementation </w:t>
            </w:r>
            <w:r w:rsidRPr="00BC5101">
              <w:t>of the related recommendations of the External Auditor, to inform discussions on the financial plan for the period 2028-2031 at the Plenipotentiary Conference (Doha, 2026)</w:t>
            </w:r>
            <w:r>
              <w:t xml:space="preserve">.  The External Auditor recommended that ITU </w:t>
            </w:r>
            <w:r w:rsidRPr="00BC5101">
              <w:t>should, in consultation with Members, develop an overarching policy and strategy for its After-Service Health Insurance liability. This should include a target level for a funded reserve.</w:t>
            </w:r>
          </w:p>
          <w:p w14:paraId="619508AC" w14:textId="77777777" w:rsidR="005B5999" w:rsidRPr="00B64995" w:rsidRDefault="005B5999" w:rsidP="00650EC9">
            <w:pPr>
              <w:pStyle w:val="Headingb"/>
            </w:pPr>
            <w:r w:rsidRPr="00B64995">
              <w:t>Action required</w:t>
            </w:r>
          </w:p>
          <w:p w14:paraId="2D7A992F" w14:textId="77777777" w:rsidR="005B5999" w:rsidRDefault="005B5999" w:rsidP="00650EC9">
            <w:pPr>
              <w:spacing w:line="259" w:lineRule="auto"/>
              <w:jc w:val="both"/>
            </w:pPr>
            <w:r>
              <w:t xml:space="preserve">The Plenipotentiary is invited to </w:t>
            </w:r>
            <w:r w:rsidRPr="789109A6">
              <w:rPr>
                <w:b/>
                <w:bCs/>
              </w:rPr>
              <w:t xml:space="preserve">take note of </w:t>
            </w:r>
            <w:r>
              <w:t>this report.</w:t>
            </w:r>
          </w:p>
          <w:p w14:paraId="53536CBA" w14:textId="77777777" w:rsidR="005B5999" w:rsidRPr="00EF23A3" w:rsidRDefault="005B5999" w:rsidP="00650EC9">
            <w:pPr>
              <w:jc w:val="both"/>
              <w:rPr>
                <w:b/>
                <w:bCs/>
              </w:rPr>
            </w:pPr>
            <w:r w:rsidRPr="00EF23A3">
              <w:rPr>
                <w:b/>
                <w:bCs/>
              </w:rPr>
              <w:t>Financial implications</w:t>
            </w:r>
          </w:p>
          <w:p w14:paraId="427EEE71" w14:textId="77777777" w:rsidR="005B5999" w:rsidRPr="00B64995" w:rsidRDefault="005B5999" w:rsidP="00650EC9">
            <w:pPr>
              <w:jc w:val="both"/>
            </w:pPr>
            <w:r>
              <w:t>N/A</w:t>
            </w:r>
          </w:p>
          <w:p w14:paraId="1A8E3AD9" w14:textId="77777777" w:rsidR="005B5999" w:rsidRDefault="005B5999" w:rsidP="00650EC9">
            <w:pPr>
              <w:jc w:val="center"/>
            </w:pPr>
            <w:r>
              <w:t>______________</w:t>
            </w:r>
          </w:p>
          <w:p w14:paraId="5D74497B" w14:textId="77777777" w:rsidR="005B5999" w:rsidRPr="00173340" w:rsidRDefault="005B5999" w:rsidP="00650EC9">
            <w:pPr>
              <w:pStyle w:val="Headingb"/>
            </w:pPr>
            <w:r w:rsidRPr="00173340">
              <w:t>References</w:t>
            </w:r>
          </w:p>
          <w:p w14:paraId="5133EBCB" w14:textId="6AD6B0E6" w:rsidR="005B5999" w:rsidRPr="00D74A45" w:rsidRDefault="005B5999" w:rsidP="00650EC9">
            <w:pPr>
              <w:spacing w:after="120"/>
              <w:rPr>
                <w:sz w:val="22"/>
                <w:szCs w:val="22"/>
              </w:rPr>
            </w:pPr>
            <w:r>
              <w:rPr>
                <w:i/>
                <w:iCs/>
                <w:sz w:val="22"/>
                <w:szCs w:val="22"/>
              </w:rPr>
              <w:t xml:space="preserve">Council </w:t>
            </w:r>
            <w:r w:rsidRPr="008536E4">
              <w:rPr>
                <w:i/>
                <w:iCs/>
                <w:sz w:val="22"/>
                <w:szCs w:val="22"/>
              </w:rPr>
              <w:t>Document</w:t>
            </w:r>
            <w:r>
              <w:rPr>
                <w:i/>
                <w:iCs/>
                <w:sz w:val="22"/>
                <w:szCs w:val="22"/>
              </w:rPr>
              <w:t>s</w:t>
            </w:r>
            <w:r w:rsidRPr="008536E4">
              <w:rPr>
                <w:i/>
                <w:iCs/>
                <w:sz w:val="22"/>
                <w:szCs w:val="22"/>
              </w:rPr>
              <w:t xml:space="preserve"> </w:t>
            </w:r>
            <w:hyperlink r:id="rId8" w:history="1">
              <w:r w:rsidRPr="005B5999">
                <w:rPr>
                  <w:rStyle w:val="Hyperlink"/>
                  <w:i/>
                  <w:iCs/>
                  <w:sz w:val="22"/>
                  <w:szCs w:val="22"/>
                </w:rPr>
                <w:t>C26/116</w:t>
              </w:r>
            </w:hyperlink>
            <w:r w:rsidRPr="008536E4">
              <w:rPr>
                <w:i/>
                <w:iCs/>
                <w:sz w:val="22"/>
                <w:szCs w:val="22"/>
              </w:rPr>
              <w:t xml:space="preserve"> </w:t>
            </w:r>
            <w:r>
              <w:rPr>
                <w:i/>
                <w:iCs/>
                <w:sz w:val="22"/>
                <w:szCs w:val="22"/>
              </w:rPr>
              <w:t>(</w:t>
            </w:r>
            <w:r>
              <w:rPr>
                <w:rFonts w:cs="Calibri"/>
                <w:i/>
                <w:iCs/>
                <w:sz w:val="22"/>
                <w:szCs w:val="22"/>
              </w:rPr>
              <w:t>§</w:t>
            </w:r>
            <w:r>
              <w:rPr>
                <w:i/>
                <w:iCs/>
                <w:sz w:val="22"/>
                <w:szCs w:val="22"/>
              </w:rPr>
              <w:t xml:space="preserve"> </w:t>
            </w:r>
            <w:r w:rsidRPr="008536E4">
              <w:rPr>
                <w:i/>
                <w:iCs/>
                <w:sz w:val="22"/>
                <w:szCs w:val="22"/>
              </w:rPr>
              <w:t>14</w:t>
            </w:r>
            <w:r>
              <w:rPr>
                <w:i/>
                <w:iCs/>
                <w:sz w:val="22"/>
                <w:szCs w:val="22"/>
              </w:rPr>
              <w:t>),</w:t>
            </w:r>
            <w:r w:rsidRPr="008536E4">
              <w:rPr>
                <w:i/>
                <w:iCs/>
                <w:sz w:val="22"/>
                <w:szCs w:val="22"/>
              </w:rPr>
              <w:t xml:space="preserve"> </w:t>
            </w:r>
            <w:hyperlink r:id="rId9" w:history="1">
              <w:r w:rsidRPr="005B5999">
                <w:rPr>
                  <w:rStyle w:val="Hyperlink"/>
                  <w:i/>
                  <w:iCs/>
                  <w:sz w:val="22"/>
                  <w:szCs w:val="22"/>
                </w:rPr>
                <w:t>C26/46</w:t>
              </w:r>
            </w:hyperlink>
            <w:r>
              <w:rPr>
                <w:i/>
                <w:iCs/>
                <w:sz w:val="22"/>
                <w:szCs w:val="22"/>
              </w:rPr>
              <w:t xml:space="preserve"> and</w:t>
            </w:r>
            <w:r w:rsidRPr="008536E4">
              <w:rPr>
                <w:i/>
                <w:iCs/>
                <w:sz w:val="22"/>
                <w:szCs w:val="22"/>
              </w:rPr>
              <w:t xml:space="preserve"> </w:t>
            </w:r>
            <w:hyperlink r:id="rId10" w:history="1">
              <w:r w:rsidRPr="005B5999">
                <w:rPr>
                  <w:rStyle w:val="Hyperlink"/>
                  <w:i/>
                  <w:iCs/>
                  <w:sz w:val="22"/>
                  <w:szCs w:val="22"/>
                </w:rPr>
                <w:t>C26/41</w:t>
              </w:r>
            </w:hyperlink>
          </w:p>
        </w:tc>
      </w:tr>
    </w:tbl>
    <w:p w14:paraId="5255F4E9" w14:textId="77777777" w:rsidR="005B5999" w:rsidRPr="00124698" w:rsidRDefault="005B5999" w:rsidP="005B5999">
      <w:pPr>
        <w:spacing w:before="0"/>
      </w:pPr>
    </w:p>
    <w:p w14:paraId="4DDE0CA9" w14:textId="77777777" w:rsidR="005B5999" w:rsidRDefault="005B5999" w:rsidP="00AB2D04"/>
    <w:p w14:paraId="08709E3E" w14:textId="77777777" w:rsidR="00835142" w:rsidRDefault="001A16ED" w:rsidP="002701E1">
      <w:r>
        <w:br w:type="page"/>
      </w:r>
    </w:p>
    <w:p w14:paraId="3A3B0CC2" w14:textId="488C53D5" w:rsidR="005B5999" w:rsidRPr="00963990" w:rsidRDefault="005B5999" w:rsidP="00835142">
      <w:pPr>
        <w:pStyle w:val="Heading1"/>
      </w:pPr>
      <w:r w:rsidRPr="00963990">
        <w:lastRenderedPageBreak/>
        <w:t>1</w:t>
      </w:r>
      <w:r w:rsidRPr="00963990">
        <w:tab/>
      </w:r>
      <w:r>
        <w:t xml:space="preserve">Executive </w:t>
      </w:r>
      <w:r w:rsidR="0099272F">
        <w:t>summary</w:t>
      </w:r>
    </w:p>
    <w:p w14:paraId="066546E5" w14:textId="38DDB6E3" w:rsidR="005B5999" w:rsidRDefault="005B5999" w:rsidP="00835142">
      <w:pPr>
        <w:jc w:val="both"/>
      </w:pPr>
      <w:r>
        <w:t>1.1</w:t>
      </w:r>
      <w:r w:rsidR="00835142">
        <w:tab/>
      </w:r>
      <w:r w:rsidRPr="00BA1A15">
        <w:t>As at 31 December 2025, the ASHI liability stood at CHF 378.8 million, while assets dedicated to funding these obligations amounted to only CHF 15 million</w:t>
      </w:r>
      <w:r>
        <w:t>, and the Net assets of the Union were negative for CHF 279.8 million</w:t>
      </w:r>
      <w:r w:rsidRPr="00BA1A15">
        <w:t xml:space="preserve">. </w:t>
      </w:r>
      <w:r>
        <w:t>O</w:t>
      </w:r>
      <w:r w:rsidRPr="00BA1A15">
        <w:t>ver 96 per cent of the liability remains unfunded</w:t>
      </w:r>
      <w:r>
        <w:t xml:space="preserve"> and t</w:t>
      </w:r>
      <w:r w:rsidRPr="00BA1A15">
        <w:t xml:space="preserve">he Union's financial position </w:t>
      </w:r>
      <w:r>
        <w:t xml:space="preserve">is </w:t>
      </w:r>
      <w:r w:rsidRPr="00BA1A15">
        <w:t xml:space="preserve">significantly affected </w:t>
      </w:r>
      <w:r>
        <w:t xml:space="preserve">and impaired </w:t>
      </w:r>
      <w:r w:rsidRPr="00BA1A15">
        <w:t>by its large unfunded After-Service Health Insurance (ASHI) liability.</w:t>
      </w:r>
    </w:p>
    <w:p w14:paraId="765D7F8D" w14:textId="0C37F408" w:rsidR="005B5999" w:rsidRDefault="005B5999" w:rsidP="00835142">
      <w:pPr>
        <w:jc w:val="both"/>
      </w:pPr>
      <w:r>
        <w:t>1.2</w:t>
      </w:r>
      <w:r w:rsidR="00835142">
        <w:tab/>
      </w:r>
      <w:r>
        <w:t>As highlighted by the external auditors,</w:t>
      </w:r>
      <w:r w:rsidRPr="009356D7">
        <w:t xml:space="preserve"> </w:t>
      </w:r>
      <w:r>
        <w:t>t</w:t>
      </w:r>
      <w:r w:rsidRPr="00BA1A15">
        <w:t xml:space="preserve">he unfunded ASHI obligation alone exceeds the Organization's negative net asset position, demonstrating that ASHI remains the principal driver of the Union's weakened balance sheet and its most significant long-term financial risk. </w:t>
      </w:r>
      <w:r>
        <w:t xml:space="preserve"> </w:t>
      </w:r>
    </w:p>
    <w:p w14:paraId="7BF3458C" w14:textId="75A5FD82" w:rsidR="005B5999" w:rsidRPr="00BA1A15" w:rsidRDefault="005B5999" w:rsidP="00835142">
      <w:pPr>
        <w:jc w:val="both"/>
      </w:pPr>
      <w:r>
        <w:t>1.3</w:t>
      </w:r>
      <w:r w:rsidR="00835142">
        <w:tab/>
      </w:r>
      <w:r>
        <w:t xml:space="preserve">While recent actuarial developments have led to a reduction in the reported liability, these improvements are primarily attributable to changes in financial assumptions rather than to structural funding measures. Consequently, the underlying financial challenge remains largely unchanged. </w:t>
      </w:r>
    </w:p>
    <w:p w14:paraId="3EBFF97B" w14:textId="741AFACB" w:rsidR="005B5999" w:rsidRPr="00BA1A15" w:rsidRDefault="005B5999" w:rsidP="00835142">
      <w:pPr>
        <w:jc w:val="both"/>
      </w:pPr>
      <w:r>
        <w:t>1.4</w:t>
      </w:r>
      <w:r w:rsidR="00835142">
        <w:tab/>
      </w:r>
      <w:r w:rsidRPr="00BA1A15">
        <w:t xml:space="preserve">The purpose of this paper is to </w:t>
      </w:r>
      <w:r>
        <w:t>provide a detailed analysis of ASHI, including updated actuarial analysis and benchmarking to stimulate support from Member States to start the journey to implementation of a comprehensive long-term funding strategy.</w:t>
      </w:r>
    </w:p>
    <w:p w14:paraId="65D2B3A1" w14:textId="1CD609CE" w:rsidR="005B5999" w:rsidRPr="00963990" w:rsidRDefault="005B5999" w:rsidP="00835142">
      <w:pPr>
        <w:pStyle w:val="Heading1"/>
      </w:pPr>
      <w:r w:rsidRPr="00963990">
        <w:t>2</w:t>
      </w:r>
      <w:r w:rsidRPr="00963990">
        <w:tab/>
      </w:r>
      <w:r>
        <w:t xml:space="preserve">Current </w:t>
      </w:r>
      <w:r w:rsidR="0099272F">
        <w:t>financial situation</w:t>
      </w:r>
    </w:p>
    <w:p w14:paraId="5F42206C" w14:textId="41A2CA4F" w:rsidR="005B5999" w:rsidRDefault="005B5999" w:rsidP="0099272F">
      <w:pPr>
        <w:jc w:val="both"/>
      </w:pPr>
      <w:r>
        <w:t>2.1</w:t>
      </w:r>
      <w:r w:rsidR="00835142">
        <w:tab/>
      </w:r>
      <w:r w:rsidRPr="00BA1A15">
        <w:t>The evolution of the ASHI liability over recent years demonstrates its significant sensitivity to external economic and actuarial assumptions.</w:t>
      </w:r>
    </w:p>
    <w:p w14:paraId="0882C875" w14:textId="77777777" w:rsidR="00835142" w:rsidRDefault="00835142" w:rsidP="0099272F">
      <w:pPr>
        <w:pStyle w:val="Tablefin"/>
      </w:pPr>
    </w:p>
    <w:tbl>
      <w:tblPr>
        <w:tblStyle w:val="TableGrid"/>
        <w:tblW w:w="9215" w:type="dxa"/>
        <w:tblLook w:val="04A0" w:firstRow="1" w:lastRow="0" w:firstColumn="1" w:lastColumn="0" w:noHBand="0" w:noVBand="1"/>
      </w:tblPr>
      <w:tblGrid>
        <w:gridCol w:w="2884"/>
        <w:gridCol w:w="1269"/>
        <w:gridCol w:w="1269"/>
        <w:gridCol w:w="1269"/>
        <w:gridCol w:w="1269"/>
        <w:gridCol w:w="1255"/>
      </w:tblGrid>
      <w:tr w:rsidR="005B5999" w:rsidRPr="00835142" w14:paraId="552C8862" w14:textId="77777777" w:rsidTr="00835142">
        <w:tc>
          <w:tcPr>
            <w:tcW w:w="2819" w:type="dxa"/>
            <w:hideMark/>
          </w:tcPr>
          <w:p w14:paraId="06E2AF85" w14:textId="1BAAD4E8" w:rsidR="005B5999" w:rsidRPr="00835142" w:rsidRDefault="005B5999" w:rsidP="0099272F">
            <w:pPr>
              <w:pStyle w:val="Tablehead"/>
            </w:pPr>
          </w:p>
        </w:tc>
        <w:tc>
          <w:tcPr>
            <w:tcW w:w="1240" w:type="dxa"/>
            <w:hideMark/>
          </w:tcPr>
          <w:p w14:paraId="41744474" w14:textId="77777777" w:rsidR="005B5999" w:rsidRPr="00835142" w:rsidRDefault="005B5999" w:rsidP="0099272F">
            <w:pPr>
              <w:pStyle w:val="Tablehead"/>
            </w:pPr>
            <w:r w:rsidRPr="00835142">
              <w:t>2021</w:t>
            </w:r>
          </w:p>
        </w:tc>
        <w:tc>
          <w:tcPr>
            <w:tcW w:w="1240" w:type="dxa"/>
          </w:tcPr>
          <w:p w14:paraId="2472E664" w14:textId="77777777" w:rsidR="005B5999" w:rsidRPr="00835142" w:rsidRDefault="005B5999" w:rsidP="0099272F">
            <w:pPr>
              <w:pStyle w:val="Tablehead"/>
            </w:pPr>
            <w:r w:rsidRPr="00835142">
              <w:t>2022</w:t>
            </w:r>
          </w:p>
        </w:tc>
        <w:tc>
          <w:tcPr>
            <w:tcW w:w="1240" w:type="dxa"/>
          </w:tcPr>
          <w:p w14:paraId="66FD5268" w14:textId="77777777" w:rsidR="005B5999" w:rsidRPr="00835142" w:rsidRDefault="005B5999" w:rsidP="0099272F">
            <w:pPr>
              <w:pStyle w:val="Tablehead"/>
            </w:pPr>
            <w:r w:rsidRPr="00835142">
              <w:t>2023</w:t>
            </w:r>
          </w:p>
        </w:tc>
        <w:tc>
          <w:tcPr>
            <w:tcW w:w="1240" w:type="dxa"/>
          </w:tcPr>
          <w:p w14:paraId="1F4F55F2" w14:textId="77777777" w:rsidR="005B5999" w:rsidRPr="00835142" w:rsidRDefault="005B5999" w:rsidP="0099272F">
            <w:pPr>
              <w:pStyle w:val="Tablehead"/>
            </w:pPr>
            <w:r w:rsidRPr="00835142">
              <w:t>2024</w:t>
            </w:r>
          </w:p>
        </w:tc>
        <w:tc>
          <w:tcPr>
            <w:tcW w:w="1226" w:type="dxa"/>
          </w:tcPr>
          <w:p w14:paraId="41A0E98C" w14:textId="77777777" w:rsidR="005B5999" w:rsidRPr="00835142" w:rsidRDefault="005B5999" w:rsidP="0099272F">
            <w:pPr>
              <w:pStyle w:val="Tablehead"/>
            </w:pPr>
            <w:r w:rsidRPr="00835142">
              <w:t>2025</w:t>
            </w:r>
          </w:p>
        </w:tc>
      </w:tr>
      <w:tr w:rsidR="005B5999" w:rsidRPr="00835142" w14:paraId="7AEE14DA" w14:textId="77777777" w:rsidTr="00835142">
        <w:tc>
          <w:tcPr>
            <w:tcW w:w="2819" w:type="dxa"/>
            <w:hideMark/>
          </w:tcPr>
          <w:p w14:paraId="2879005A" w14:textId="28C7B071" w:rsidR="005B5999" w:rsidRPr="0099272F" w:rsidRDefault="005B5999" w:rsidP="0099272F">
            <w:pPr>
              <w:pStyle w:val="Tabletext"/>
            </w:pPr>
            <w:r w:rsidRPr="00835142">
              <w:t>Discount rate</w:t>
            </w:r>
          </w:p>
        </w:tc>
        <w:tc>
          <w:tcPr>
            <w:tcW w:w="1240" w:type="dxa"/>
            <w:hideMark/>
          </w:tcPr>
          <w:p w14:paraId="450F53FD" w14:textId="77777777" w:rsidR="005B5999" w:rsidRPr="00835142" w:rsidRDefault="005B5999" w:rsidP="0099272F">
            <w:pPr>
              <w:pStyle w:val="Tabletext"/>
            </w:pPr>
            <w:r w:rsidRPr="00835142">
              <w:t>0.50%</w:t>
            </w:r>
          </w:p>
        </w:tc>
        <w:tc>
          <w:tcPr>
            <w:tcW w:w="1240" w:type="dxa"/>
          </w:tcPr>
          <w:p w14:paraId="7815DBD6" w14:textId="77777777" w:rsidR="005B5999" w:rsidRPr="00835142" w:rsidRDefault="005B5999" w:rsidP="0099272F">
            <w:pPr>
              <w:pStyle w:val="Tabletext"/>
            </w:pPr>
            <w:r w:rsidRPr="00835142">
              <w:t>2.50%</w:t>
            </w:r>
          </w:p>
        </w:tc>
        <w:tc>
          <w:tcPr>
            <w:tcW w:w="1240" w:type="dxa"/>
          </w:tcPr>
          <w:p w14:paraId="799F9328" w14:textId="77777777" w:rsidR="005B5999" w:rsidRPr="00835142" w:rsidRDefault="005B5999" w:rsidP="0099272F">
            <w:pPr>
              <w:pStyle w:val="Tabletext"/>
            </w:pPr>
            <w:r w:rsidRPr="00835142">
              <w:t>1.90%</w:t>
            </w:r>
          </w:p>
        </w:tc>
        <w:tc>
          <w:tcPr>
            <w:tcW w:w="1240" w:type="dxa"/>
          </w:tcPr>
          <w:p w14:paraId="79DD4D74" w14:textId="77777777" w:rsidR="005B5999" w:rsidRPr="00835142" w:rsidRDefault="005B5999" w:rsidP="0099272F">
            <w:pPr>
              <w:pStyle w:val="Tabletext"/>
            </w:pPr>
            <w:r w:rsidRPr="00835142">
              <w:t>1.40%</w:t>
            </w:r>
          </w:p>
        </w:tc>
        <w:tc>
          <w:tcPr>
            <w:tcW w:w="1226" w:type="dxa"/>
          </w:tcPr>
          <w:p w14:paraId="39F158F2" w14:textId="77777777" w:rsidR="005B5999" w:rsidRPr="00835142" w:rsidRDefault="005B5999" w:rsidP="0099272F">
            <w:pPr>
              <w:pStyle w:val="Tabletext"/>
            </w:pPr>
            <w:r w:rsidRPr="00835142">
              <w:t>1.80%</w:t>
            </w:r>
          </w:p>
        </w:tc>
      </w:tr>
      <w:tr w:rsidR="005B5999" w:rsidRPr="00835142" w14:paraId="44579074" w14:textId="77777777" w:rsidTr="00835142">
        <w:tc>
          <w:tcPr>
            <w:tcW w:w="2819" w:type="dxa"/>
            <w:hideMark/>
          </w:tcPr>
          <w:p w14:paraId="1AA2E057" w14:textId="0FC89AB2" w:rsidR="005B5999" w:rsidRPr="00835142" w:rsidRDefault="005B5999" w:rsidP="0099272F">
            <w:pPr>
              <w:pStyle w:val="Tabletext"/>
            </w:pPr>
            <w:r w:rsidRPr="00835142">
              <w:t>Increase in medical costs</w:t>
            </w:r>
          </w:p>
        </w:tc>
        <w:tc>
          <w:tcPr>
            <w:tcW w:w="1240" w:type="dxa"/>
            <w:hideMark/>
          </w:tcPr>
          <w:p w14:paraId="758527DE" w14:textId="77777777" w:rsidR="005B5999" w:rsidRPr="00835142" w:rsidRDefault="005B5999" w:rsidP="0099272F">
            <w:pPr>
              <w:pStyle w:val="Tabletext"/>
            </w:pPr>
            <w:r w:rsidRPr="00835142">
              <w:t>2.50%</w:t>
            </w:r>
          </w:p>
        </w:tc>
        <w:tc>
          <w:tcPr>
            <w:tcW w:w="1240" w:type="dxa"/>
          </w:tcPr>
          <w:p w14:paraId="10576DAE" w14:textId="77777777" w:rsidR="005B5999" w:rsidRPr="00835142" w:rsidRDefault="005B5999" w:rsidP="0099272F">
            <w:pPr>
              <w:pStyle w:val="Tabletext"/>
            </w:pPr>
            <w:r w:rsidRPr="00835142">
              <w:t>2.80%</w:t>
            </w:r>
          </w:p>
        </w:tc>
        <w:tc>
          <w:tcPr>
            <w:tcW w:w="1240" w:type="dxa"/>
          </w:tcPr>
          <w:p w14:paraId="051773C5" w14:textId="77777777" w:rsidR="005B5999" w:rsidRPr="00835142" w:rsidRDefault="005B5999" w:rsidP="0099272F">
            <w:pPr>
              <w:pStyle w:val="Tabletext"/>
            </w:pPr>
            <w:r w:rsidRPr="00835142">
              <w:t>2.60%</w:t>
            </w:r>
          </w:p>
        </w:tc>
        <w:tc>
          <w:tcPr>
            <w:tcW w:w="1240" w:type="dxa"/>
          </w:tcPr>
          <w:p w14:paraId="6FC111F3" w14:textId="77777777" w:rsidR="005B5999" w:rsidRPr="00835142" w:rsidRDefault="005B5999" w:rsidP="0099272F">
            <w:pPr>
              <w:pStyle w:val="Tabletext"/>
            </w:pPr>
            <w:r w:rsidRPr="00835142">
              <w:t>2.40%</w:t>
            </w:r>
          </w:p>
        </w:tc>
        <w:tc>
          <w:tcPr>
            <w:tcW w:w="1226" w:type="dxa"/>
          </w:tcPr>
          <w:p w14:paraId="5CDA78C2" w14:textId="77777777" w:rsidR="005B5999" w:rsidRPr="00835142" w:rsidRDefault="005B5999" w:rsidP="0099272F">
            <w:pPr>
              <w:pStyle w:val="Tabletext"/>
            </w:pPr>
            <w:r w:rsidRPr="00835142">
              <w:t>2.20%</w:t>
            </w:r>
          </w:p>
        </w:tc>
      </w:tr>
      <w:tr w:rsidR="005B5999" w:rsidRPr="00835142" w14:paraId="7B8C1FBD" w14:textId="77777777" w:rsidTr="00835142">
        <w:tc>
          <w:tcPr>
            <w:tcW w:w="2819" w:type="dxa"/>
            <w:hideMark/>
          </w:tcPr>
          <w:p w14:paraId="6E4D9425" w14:textId="1DE3689F" w:rsidR="005B5999" w:rsidRPr="00835142" w:rsidRDefault="005B5999" w:rsidP="0099272F">
            <w:pPr>
              <w:pStyle w:val="Tabletext"/>
            </w:pPr>
            <w:r w:rsidRPr="00835142">
              <w:t>Salary increase</w:t>
            </w:r>
          </w:p>
        </w:tc>
        <w:tc>
          <w:tcPr>
            <w:tcW w:w="1240" w:type="dxa"/>
            <w:hideMark/>
          </w:tcPr>
          <w:p w14:paraId="31393FC3" w14:textId="77777777" w:rsidR="005B5999" w:rsidRPr="00835142" w:rsidRDefault="005B5999" w:rsidP="0099272F">
            <w:pPr>
              <w:pStyle w:val="Tabletext"/>
            </w:pPr>
            <w:r w:rsidRPr="00835142">
              <w:t>3.00%</w:t>
            </w:r>
          </w:p>
        </w:tc>
        <w:tc>
          <w:tcPr>
            <w:tcW w:w="1240" w:type="dxa"/>
          </w:tcPr>
          <w:p w14:paraId="7C4FDA1A" w14:textId="77777777" w:rsidR="005B5999" w:rsidRPr="00835142" w:rsidRDefault="005B5999" w:rsidP="0099272F">
            <w:pPr>
              <w:pStyle w:val="Tabletext"/>
            </w:pPr>
            <w:r w:rsidRPr="00835142">
              <w:t>3.00%</w:t>
            </w:r>
          </w:p>
        </w:tc>
        <w:tc>
          <w:tcPr>
            <w:tcW w:w="1240" w:type="dxa"/>
          </w:tcPr>
          <w:p w14:paraId="1E6F157A" w14:textId="77777777" w:rsidR="005B5999" w:rsidRPr="00835142" w:rsidRDefault="005B5999" w:rsidP="0099272F">
            <w:pPr>
              <w:pStyle w:val="Tabletext"/>
            </w:pPr>
            <w:r w:rsidRPr="00835142">
              <w:t>3.10%</w:t>
            </w:r>
          </w:p>
        </w:tc>
        <w:tc>
          <w:tcPr>
            <w:tcW w:w="1240" w:type="dxa"/>
          </w:tcPr>
          <w:p w14:paraId="2697B0E1" w14:textId="77777777" w:rsidR="005B5999" w:rsidRPr="00835142" w:rsidRDefault="005B5999" w:rsidP="0099272F">
            <w:pPr>
              <w:pStyle w:val="Tabletext"/>
            </w:pPr>
            <w:r w:rsidRPr="00835142">
              <w:t>3.10%</w:t>
            </w:r>
          </w:p>
        </w:tc>
        <w:tc>
          <w:tcPr>
            <w:tcW w:w="1226" w:type="dxa"/>
          </w:tcPr>
          <w:p w14:paraId="24696D20" w14:textId="77777777" w:rsidR="005B5999" w:rsidRPr="00835142" w:rsidRDefault="005B5999" w:rsidP="0099272F">
            <w:pPr>
              <w:pStyle w:val="Tabletext"/>
            </w:pPr>
            <w:r w:rsidRPr="00835142">
              <w:t>3.10%</w:t>
            </w:r>
          </w:p>
        </w:tc>
      </w:tr>
      <w:tr w:rsidR="005B5999" w:rsidRPr="00835142" w14:paraId="571D13C5" w14:textId="77777777" w:rsidTr="00835142">
        <w:tc>
          <w:tcPr>
            <w:tcW w:w="2819" w:type="dxa"/>
            <w:hideMark/>
          </w:tcPr>
          <w:p w14:paraId="49AAA1ED" w14:textId="383159F4" w:rsidR="005B5999" w:rsidRPr="00835142" w:rsidRDefault="005B5999" w:rsidP="0099272F">
            <w:pPr>
              <w:pStyle w:val="Tabletext"/>
            </w:pPr>
            <w:r w:rsidRPr="00835142">
              <w:t>ASHI liability at year-end</w:t>
            </w:r>
          </w:p>
        </w:tc>
        <w:tc>
          <w:tcPr>
            <w:tcW w:w="1240" w:type="dxa"/>
            <w:hideMark/>
          </w:tcPr>
          <w:p w14:paraId="3212DC23" w14:textId="77777777" w:rsidR="005B5999" w:rsidRPr="00835142" w:rsidRDefault="005B5999" w:rsidP="0099272F">
            <w:pPr>
              <w:pStyle w:val="Tabletext"/>
            </w:pPr>
            <w:r w:rsidRPr="00835142">
              <w:t>564 636</w:t>
            </w:r>
          </w:p>
        </w:tc>
        <w:tc>
          <w:tcPr>
            <w:tcW w:w="1240" w:type="dxa"/>
          </w:tcPr>
          <w:p w14:paraId="1893F8CB" w14:textId="77777777" w:rsidR="005B5999" w:rsidRPr="00835142" w:rsidRDefault="005B5999" w:rsidP="0099272F">
            <w:pPr>
              <w:pStyle w:val="Tabletext"/>
            </w:pPr>
            <w:r w:rsidRPr="00835142">
              <w:t>344 102</w:t>
            </w:r>
          </w:p>
        </w:tc>
        <w:tc>
          <w:tcPr>
            <w:tcW w:w="1240" w:type="dxa"/>
          </w:tcPr>
          <w:p w14:paraId="7FBC418F" w14:textId="77777777" w:rsidR="005B5999" w:rsidRPr="00835142" w:rsidRDefault="005B5999" w:rsidP="0099272F">
            <w:pPr>
              <w:pStyle w:val="Tabletext"/>
            </w:pPr>
            <w:r w:rsidRPr="00835142">
              <w:t>375 271</w:t>
            </w:r>
          </w:p>
        </w:tc>
        <w:tc>
          <w:tcPr>
            <w:tcW w:w="1240" w:type="dxa"/>
          </w:tcPr>
          <w:p w14:paraId="742C0587" w14:textId="77777777" w:rsidR="005B5999" w:rsidRPr="00835142" w:rsidRDefault="005B5999" w:rsidP="0099272F">
            <w:pPr>
              <w:pStyle w:val="Tabletext"/>
            </w:pPr>
            <w:r w:rsidRPr="00835142">
              <w:t>415 835</w:t>
            </w:r>
          </w:p>
        </w:tc>
        <w:tc>
          <w:tcPr>
            <w:tcW w:w="1226" w:type="dxa"/>
          </w:tcPr>
          <w:p w14:paraId="57DD128A" w14:textId="77777777" w:rsidR="005B5999" w:rsidRPr="00835142" w:rsidRDefault="005B5999" w:rsidP="0099272F">
            <w:pPr>
              <w:pStyle w:val="Tabletext"/>
            </w:pPr>
            <w:r w:rsidRPr="00835142">
              <w:t>378 824</w:t>
            </w:r>
          </w:p>
        </w:tc>
      </w:tr>
    </w:tbl>
    <w:p w14:paraId="212AC836" w14:textId="77777777" w:rsidR="00835142" w:rsidRDefault="00835142" w:rsidP="0099272F">
      <w:pPr>
        <w:pStyle w:val="Tablefin"/>
      </w:pPr>
    </w:p>
    <w:p w14:paraId="118C4C07" w14:textId="1802E11F" w:rsidR="005B5999" w:rsidRPr="00BA1A15" w:rsidRDefault="005B5999" w:rsidP="0099272F">
      <w:pPr>
        <w:jc w:val="both"/>
      </w:pPr>
      <w:r>
        <w:t>2.2</w:t>
      </w:r>
      <w:r w:rsidR="0099272F">
        <w:tab/>
      </w:r>
      <w:r w:rsidRPr="00BA1A15">
        <w:t xml:space="preserve">The decline observed in 2025 was driven primarily by favourable movements in the discount rate and medical inflation assumptions. Similar fluctuations have occurred in previous years. While such developments are welcome, they do not represent a structural solution because they are largely outside the Organization's control and may reverse in future periods. Sustainable financial improvement cannot rely on favourable actuarial movements but requires a deliberate and long-term funding strategy. </w:t>
      </w:r>
    </w:p>
    <w:p w14:paraId="4E4D6BC1" w14:textId="60D997CF" w:rsidR="005B5999" w:rsidRDefault="005B5999" w:rsidP="005B5999">
      <w:r>
        <w:t>2.3</w:t>
      </w:r>
      <w:r w:rsidR="0099272F">
        <w:tab/>
      </w:r>
      <w:r w:rsidRPr="00BA1A15">
        <w:t xml:space="preserve">The relationship between the </w:t>
      </w:r>
      <w:r>
        <w:t xml:space="preserve">Unfunded </w:t>
      </w:r>
      <w:r w:rsidRPr="00BA1A15">
        <w:t>ASHI obligation and the Organization's overall financial position is particularly significant.</w:t>
      </w:r>
    </w:p>
    <w:p w14:paraId="566D97AA" w14:textId="77777777" w:rsidR="0099272F" w:rsidRPr="00BA1A15" w:rsidRDefault="0099272F" w:rsidP="0099272F">
      <w:pPr>
        <w:pStyle w:val="Tablefin"/>
      </w:pPr>
    </w:p>
    <w:tbl>
      <w:tblPr>
        <w:tblStyle w:val="TableGrid"/>
        <w:tblW w:w="0" w:type="auto"/>
        <w:tblLook w:val="04A0" w:firstRow="1" w:lastRow="0" w:firstColumn="1" w:lastColumn="0" w:noHBand="0" w:noVBand="1"/>
      </w:tblPr>
      <w:tblGrid>
        <w:gridCol w:w="1223"/>
        <w:gridCol w:w="2545"/>
        <w:gridCol w:w="2546"/>
        <w:gridCol w:w="2546"/>
      </w:tblGrid>
      <w:tr w:rsidR="005B5999" w:rsidRPr="00BA1A15" w14:paraId="5ED6B3FC" w14:textId="77777777" w:rsidTr="0099272F">
        <w:trPr>
          <w:tblHeader/>
        </w:trPr>
        <w:tc>
          <w:tcPr>
            <w:tcW w:w="1223" w:type="dxa"/>
            <w:hideMark/>
          </w:tcPr>
          <w:p w14:paraId="0B2BA255" w14:textId="77777777" w:rsidR="005B5999" w:rsidRPr="00BA1A15" w:rsidRDefault="005B5999" w:rsidP="0099272F">
            <w:pPr>
              <w:pStyle w:val="Tablehead"/>
            </w:pPr>
            <w:r w:rsidRPr="00BA1A15">
              <w:t>Year</w:t>
            </w:r>
          </w:p>
        </w:tc>
        <w:tc>
          <w:tcPr>
            <w:tcW w:w="2545" w:type="dxa"/>
            <w:hideMark/>
          </w:tcPr>
          <w:p w14:paraId="23FF5AD7" w14:textId="1F2E0EFE" w:rsidR="005B5999" w:rsidRPr="00BA1A15" w:rsidRDefault="005B5999" w:rsidP="0099272F">
            <w:pPr>
              <w:pStyle w:val="Tablehead"/>
            </w:pPr>
            <w:r>
              <w:t xml:space="preserve">Unfunded </w:t>
            </w:r>
            <w:r w:rsidRPr="00BA1A15">
              <w:t xml:space="preserve">ASHI Liability </w:t>
            </w:r>
            <w:r w:rsidR="0099272F">
              <w:br/>
            </w:r>
            <w:r w:rsidRPr="00BA1A15">
              <w:t>(CHF million)</w:t>
            </w:r>
          </w:p>
        </w:tc>
        <w:tc>
          <w:tcPr>
            <w:tcW w:w="2546" w:type="dxa"/>
            <w:hideMark/>
          </w:tcPr>
          <w:p w14:paraId="164CBA48" w14:textId="4501DE78" w:rsidR="005B5999" w:rsidRPr="00BA1A15" w:rsidRDefault="005B5999" w:rsidP="0099272F">
            <w:pPr>
              <w:pStyle w:val="Tablehead"/>
            </w:pPr>
            <w:r w:rsidRPr="00BA1A15">
              <w:t xml:space="preserve">Net Assets </w:t>
            </w:r>
            <w:r w:rsidR="0099272F">
              <w:br/>
            </w:r>
            <w:r w:rsidRPr="00BA1A15">
              <w:t>(CHF million)</w:t>
            </w:r>
          </w:p>
        </w:tc>
        <w:tc>
          <w:tcPr>
            <w:tcW w:w="2546" w:type="dxa"/>
            <w:hideMark/>
          </w:tcPr>
          <w:p w14:paraId="18931D46" w14:textId="73C08445" w:rsidR="005B5999" w:rsidRPr="00BA1A15" w:rsidRDefault="005B5999" w:rsidP="0099272F">
            <w:pPr>
              <w:pStyle w:val="Tablehead"/>
            </w:pPr>
            <w:r w:rsidRPr="00BA1A15">
              <w:t xml:space="preserve">Unfunded ASHI / </w:t>
            </w:r>
            <w:r w:rsidR="0099272F">
              <w:br/>
            </w:r>
            <w:r w:rsidRPr="00BA1A15">
              <w:t>Net Assets</w:t>
            </w:r>
          </w:p>
        </w:tc>
      </w:tr>
      <w:tr w:rsidR="005B5999" w:rsidRPr="00BA1A15" w14:paraId="235A9EF6" w14:textId="77777777" w:rsidTr="0099272F">
        <w:tc>
          <w:tcPr>
            <w:tcW w:w="1223" w:type="dxa"/>
            <w:hideMark/>
          </w:tcPr>
          <w:p w14:paraId="6DC3B52B" w14:textId="77777777" w:rsidR="005B5999" w:rsidRPr="00BA1A15" w:rsidRDefault="005B5999" w:rsidP="0099272F">
            <w:pPr>
              <w:pStyle w:val="Tabletext"/>
              <w:jc w:val="center"/>
            </w:pPr>
            <w:r w:rsidRPr="00BA1A15">
              <w:t>2021</w:t>
            </w:r>
          </w:p>
        </w:tc>
        <w:tc>
          <w:tcPr>
            <w:tcW w:w="2545" w:type="dxa"/>
            <w:hideMark/>
          </w:tcPr>
          <w:p w14:paraId="080A1EAC" w14:textId="77777777" w:rsidR="005B5999" w:rsidRPr="00BA1A15" w:rsidRDefault="005B5999" w:rsidP="0099272F">
            <w:pPr>
              <w:pStyle w:val="Tabletext"/>
              <w:jc w:val="right"/>
            </w:pPr>
            <w:r w:rsidRPr="00BA1A15">
              <w:t>5</w:t>
            </w:r>
            <w:r>
              <w:t>51</w:t>
            </w:r>
            <w:r w:rsidRPr="00BA1A15">
              <w:t>.6</w:t>
            </w:r>
          </w:p>
        </w:tc>
        <w:tc>
          <w:tcPr>
            <w:tcW w:w="2546" w:type="dxa"/>
            <w:hideMark/>
          </w:tcPr>
          <w:p w14:paraId="07475D44" w14:textId="77777777" w:rsidR="005B5999" w:rsidRPr="00BA1A15" w:rsidRDefault="005B5999" w:rsidP="0099272F">
            <w:pPr>
              <w:pStyle w:val="Tabletext"/>
              <w:jc w:val="right"/>
            </w:pPr>
            <w:r w:rsidRPr="00BA1A15">
              <w:t>(410.8)</w:t>
            </w:r>
          </w:p>
        </w:tc>
        <w:tc>
          <w:tcPr>
            <w:tcW w:w="2546" w:type="dxa"/>
            <w:hideMark/>
          </w:tcPr>
          <w:p w14:paraId="57D1B6B2" w14:textId="77777777" w:rsidR="005B5999" w:rsidRPr="00BA1A15" w:rsidRDefault="005B5999" w:rsidP="0099272F">
            <w:pPr>
              <w:pStyle w:val="Tabletext"/>
              <w:jc w:val="right"/>
            </w:pPr>
            <w:r w:rsidRPr="00BA1A15">
              <w:t>13</w:t>
            </w:r>
            <w:r>
              <w:t>4</w:t>
            </w:r>
            <w:r w:rsidRPr="00BA1A15">
              <w:t>%</w:t>
            </w:r>
          </w:p>
        </w:tc>
      </w:tr>
      <w:tr w:rsidR="005B5999" w:rsidRPr="00BA1A15" w14:paraId="4C33A55A" w14:textId="77777777" w:rsidTr="0099272F">
        <w:tc>
          <w:tcPr>
            <w:tcW w:w="1223" w:type="dxa"/>
            <w:hideMark/>
          </w:tcPr>
          <w:p w14:paraId="6691041A" w14:textId="77777777" w:rsidR="005B5999" w:rsidRPr="00BA1A15" w:rsidRDefault="005B5999" w:rsidP="0099272F">
            <w:pPr>
              <w:pStyle w:val="Tabletext"/>
              <w:jc w:val="center"/>
            </w:pPr>
            <w:r w:rsidRPr="00BA1A15">
              <w:t>2022</w:t>
            </w:r>
          </w:p>
        </w:tc>
        <w:tc>
          <w:tcPr>
            <w:tcW w:w="2545" w:type="dxa"/>
            <w:hideMark/>
          </w:tcPr>
          <w:p w14:paraId="6457573F" w14:textId="77777777" w:rsidR="005B5999" w:rsidRPr="00BA1A15" w:rsidRDefault="005B5999" w:rsidP="0099272F">
            <w:pPr>
              <w:pStyle w:val="Tabletext"/>
              <w:jc w:val="right"/>
            </w:pPr>
            <w:r w:rsidRPr="00BA1A15">
              <w:t>3</w:t>
            </w:r>
            <w:r>
              <w:t>30</w:t>
            </w:r>
            <w:r w:rsidRPr="00BA1A15">
              <w:t>.1</w:t>
            </w:r>
          </w:p>
        </w:tc>
        <w:tc>
          <w:tcPr>
            <w:tcW w:w="2546" w:type="dxa"/>
            <w:hideMark/>
          </w:tcPr>
          <w:p w14:paraId="05BB0B1E" w14:textId="77777777" w:rsidR="005B5999" w:rsidRPr="00BA1A15" w:rsidRDefault="005B5999" w:rsidP="0099272F">
            <w:pPr>
              <w:pStyle w:val="Tabletext"/>
              <w:jc w:val="right"/>
            </w:pPr>
            <w:r w:rsidRPr="00BA1A15">
              <w:t>(213.1)</w:t>
            </w:r>
          </w:p>
        </w:tc>
        <w:tc>
          <w:tcPr>
            <w:tcW w:w="2546" w:type="dxa"/>
            <w:hideMark/>
          </w:tcPr>
          <w:p w14:paraId="73A641B5" w14:textId="77777777" w:rsidR="005B5999" w:rsidRPr="00BA1A15" w:rsidRDefault="005B5999" w:rsidP="0099272F">
            <w:pPr>
              <w:pStyle w:val="Tabletext"/>
              <w:jc w:val="right"/>
            </w:pPr>
            <w:r w:rsidRPr="00BA1A15">
              <w:t>1</w:t>
            </w:r>
            <w:r>
              <w:t>55</w:t>
            </w:r>
            <w:r w:rsidRPr="00BA1A15">
              <w:t>%</w:t>
            </w:r>
          </w:p>
        </w:tc>
      </w:tr>
      <w:tr w:rsidR="005B5999" w:rsidRPr="00BA1A15" w14:paraId="52472FF2" w14:textId="77777777" w:rsidTr="0099272F">
        <w:tc>
          <w:tcPr>
            <w:tcW w:w="1223" w:type="dxa"/>
            <w:hideMark/>
          </w:tcPr>
          <w:p w14:paraId="745B5D69" w14:textId="77777777" w:rsidR="005B5999" w:rsidRPr="00BA1A15" w:rsidRDefault="005B5999" w:rsidP="0099272F">
            <w:pPr>
              <w:pStyle w:val="Tabletext"/>
              <w:jc w:val="center"/>
            </w:pPr>
            <w:r w:rsidRPr="00BA1A15">
              <w:t>2023</w:t>
            </w:r>
          </w:p>
        </w:tc>
        <w:tc>
          <w:tcPr>
            <w:tcW w:w="2545" w:type="dxa"/>
            <w:hideMark/>
          </w:tcPr>
          <w:p w14:paraId="701B7EAD" w14:textId="77777777" w:rsidR="005B5999" w:rsidRPr="00BA1A15" w:rsidRDefault="005B5999" w:rsidP="0099272F">
            <w:pPr>
              <w:pStyle w:val="Tabletext"/>
              <w:jc w:val="right"/>
            </w:pPr>
            <w:r w:rsidRPr="00BA1A15">
              <w:t>3</w:t>
            </w:r>
            <w:r>
              <w:t>61</w:t>
            </w:r>
            <w:r w:rsidRPr="00BA1A15">
              <w:t>.3</w:t>
            </w:r>
          </w:p>
        </w:tc>
        <w:tc>
          <w:tcPr>
            <w:tcW w:w="2546" w:type="dxa"/>
            <w:hideMark/>
          </w:tcPr>
          <w:p w14:paraId="69D7A4A9" w14:textId="77777777" w:rsidR="005B5999" w:rsidRPr="00BA1A15" w:rsidRDefault="005B5999" w:rsidP="0099272F">
            <w:pPr>
              <w:pStyle w:val="Tabletext"/>
              <w:jc w:val="right"/>
            </w:pPr>
            <w:r w:rsidRPr="00BA1A15">
              <w:t>(257.4)</w:t>
            </w:r>
          </w:p>
        </w:tc>
        <w:tc>
          <w:tcPr>
            <w:tcW w:w="2546" w:type="dxa"/>
            <w:hideMark/>
          </w:tcPr>
          <w:p w14:paraId="10D4E44E" w14:textId="77777777" w:rsidR="005B5999" w:rsidRPr="00BA1A15" w:rsidRDefault="005B5999" w:rsidP="0099272F">
            <w:pPr>
              <w:pStyle w:val="Tabletext"/>
              <w:jc w:val="right"/>
            </w:pPr>
            <w:r w:rsidRPr="00BA1A15">
              <w:t>14</w:t>
            </w:r>
            <w:r>
              <w:t>0</w:t>
            </w:r>
            <w:r w:rsidRPr="00BA1A15">
              <w:t>%</w:t>
            </w:r>
          </w:p>
        </w:tc>
      </w:tr>
      <w:tr w:rsidR="005B5999" w:rsidRPr="00BA1A15" w14:paraId="63B8CF56" w14:textId="77777777" w:rsidTr="0099272F">
        <w:tc>
          <w:tcPr>
            <w:tcW w:w="1223" w:type="dxa"/>
            <w:hideMark/>
          </w:tcPr>
          <w:p w14:paraId="100725D1" w14:textId="77777777" w:rsidR="005B5999" w:rsidRPr="00BA1A15" w:rsidRDefault="005B5999" w:rsidP="0099272F">
            <w:pPr>
              <w:pStyle w:val="Tabletext"/>
              <w:jc w:val="center"/>
            </w:pPr>
            <w:r w:rsidRPr="00BA1A15">
              <w:lastRenderedPageBreak/>
              <w:t>2024</w:t>
            </w:r>
          </w:p>
        </w:tc>
        <w:tc>
          <w:tcPr>
            <w:tcW w:w="2545" w:type="dxa"/>
            <w:hideMark/>
          </w:tcPr>
          <w:p w14:paraId="7D4280AA" w14:textId="77777777" w:rsidR="005B5999" w:rsidRPr="00BA1A15" w:rsidRDefault="005B5999" w:rsidP="0099272F">
            <w:pPr>
              <w:pStyle w:val="Tabletext"/>
              <w:jc w:val="right"/>
            </w:pPr>
            <w:r w:rsidRPr="00BA1A15">
              <w:t>4</w:t>
            </w:r>
            <w:r>
              <w:t>00</w:t>
            </w:r>
            <w:r w:rsidRPr="00BA1A15">
              <w:t>.8</w:t>
            </w:r>
          </w:p>
        </w:tc>
        <w:tc>
          <w:tcPr>
            <w:tcW w:w="2546" w:type="dxa"/>
            <w:hideMark/>
          </w:tcPr>
          <w:p w14:paraId="7B4EED5E" w14:textId="77777777" w:rsidR="005B5999" w:rsidRPr="00BA1A15" w:rsidRDefault="005B5999" w:rsidP="0099272F">
            <w:pPr>
              <w:pStyle w:val="Tabletext"/>
              <w:jc w:val="right"/>
            </w:pPr>
            <w:r w:rsidRPr="00BA1A15">
              <w:t>(318.0)</w:t>
            </w:r>
          </w:p>
        </w:tc>
        <w:tc>
          <w:tcPr>
            <w:tcW w:w="2546" w:type="dxa"/>
            <w:hideMark/>
          </w:tcPr>
          <w:p w14:paraId="1DF539D8" w14:textId="77777777" w:rsidR="005B5999" w:rsidRPr="00BA1A15" w:rsidRDefault="005B5999" w:rsidP="0099272F">
            <w:pPr>
              <w:pStyle w:val="Tabletext"/>
              <w:jc w:val="right"/>
            </w:pPr>
            <w:r w:rsidRPr="00BA1A15">
              <w:t>1</w:t>
            </w:r>
            <w:r>
              <w:t>26</w:t>
            </w:r>
            <w:r w:rsidRPr="00BA1A15">
              <w:t>%</w:t>
            </w:r>
          </w:p>
        </w:tc>
      </w:tr>
      <w:tr w:rsidR="005B5999" w:rsidRPr="00BA1A15" w14:paraId="38BF2091" w14:textId="77777777" w:rsidTr="0099272F">
        <w:tc>
          <w:tcPr>
            <w:tcW w:w="1223" w:type="dxa"/>
            <w:hideMark/>
          </w:tcPr>
          <w:p w14:paraId="43F6F51A" w14:textId="77777777" w:rsidR="005B5999" w:rsidRPr="00BA1A15" w:rsidRDefault="005B5999" w:rsidP="0099272F">
            <w:pPr>
              <w:pStyle w:val="Tabletext"/>
              <w:jc w:val="center"/>
            </w:pPr>
            <w:r w:rsidRPr="00BA1A15">
              <w:t>2025</w:t>
            </w:r>
          </w:p>
        </w:tc>
        <w:tc>
          <w:tcPr>
            <w:tcW w:w="2545" w:type="dxa"/>
            <w:hideMark/>
          </w:tcPr>
          <w:p w14:paraId="7425BEA2" w14:textId="77777777" w:rsidR="005B5999" w:rsidRPr="00BA1A15" w:rsidRDefault="005B5999" w:rsidP="0099272F">
            <w:pPr>
              <w:pStyle w:val="Tabletext"/>
              <w:jc w:val="right"/>
            </w:pPr>
            <w:r w:rsidRPr="00BA1A15">
              <w:t>3</w:t>
            </w:r>
            <w:r>
              <w:t>63</w:t>
            </w:r>
            <w:r w:rsidRPr="00BA1A15">
              <w:t>.8</w:t>
            </w:r>
          </w:p>
        </w:tc>
        <w:tc>
          <w:tcPr>
            <w:tcW w:w="2546" w:type="dxa"/>
            <w:hideMark/>
          </w:tcPr>
          <w:p w14:paraId="670F4509" w14:textId="77777777" w:rsidR="005B5999" w:rsidRPr="00BA1A15" w:rsidRDefault="005B5999" w:rsidP="0099272F">
            <w:pPr>
              <w:pStyle w:val="Tabletext"/>
              <w:jc w:val="right"/>
            </w:pPr>
            <w:r w:rsidRPr="00BA1A15">
              <w:t>(279.4)</w:t>
            </w:r>
          </w:p>
        </w:tc>
        <w:tc>
          <w:tcPr>
            <w:tcW w:w="2546" w:type="dxa"/>
            <w:hideMark/>
          </w:tcPr>
          <w:p w14:paraId="4FD85198" w14:textId="77777777" w:rsidR="005B5999" w:rsidRPr="00BA1A15" w:rsidRDefault="005B5999" w:rsidP="0099272F">
            <w:pPr>
              <w:pStyle w:val="Tabletext"/>
              <w:jc w:val="right"/>
            </w:pPr>
            <w:r w:rsidRPr="00BA1A15">
              <w:t>13</w:t>
            </w:r>
            <w:r>
              <w:t>0</w:t>
            </w:r>
            <w:r w:rsidRPr="00BA1A15">
              <w:t>%</w:t>
            </w:r>
          </w:p>
        </w:tc>
      </w:tr>
    </w:tbl>
    <w:p w14:paraId="27F5F648" w14:textId="77777777" w:rsidR="0099272F" w:rsidRDefault="0099272F" w:rsidP="0099272F">
      <w:pPr>
        <w:pStyle w:val="Tablefin"/>
      </w:pPr>
    </w:p>
    <w:p w14:paraId="1751272E" w14:textId="60878906" w:rsidR="005B5999" w:rsidRDefault="005B5999" w:rsidP="00A73990">
      <w:pPr>
        <w:jc w:val="both"/>
      </w:pPr>
      <w:r>
        <w:t>2.4</w:t>
      </w:r>
      <w:r w:rsidR="00A73990">
        <w:tab/>
      </w:r>
      <w:r>
        <w:t xml:space="preserve">The table above demonstrates that the unfunded ASHI liability consistently exceeds the Organization's assets. In practical terms, the Union's negative net asset position is largely attributable to the absence of adequate funding for post-employment benefit obligations. </w:t>
      </w:r>
    </w:p>
    <w:p w14:paraId="1F58D4A6" w14:textId="0FF88A7E" w:rsidR="005B5999" w:rsidRDefault="005B5999" w:rsidP="00A73990">
      <w:pPr>
        <w:jc w:val="both"/>
      </w:pPr>
      <w:r>
        <w:t>2.5</w:t>
      </w:r>
      <w:r w:rsidR="00A73990">
        <w:tab/>
      </w:r>
      <w:r>
        <w:t>Other employee’s entitlements such as annual leave (CHF 11.2 million) and repatriation (CHF 12.3 million) are funded.</w:t>
      </w:r>
      <w:r w:rsidDel="006E0241">
        <w:t xml:space="preserve"> </w:t>
      </w:r>
      <w:r>
        <w:t xml:space="preserve"> </w:t>
      </w:r>
    </w:p>
    <w:p w14:paraId="2DE29BFA" w14:textId="266E647F" w:rsidR="005B5999" w:rsidRPr="003247F4" w:rsidRDefault="005B5999" w:rsidP="00A73990">
      <w:pPr>
        <w:jc w:val="both"/>
      </w:pPr>
      <w:r>
        <w:t>2.6</w:t>
      </w:r>
      <w:r w:rsidR="00A73990">
        <w:tab/>
      </w:r>
      <w:r>
        <w:t xml:space="preserve">As for pension, given </w:t>
      </w:r>
      <w:r w:rsidRPr="003247F4">
        <w:t>ITU participat</w:t>
      </w:r>
      <w:r>
        <w:t>es</w:t>
      </w:r>
      <w:r w:rsidRPr="003247F4">
        <w:t xml:space="preserve"> in the United Nations Joint Staff Pension Fund (UNJSPF),</w:t>
      </w:r>
      <w:r>
        <w:t xml:space="preserve"> the financial risks and exposures are managed directly by the Fund, a </w:t>
      </w:r>
      <w:r w:rsidRPr="003247F4">
        <w:t>funded, multi-employer defined benefit plan</w:t>
      </w:r>
      <w:r w:rsidRPr="00964023">
        <w:t xml:space="preserve"> </w:t>
      </w:r>
      <w:r>
        <w:t xml:space="preserve">and are not included in the Union’s balance sheet in accordance with IPSAS 39, as a </w:t>
      </w:r>
      <w:r w:rsidRPr="003247F4">
        <w:t>defined contribution plan</w:t>
      </w:r>
      <w:r>
        <w:t>. The contributions historically paid by ITU to the Fund have been around 1% of total contributions received by the Fund.</w:t>
      </w:r>
    </w:p>
    <w:p w14:paraId="69869E15" w14:textId="77777777" w:rsidR="005B5999" w:rsidRPr="00963990" w:rsidRDefault="005B5999" w:rsidP="00A73990">
      <w:pPr>
        <w:pStyle w:val="Heading1"/>
      </w:pPr>
      <w:r w:rsidRPr="00963990">
        <w:t>3</w:t>
      </w:r>
      <w:r w:rsidRPr="00963990">
        <w:tab/>
      </w:r>
      <w:r>
        <w:t>Acknowledging the Progress Already Made</w:t>
      </w:r>
    </w:p>
    <w:p w14:paraId="6C6B8AC8" w14:textId="1C41E07A" w:rsidR="005B5999" w:rsidRPr="00BA1A15" w:rsidRDefault="005B5999" w:rsidP="00A73990">
      <w:pPr>
        <w:jc w:val="both"/>
      </w:pPr>
      <w:r>
        <w:t>3.1</w:t>
      </w:r>
      <w:r w:rsidR="00A73990">
        <w:tab/>
      </w:r>
      <w:r w:rsidRPr="00BA1A15">
        <w:t>The Council has already taken important and commendable steps towards addressing this challenge</w:t>
      </w:r>
      <w:r>
        <w:t xml:space="preserve">, including the </w:t>
      </w:r>
      <w:r w:rsidRPr="00BA1A15">
        <w:t>creation and gradual funding of a dedicated ASHI reserve</w:t>
      </w:r>
      <w:r>
        <w:t xml:space="preserve"> through:</w:t>
      </w:r>
    </w:p>
    <w:p w14:paraId="74B7FDDC" w14:textId="1648F9EB" w:rsidR="005B5999" w:rsidRPr="00BA1A15" w:rsidRDefault="00A73990" w:rsidP="00A73990">
      <w:pPr>
        <w:pStyle w:val="enumlev1"/>
      </w:pPr>
      <w:r>
        <w:t>–</w:t>
      </w:r>
      <w:r>
        <w:tab/>
        <w:t xml:space="preserve">the </w:t>
      </w:r>
      <w:r w:rsidR="005B5999">
        <w:t>allocation of CHF 1 million per biennium to the ASHI fund;</w:t>
      </w:r>
    </w:p>
    <w:p w14:paraId="5192CDA4" w14:textId="2A36F175" w:rsidR="005B5999" w:rsidRPr="00BA1A15" w:rsidRDefault="00A73990" w:rsidP="00A73990">
      <w:pPr>
        <w:pStyle w:val="enumlev1"/>
      </w:pPr>
      <w:r>
        <w:t>–</w:t>
      </w:r>
      <w:r>
        <w:tab/>
        <w:t xml:space="preserve">the </w:t>
      </w:r>
      <w:r w:rsidR="005B5999">
        <w:t xml:space="preserve">introduction, effective 1 January 2026, of a payroll-based funding mechanism equivalent to 5.35 per cent of base salary for newly recruited staff. </w:t>
      </w:r>
    </w:p>
    <w:p w14:paraId="07E7FC00" w14:textId="7A6F83C5" w:rsidR="005B5999" w:rsidRPr="00BA1A15" w:rsidRDefault="005B5999" w:rsidP="00A73990">
      <w:pPr>
        <w:jc w:val="both"/>
      </w:pPr>
      <w:r>
        <w:t>3.2</w:t>
      </w:r>
      <w:r w:rsidR="00A73990">
        <w:tab/>
      </w:r>
      <w:r w:rsidRPr="00BA1A15">
        <w:t>These decisions represent prudent and responsible actions. They signal recognition of the issue and establish an initial framework for future funding.</w:t>
      </w:r>
    </w:p>
    <w:p w14:paraId="69BB434B" w14:textId="32C824D4" w:rsidR="005B5999" w:rsidRDefault="005B5999" w:rsidP="00A73990">
      <w:pPr>
        <w:jc w:val="both"/>
      </w:pPr>
      <w:r>
        <w:t>3.3</w:t>
      </w:r>
      <w:r w:rsidR="00A73990">
        <w:tab/>
      </w:r>
      <w:r>
        <w:t xml:space="preserve">However, both the External Auditor and recent actuarial analyses have highlighted that the current measures, while positive, do not yet constitute a comprehensive long-term funding strategy capable of materially reducing the funding gap within a reasonable timeframe. Para 1.21 of the External Auditor’s report on the ITU’s 2025 financial statements reads: </w:t>
      </w:r>
      <w:r w:rsidRPr="00A73990">
        <w:t>“This is a prudent measure and has been approved by Council 2026. While this will address some of the future liability, given it is the most significant financial risk facing the Union, an overarching policy and strategy for the After-Service Health Insurance liability should be developed”.</w:t>
      </w:r>
      <w:r>
        <w:t xml:space="preserve"> </w:t>
      </w:r>
    </w:p>
    <w:p w14:paraId="50119665" w14:textId="59F69592" w:rsidR="005B5999" w:rsidRDefault="005B5999" w:rsidP="00A73990">
      <w:pPr>
        <w:jc w:val="both"/>
      </w:pPr>
      <w:r>
        <w:t>3.4</w:t>
      </w:r>
      <w:r w:rsidR="00A73990">
        <w:tab/>
      </w:r>
      <w:r>
        <w:t>As shown in the chart below, current measures clearly do not allow ITU to achieve a sufficient funding target within a reasonable timeframe.</w:t>
      </w:r>
    </w:p>
    <w:p w14:paraId="622EC353" w14:textId="77777777" w:rsidR="005B5999" w:rsidRPr="00604F16" w:rsidRDefault="005B5999" w:rsidP="0099272F">
      <w:pPr>
        <w:pStyle w:val="Figure"/>
      </w:pPr>
      <w:r>
        <w:lastRenderedPageBreak/>
        <w:drawing>
          <wp:inline distT="0" distB="0" distL="0" distR="0" wp14:anchorId="28B7C49A" wp14:editId="6A3BDACF">
            <wp:extent cx="5760085" cy="2918460"/>
            <wp:effectExtent l="0" t="0" r="0" b="0"/>
            <wp:docPr id="1093618670" name="Picture 2">
              <a:extLst xmlns:a="http://schemas.openxmlformats.org/drawingml/2006/main">
                <a:ext uri="{FF2B5EF4-FFF2-40B4-BE49-F238E27FC236}">
                  <a16:creationId xmlns:a16="http://schemas.microsoft.com/office/drawing/2014/main" id="{D38AACC8-C4CF-4537-AE03-7EFE00EB59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2918460"/>
                    </a:xfrm>
                    <a:prstGeom prst="rect">
                      <a:avLst/>
                    </a:prstGeom>
                    <a:noFill/>
                    <a:ln>
                      <a:noFill/>
                    </a:ln>
                  </pic:spPr>
                </pic:pic>
              </a:graphicData>
            </a:graphic>
          </wp:inline>
        </w:drawing>
      </w:r>
    </w:p>
    <w:p w14:paraId="4D9EA52E" w14:textId="77777777" w:rsidR="005B5999" w:rsidRDefault="005B5999" w:rsidP="00A73990">
      <w:pPr>
        <w:pStyle w:val="Heading1"/>
      </w:pPr>
      <w:r w:rsidRPr="7768600E">
        <w:t>4</w:t>
      </w:r>
      <w:r>
        <w:tab/>
      </w:r>
      <w:r w:rsidRPr="7768600E">
        <w:t>Why Action is Required</w:t>
      </w:r>
    </w:p>
    <w:p w14:paraId="5A33A309" w14:textId="77777777" w:rsidR="005B5999" w:rsidRPr="00BA1A15" w:rsidRDefault="005B5999" w:rsidP="00A73990">
      <w:pPr>
        <w:pStyle w:val="Headingb"/>
      </w:pPr>
      <w:r w:rsidRPr="00BA1A15">
        <w:t>Financial Sustainability</w:t>
      </w:r>
    </w:p>
    <w:p w14:paraId="0A027B7F" w14:textId="2B45B220" w:rsidR="005B5999" w:rsidRPr="00BA1A15" w:rsidRDefault="005B5999" w:rsidP="00A73990">
      <w:pPr>
        <w:jc w:val="both"/>
      </w:pPr>
      <w:r>
        <w:t>4.1</w:t>
      </w:r>
      <w:r w:rsidR="00A73990">
        <w:tab/>
      </w:r>
      <w:r w:rsidRPr="00BA1A15">
        <w:t>The issue is not whether the Organization can continue to meet its current benefit payments. It can.</w:t>
      </w:r>
      <w:r>
        <w:t xml:space="preserve"> </w:t>
      </w:r>
      <w:r w:rsidRPr="00BA1A15">
        <w:t xml:space="preserve">The issue is whether the Organization should continue to carry a substantial unfunded liability that weakens its balance sheet, exposes it to </w:t>
      </w:r>
      <w:r>
        <w:t xml:space="preserve">external stakeholders’ scrutiny </w:t>
      </w:r>
      <w:r w:rsidRPr="00BA1A15">
        <w:t xml:space="preserve">and </w:t>
      </w:r>
      <w:r>
        <w:t xml:space="preserve">increases </w:t>
      </w:r>
      <w:r w:rsidRPr="00BA1A15">
        <w:t>future financial pressures.</w:t>
      </w:r>
    </w:p>
    <w:p w14:paraId="1C4867D8" w14:textId="4A4DE3BB" w:rsidR="005B5999" w:rsidRDefault="005B5999" w:rsidP="00A73990">
      <w:pPr>
        <w:jc w:val="both"/>
      </w:pPr>
      <w:r>
        <w:t>4.2</w:t>
      </w:r>
      <w:r w:rsidR="00A73990">
        <w:tab/>
      </w:r>
      <w:r>
        <w:t>More importantly, pay-as-you-go will increase and future service cost and interest will increase even further, inevitably increasing the gap between the current strategy and future accrued service obligations, therefore further increasing the unfunded gap and the need of future resources.</w:t>
      </w:r>
    </w:p>
    <w:p w14:paraId="20C47F7F" w14:textId="3FBBF184" w:rsidR="005B5999" w:rsidRDefault="005B5999" w:rsidP="00A73990">
      <w:pPr>
        <w:jc w:val="both"/>
        <w:sectPr w:rsidR="005B5999" w:rsidSect="005B5999">
          <w:headerReference w:type="default" r:id="rId12"/>
          <w:footerReference w:type="first" r:id="rId13"/>
          <w:type w:val="continuous"/>
          <w:pgSz w:w="11907" w:h="16834"/>
          <w:pgMar w:top="1418" w:right="1418" w:bottom="1418" w:left="1418" w:header="720" w:footer="720" w:gutter="0"/>
          <w:paperSrc w:first="286" w:other="286"/>
          <w:cols w:space="720"/>
          <w:titlePg/>
          <w:docGrid w:linePitch="326"/>
        </w:sectPr>
      </w:pPr>
      <w:r>
        <w:t>4.3</w:t>
      </w:r>
      <w:r w:rsidR="00A73990">
        <w:tab/>
      </w:r>
      <w:r>
        <w:t xml:space="preserve">The chart below shows the expected trend in the benefit payments and the related percentage over annual payroll. In absence of new measures, the annual payments will increase from the current 3% of total annual payroll expense to nearly 10% in 30 years, representing approximately up 9% of budget and further up afterwards. </w:t>
      </w:r>
    </w:p>
    <w:p w14:paraId="3841612A" w14:textId="77777777" w:rsidR="005B5999" w:rsidRDefault="005B5999" w:rsidP="00A73990">
      <w:pPr>
        <w:pStyle w:val="Figure"/>
        <w:sectPr w:rsidR="005B5999" w:rsidSect="00A73990">
          <w:pgSz w:w="16834" w:h="11907" w:orient="landscape"/>
          <w:pgMar w:top="1418" w:right="1418" w:bottom="1418" w:left="1418" w:header="720" w:footer="720" w:gutter="0"/>
          <w:paperSrc w:first="286" w:other="286"/>
          <w:cols w:space="720"/>
          <w:docGrid w:linePitch="326"/>
        </w:sectPr>
      </w:pPr>
      <w:r w:rsidRPr="00EF5FD2">
        <w:lastRenderedPageBreak/>
        <w:drawing>
          <wp:inline distT="0" distB="0" distL="0" distR="0" wp14:anchorId="27162ABC" wp14:editId="18723C4D">
            <wp:extent cx="8888730" cy="4267200"/>
            <wp:effectExtent l="0" t="0" r="7620" b="0"/>
            <wp:docPr id="1561623366" name="Picture 2">
              <a:extLst xmlns:a="http://schemas.openxmlformats.org/drawingml/2006/main">
                <a:ext uri="{FF2B5EF4-FFF2-40B4-BE49-F238E27FC236}">
                  <a16:creationId xmlns:a16="http://schemas.microsoft.com/office/drawing/2014/main" id="{BF06B6DE-3B0D-4F5F-8CD4-AAA73B0A05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61052" name=""/>
                    <pic:cNvPicPr/>
                  </pic:nvPicPr>
                  <pic:blipFill>
                    <a:blip r:embed="rId14"/>
                    <a:stretch>
                      <a:fillRect/>
                    </a:stretch>
                  </pic:blipFill>
                  <pic:spPr>
                    <a:xfrm>
                      <a:off x="0" y="0"/>
                      <a:ext cx="8888730" cy="4267200"/>
                    </a:xfrm>
                    <a:prstGeom prst="rect">
                      <a:avLst/>
                    </a:prstGeom>
                  </pic:spPr>
                </pic:pic>
              </a:graphicData>
            </a:graphic>
          </wp:inline>
        </w:drawing>
      </w:r>
    </w:p>
    <w:p w14:paraId="17A048D1" w14:textId="7120B63F" w:rsidR="005B5999" w:rsidRPr="00BA1A15" w:rsidRDefault="005B5999" w:rsidP="00644047">
      <w:r>
        <w:lastRenderedPageBreak/>
        <w:t>4.4</w:t>
      </w:r>
      <w:r w:rsidR="00644047">
        <w:tab/>
      </w:r>
      <w:r>
        <w:t>A stronger funding strategy would:</w:t>
      </w:r>
    </w:p>
    <w:p w14:paraId="7B163BDC" w14:textId="4664C858" w:rsidR="005B5999" w:rsidRPr="00BA1A15" w:rsidRDefault="00644047" w:rsidP="00F23C8D">
      <w:pPr>
        <w:pStyle w:val="enumlev1"/>
        <w:jc w:val="both"/>
      </w:pPr>
      <w:r>
        <w:t>–</w:t>
      </w:r>
      <w:r>
        <w:tab/>
      </w:r>
      <w:r w:rsidRPr="00BA1A15">
        <w:t xml:space="preserve">improve </w:t>
      </w:r>
      <w:r w:rsidR="005B5999" w:rsidRPr="00BA1A15">
        <w:t>the Organization's net asset position;</w:t>
      </w:r>
    </w:p>
    <w:p w14:paraId="1F036122" w14:textId="4717592D" w:rsidR="005B5999" w:rsidRPr="00BA1A15" w:rsidRDefault="00644047" w:rsidP="00F23C8D">
      <w:pPr>
        <w:pStyle w:val="enumlev1"/>
        <w:jc w:val="both"/>
      </w:pPr>
      <w:r>
        <w:t>–</w:t>
      </w:r>
      <w:r>
        <w:tab/>
      </w:r>
      <w:r w:rsidRPr="00BA1A15">
        <w:t xml:space="preserve">reduce </w:t>
      </w:r>
      <w:r w:rsidR="005B5999" w:rsidRPr="00BA1A15">
        <w:t>long-term financial risk;</w:t>
      </w:r>
    </w:p>
    <w:p w14:paraId="5FB212B7" w14:textId="5ADACBC4" w:rsidR="005B5999" w:rsidRDefault="00644047" w:rsidP="00F23C8D">
      <w:pPr>
        <w:pStyle w:val="enumlev1"/>
        <w:jc w:val="both"/>
      </w:pPr>
      <w:r>
        <w:t>–</w:t>
      </w:r>
      <w:r>
        <w:tab/>
      </w:r>
      <w:r w:rsidRPr="00BA1A15">
        <w:t xml:space="preserve">improve </w:t>
      </w:r>
      <w:r w:rsidR="005B5999" w:rsidRPr="00BA1A15">
        <w:t>resilience against adverse actuarial developments;</w:t>
      </w:r>
    </w:p>
    <w:p w14:paraId="4D84ED9E" w14:textId="1A3F74D0" w:rsidR="005B5999" w:rsidRDefault="00644047" w:rsidP="00F23C8D">
      <w:pPr>
        <w:pStyle w:val="enumlev1"/>
        <w:jc w:val="both"/>
      </w:pPr>
      <w:r>
        <w:t>–</w:t>
      </w:r>
      <w:r>
        <w:tab/>
        <w:t xml:space="preserve">improve </w:t>
      </w:r>
      <w:r w:rsidR="005B5999">
        <w:t xml:space="preserve">external auditors and external stakeholders’ confidence; </w:t>
      </w:r>
    </w:p>
    <w:p w14:paraId="7F9C98E4" w14:textId="446E17A0" w:rsidR="005B5999" w:rsidRPr="00BA1A15" w:rsidRDefault="00644047" w:rsidP="00F23C8D">
      <w:pPr>
        <w:pStyle w:val="enumlev1"/>
        <w:jc w:val="both"/>
      </w:pPr>
      <w:r>
        <w:t>–</w:t>
      </w:r>
      <w:r>
        <w:tab/>
      </w:r>
      <w:r w:rsidRPr="00BA1A15">
        <w:t xml:space="preserve">demonstrate </w:t>
      </w:r>
      <w:r w:rsidR="005B5999" w:rsidRPr="00BA1A15">
        <w:t xml:space="preserve">prudent financial management and stewardship of Member States' contributions. </w:t>
      </w:r>
    </w:p>
    <w:p w14:paraId="31A9DC7C" w14:textId="77777777" w:rsidR="005B5999" w:rsidRPr="00BA1A15" w:rsidRDefault="005B5999" w:rsidP="00644047">
      <w:pPr>
        <w:pStyle w:val="Headingb"/>
      </w:pPr>
      <w:r w:rsidRPr="7768600E">
        <w:t>Intergenerational Equity</w:t>
      </w:r>
    </w:p>
    <w:p w14:paraId="5C7C50EB" w14:textId="304C4C23" w:rsidR="005B5999" w:rsidRPr="00BA1A15" w:rsidRDefault="005B5999" w:rsidP="00F23C8D">
      <w:pPr>
        <w:jc w:val="both"/>
      </w:pPr>
      <w:r>
        <w:t>4.5</w:t>
      </w:r>
      <w:r w:rsidR="00F23C8D">
        <w:tab/>
      </w:r>
      <w:r w:rsidRPr="00BA1A15">
        <w:t>ASHI benefits are earned through service rendered today but paid many years into the future.</w:t>
      </w:r>
      <w:r>
        <w:t xml:space="preserve"> </w:t>
      </w:r>
      <w:r w:rsidRPr="00BA1A15">
        <w:t>A key principle of sound financial governance is that obligations should be funded progressively as they are earned, rather than transferred to future generations of Member States.</w:t>
      </w:r>
    </w:p>
    <w:p w14:paraId="28393957" w14:textId="14BB7816" w:rsidR="005B5999" w:rsidRDefault="005B5999" w:rsidP="00F23C8D">
      <w:pPr>
        <w:jc w:val="both"/>
      </w:pPr>
      <w:r>
        <w:t>4.6</w:t>
      </w:r>
      <w:r w:rsidR="00F23C8D">
        <w:tab/>
      </w:r>
      <w:r w:rsidRPr="00BA1A15">
        <w:t>A structured funding approach would ensure a more equitable sharing of costs across generations and reduce the risk of significant future funding requirements. This approach is consistent with internationally recognized public-sector financial management principles.</w:t>
      </w:r>
    </w:p>
    <w:p w14:paraId="220FAF11" w14:textId="77777777" w:rsidR="005B5999" w:rsidRPr="00BA1A15" w:rsidRDefault="005B5999" w:rsidP="00644047">
      <w:pPr>
        <w:pStyle w:val="Headingb"/>
      </w:pPr>
      <w:r w:rsidRPr="00BA1A15">
        <w:t>Alignment with International Practice</w:t>
      </w:r>
    </w:p>
    <w:p w14:paraId="4EBBF2F2" w14:textId="0A90FA3B" w:rsidR="005B5999" w:rsidRDefault="005B5999" w:rsidP="00F23C8D">
      <w:pPr>
        <w:jc w:val="both"/>
      </w:pPr>
      <w:r>
        <w:t>4.7</w:t>
      </w:r>
      <w:r w:rsidR="00F23C8D">
        <w:tab/>
      </w:r>
      <w:r w:rsidRPr="00BA1A15">
        <w:t>The challenge of funding post-employment benefit obligations is not unique to the Union.</w:t>
      </w:r>
      <w:r>
        <w:t xml:space="preserve"> </w:t>
      </w:r>
      <w:r w:rsidRPr="00BA1A15">
        <w:t xml:space="preserve">Across the United Nations system and among other international organizations, many entities have already adopted formal ASHI funding strategies. These organizations have progressively accumulated dedicated assets through combinations of budget contributions, payroll-based funding mechanisms, investment returns and reserve transfers. </w:t>
      </w:r>
    </w:p>
    <w:p w14:paraId="1B640A9A" w14:textId="7D7538DE" w:rsidR="005B5999" w:rsidRPr="00BA1A15" w:rsidRDefault="005B5999" w:rsidP="00F23C8D">
      <w:pPr>
        <w:jc w:val="both"/>
      </w:pPr>
      <w:r>
        <w:t>4.8</w:t>
      </w:r>
      <w:r w:rsidR="00F23C8D">
        <w:tab/>
      </w:r>
      <w:r w:rsidRPr="00BA1A15">
        <w:t xml:space="preserve">Benchmarking </w:t>
      </w:r>
      <w:r>
        <w:t xml:space="preserve">among UN Organizations and Agencies </w:t>
      </w:r>
      <w:r w:rsidRPr="00BA1A15">
        <w:t xml:space="preserve">demonstrates examples of organizations targeting funding levels ranging from partial coverage to full funding, with some entities having already achieved high or complete levels of coverage of their obligations. </w:t>
      </w:r>
    </w:p>
    <w:p w14:paraId="67F783DE" w14:textId="2AF9BA04" w:rsidR="005B5999" w:rsidRDefault="005B5999" w:rsidP="00F23C8D">
      <w:pPr>
        <w:jc w:val="both"/>
      </w:pPr>
      <w:r>
        <w:t>4.9</w:t>
      </w:r>
      <w:r w:rsidR="00F23C8D">
        <w:tab/>
      </w:r>
      <w:r>
        <w:t xml:space="preserve">Establishing a structured </w:t>
      </w:r>
      <w:r w:rsidRPr="00BA1A15">
        <w:t xml:space="preserve">strategy would therefore </w:t>
      </w:r>
      <w:r>
        <w:t xml:space="preserve">also </w:t>
      </w:r>
      <w:r w:rsidRPr="00BA1A15">
        <w:t xml:space="preserve">represent a </w:t>
      </w:r>
      <w:r>
        <w:t xml:space="preserve">positive convergence of ITU with the </w:t>
      </w:r>
      <w:r w:rsidRPr="00BA1A15">
        <w:t xml:space="preserve">growing trend among </w:t>
      </w:r>
      <w:r>
        <w:t xml:space="preserve">the United Nations </w:t>
      </w:r>
      <w:r w:rsidRPr="00BA1A15">
        <w:t xml:space="preserve">to address post-employment obligations through structured and sustainable funding arrangements. </w:t>
      </w:r>
    </w:p>
    <w:p w14:paraId="1D8AD842" w14:textId="4CB4AAFC" w:rsidR="005B5999" w:rsidRDefault="005B5999" w:rsidP="00F23C8D">
      <w:pPr>
        <w:jc w:val="both"/>
      </w:pPr>
      <w:r>
        <w:t>4.10</w:t>
      </w:r>
      <w:r w:rsidR="00F23C8D">
        <w:tab/>
      </w:r>
      <w:r>
        <w:t xml:space="preserve">As shown in the chart below, ITU’s ASHI funding level remains significantly below that of major organizations with comparable liabilities. Considering Organizations in the UN ecosystem with ASHI liability of more than 50 million in their respective reporting currency at the end of 2025, the following aspects shall be noted: </w:t>
      </w:r>
    </w:p>
    <w:p w14:paraId="72971212" w14:textId="18A6A0F3" w:rsidR="005B5999" w:rsidRDefault="00F23C8D" w:rsidP="00F23C8D">
      <w:pPr>
        <w:pStyle w:val="enumlev1"/>
        <w:jc w:val="both"/>
      </w:pPr>
      <w:r>
        <w:t>–</w:t>
      </w:r>
      <w:r>
        <w:tab/>
      </w:r>
      <w:r w:rsidR="005B5999">
        <w:t>average coverage stands at 64%, while ITU is at 4%,</w:t>
      </w:r>
    </w:p>
    <w:p w14:paraId="289D424A" w14:textId="08482400" w:rsidR="005B5999" w:rsidRDefault="00F23C8D" w:rsidP="00F23C8D">
      <w:pPr>
        <w:pStyle w:val="enumlev1"/>
        <w:jc w:val="both"/>
      </w:pPr>
      <w:r>
        <w:t>–</w:t>
      </w:r>
      <w:r>
        <w:tab/>
      </w:r>
      <w:r w:rsidR="005B5999">
        <w:t>Organizations with higher ASHI liability than ITU have an average coverage of 68%,</w:t>
      </w:r>
    </w:p>
    <w:p w14:paraId="3404CD33" w14:textId="710D7EE9" w:rsidR="005B5999" w:rsidRPr="0008540E" w:rsidRDefault="00F23C8D" w:rsidP="00F23C8D">
      <w:pPr>
        <w:pStyle w:val="enumlev1"/>
        <w:jc w:val="both"/>
      </w:pPr>
      <w:r>
        <w:t>–</w:t>
      </w:r>
      <w:r>
        <w:tab/>
      </w:r>
      <w:r w:rsidR="005B5999">
        <w:t xml:space="preserve">only 6 Organizations, have a funding coverage lower than ITU. </w:t>
      </w:r>
    </w:p>
    <w:p w14:paraId="3740FFD6" w14:textId="77777777" w:rsidR="005B5999" w:rsidRDefault="005B5999" w:rsidP="005B5999">
      <w:pPr>
        <w:sectPr w:rsidR="005B5999" w:rsidSect="00644047">
          <w:pgSz w:w="11907" w:h="16834"/>
          <w:pgMar w:top="1418" w:right="1418" w:bottom="1418" w:left="1418" w:header="720" w:footer="720" w:gutter="0"/>
          <w:paperSrc w:first="286" w:other="286"/>
          <w:cols w:space="720"/>
          <w:docGrid w:linePitch="326"/>
        </w:sectPr>
      </w:pPr>
    </w:p>
    <w:p w14:paraId="53A37435" w14:textId="77777777" w:rsidR="005B5999" w:rsidRDefault="005B5999" w:rsidP="00F23C8D">
      <w:pPr>
        <w:pStyle w:val="Figure"/>
        <w:sectPr w:rsidR="005B5999" w:rsidSect="00644047">
          <w:pgSz w:w="16834" w:h="11907" w:orient="landscape"/>
          <w:pgMar w:top="1418" w:right="1418" w:bottom="1418" w:left="1418" w:header="720" w:footer="720" w:gutter="0"/>
          <w:paperSrc w:first="286" w:other="286"/>
          <w:cols w:space="720"/>
          <w:docGrid w:linePitch="326"/>
        </w:sectPr>
      </w:pPr>
      <w:r w:rsidRPr="007C1158">
        <w:lastRenderedPageBreak/>
        <w:drawing>
          <wp:inline distT="0" distB="0" distL="0" distR="0" wp14:anchorId="71800CD1" wp14:editId="5878ACA1">
            <wp:extent cx="8888730" cy="4505960"/>
            <wp:effectExtent l="0" t="0" r="7620" b="8890"/>
            <wp:docPr id="5" name="Picture 4">
              <a:extLst xmlns:a="http://schemas.openxmlformats.org/drawingml/2006/main">
                <a:ext uri="{FF2B5EF4-FFF2-40B4-BE49-F238E27FC236}">
                  <a16:creationId xmlns:a16="http://schemas.microsoft.com/office/drawing/2014/main" id="{1CA2F589-83B3-4D4D-A575-CD98FDEA88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9BB4D26-AFBA-A8BE-F16F-2EDB6A62E80B}"/>
                        </a:ext>
                      </a:extLst>
                    </pic:cNvPr>
                    <pic:cNvPicPr>
                      <a:picLocks noChangeAspect="1"/>
                    </pic:cNvPicPr>
                  </pic:nvPicPr>
                  <pic:blipFill>
                    <a:blip r:embed="rId15"/>
                    <a:stretch>
                      <a:fillRect/>
                    </a:stretch>
                  </pic:blipFill>
                  <pic:spPr>
                    <a:xfrm>
                      <a:off x="0" y="0"/>
                      <a:ext cx="8888730" cy="4505960"/>
                    </a:xfrm>
                    <a:prstGeom prst="rect">
                      <a:avLst/>
                    </a:prstGeom>
                  </pic:spPr>
                </pic:pic>
              </a:graphicData>
            </a:graphic>
          </wp:inline>
        </w:drawing>
      </w:r>
    </w:p>
    <w:p w14:paraId="40ADE953" w14:textId="12E39452" w:rsidR="005B5999" w:rsidRDefault="005B5999" w:rsidP="00F23C8D">
      <w:pPr>
        <w:pStyle w:val="Heading1"/>
      </w:pPr>
      <w:r w:rsidRPr="7768600E">
        <w:lastRenderedPageBreak/>
        <w:t>5</w:t>
      </w:r>
      <w:r>
        <w:tab/>
      </w:r>
      <w:r w:rsidRPr="7768600E">
        <w:t xml:space="preserve">Proposed </w:t>
      </w:r>
      <w:r w:rsidR="00F23C8D" w:rsidRPr="7768600E">
        <w:t xml:space="preserve">funding strategy and framework </w:t>
      </w:r>
    </w:p>
    <w:p w14:paraId="37A42523" w14:textId="6D952068" w:rsidR="005B5999" w:rsidRPr="00BA1A15" w:rsidRDefault="005B5999" w:rsidP="00F23C8D">
      <w:pPr>
        <w:jc w:val="both"/>
      </w:pPr>
      <w:r>
        <w:t>5.1</w:t>
      </w:r>
      <w:r w:rsidR="00F23C8D">
        <w:tab/>
      </w:r>
      <w:r w:rsidRPr="00BA1A15">
        <w:t xml:space="preserve">Recognizing current budget constraints, the objective should </w:t>
      </w:r>
      <w:r>
        <w:t>be</w:t>
      </w:r>
      <w:r w:rsidRPr="00BA1A15">
        <w:t xml:space="preserve"> establish</w:t>
      </w:r>
      <w:r>
        <w:t>ed</w:t>
      </w:r>
      <w:r w:rsidRPr="00BA1A15">
        <w:t xml:space="preserve"> a</w:t>
      </w:r>
      <w:r>
        <w:t>long a</w:t>
      </w:r>
      <w:r w:rsidRPr="00BA1A15">
        <w:t xml:space="preserve"> realistic and measurable long-term roadmap.</w:t>
      </w:r>
    </w:p>
    <w:p w14:paraId="2F318775" w14:textId="77777777" w:rsidR="005B5999" w:rsidRPr="00BA1A15" w:rsidRDefault="005B5999" w:rsidP="00F23C8D">
      <w:pPr>
        <w:pStyle w:val="Headingb"/>
      </w:pPr>
      <w:r w:rsidRPr="00BA1A15">
        <w:t>Establish Funding Targets</w:t>
      </w:r>
      <w:r>
        <w:t xml:space="preserve"> and illustrative scenarios</w:t>
      </w:r>
    </w:p>
    <w:p w14:paraId="1A2661E2" w14:textId="3488A062" w:rsidR="005B5999" w:rsidRPr="00A54515" w:rsidRDefault="005B5999" w:rsidP="00F23C8D">
      <w:pPr>
        <w:jc w:val="both"/>
      </w:pPr>
      <w:r>
        <w:t>5.2</w:t>
      </w:r>
      <w:r w:rsidR="00F23C8D">
        <w:tab/>
      </w:r>
      <w:r w:rsidRPr="00A54515">
        <w:t>Member States should consider adopting a formal funding objective supported by intermediate milestones and periodic monitoring.</w:t>
      </w:r>
    </w:p>
    <w:p w14:paraId="4D85CE6D" w14:textId="77777777" w:rsidR="005B5999" w:rsidRPr="00A54515" w:rsidRDefault="005B5999" w:rsidP="005B5999">
      <w:r>
        <w:t>Illustrative targets could include:</w:t>
      </w:r>
    </w:p>
    <w:p w14:paraId="214D15B3" w14:textId="6745BDF1" w:rsidR="005B5999" w:rsidRPr="00A54515" w:rsidRDefault="00F23C8D" w:rsidP="00F23C8D">
      <w:pPr>
        <w:pStyle w:val="enumlev1"/>
        <w:jc w:val="both"/>
      </w:pPr>
      <w:r>
        <w:t>–</w:t>
      </w:r>
      <w:r>
        <w:tab/>
      </w:r>
      <w:r w:rsidRPr="00A54515">
        <w:t xml:space="preserve">achieving </w:t>
      </w:r>
      <w:r w:rsidR="005B5999" w:rsidRPr="00A54515">
        <w:t>a funding ratio of 25 per cent within fifteen years;</w:t>
      </w:r>
    </w:p>
    <w:p w14:paraId="25462F4C" w14:textId="2DA4BBC0" w:rsidR="005B5999" w:rsidRPr="00A54515" w:rsidRDefault="00F23C8D" w:rsidP="00F23C8D">
      <w:pPr>
        <w:pStyle w:val="enumlev1"/>
        <w:jc w:val="both"/>
      </w:pPr>
      <w:r>
        <w:t>–</w:t>
      </w:r>
      <w:r>
        <w:tab/>
      </w:r>
      <w:r w:rsidRPr="00A54515">
        <w:t xml:space="preserve">achieving </w:t>
      </w:r>
      <w:r w:rsidR="005B5999" w:rsidRPr="00A54515">
        <w:t>a funding ratio of 50 per cent within thirty years;</w:t>
      </w:r>
    </w:p>
    <w:p w14:paraId="10914417" w14:textId="4648C3BD" w:rsidR="005B5999" w:rsidRPr="00A54515" w:rsidRDefault="00F23C8D" w:rsidP="00F23C8D">
      <w:pPr>
        <w:pStyle w:val="enumlev1"/>
        <w:jc w:val="both"/>
      </w:pPr>
      <w:r>
        <w:t>–</w:t>
      </w:r>
      <w:r>
        <w:tab/>
      </w:r>
      <w:r w:rsidRPr="00A54515">
        <w:t xml:space="preserve">achieving </w:t>
      </w:r>
      <w:r w:rsidR="005B5999" w:rsidRPr="00A54515">
        <w:t>a funding ratio of 75 per cent within forty-five years;</w:t>
      </w:r>
    </w:p>
    <w:p w14:paraId="2FEDD2CA" w14:textId="3647FCB2" w:rsidR="005B5999" w:rsidRPr="00A54515" w:rsidRDefault="00F23C8D" w:rsidP="00F23C8D">
      <w:pPr>
        <w:pStyle w:val="enumlev1"/>
        <w:jc w:val="both"/>
      </w:pPr>
      <w:r>
        <w:t>–</w:t>
      </w:r>
      <w:r>
        <w:tab/>
      </w:r>
      <w:r w:rsidRPr="00A54515">
        <w:t xml:space="preserve">progressively </w:t>
      </w:r>
      <w:r w:rsidR="005B5999" w:rsidRPr="00A54515">
        <w:t>increasing coverage beyond those levels towards the target over the longer term.</w:t>
      </w:r>
    </w:p>
    <w:p w14:paraId="51BC5E35" w14:textId="1D9D544A" w:rsidR="005B5999" w:rsidRPr="003925F7" w:rsidRDefault="005B5999" w:rsidP="005B5999">
      <w:r>
        <w:t>5.3</w:t>
      </w:r>
      <w:r w:rsidR="00F23C8D">
        <w:tab/>
      </w:r>
      <w:r>
        <w:t xml:space="preserve">Illustrative scenarios could include: </w:t>
      </w:r>
    </w:p>
    <w:p w14:paraId="4276F464" w14:textId="77777777" w:rsidR="005B5999" w:rsidRPr="003925F7" w:rsidRDefault="005B5999" w:rsidP="005B5999"/>
    <w:tbl>
      <w:tblPr>
        <w:tblStyle w:val="TableGrid"/>
        <w:tblW w:w="0" w:type="auto"/>
        <w:jc w:val="center"/>
        <w:tblLook w:val="04A0" w:firstRow="1" w:lastRow="0" w:firstColumn="1" w:lastColumn="0" w:noHBand="0" w:noVBand="1"/>
      </w:tblPr>
      <w:tblGrid>
        <w:gridCol w:w="2302"/>
        <w:gridCol w:w="2475"/>
        <w:gridCol w:w="2461"/>
      </w:tblGrid>
      <w:tr w:rsidR="005B5999" w:rsidRPr="003925F7" w14:paraId="5114CF87" w14:textId="77777777" w:rsidTr="00F23C8D">
        <w:trPr>
          <w:jc w:val="center"/>
        </w:trPr>
        <w:tc>
          <w:tcPr>
            <w:tcW w:w="2302" w:type="dxa"/>
            <w:hideMark/>
          </w:tcPr>
          <w:p w14:paraId="688A71B3" w14:textId="77777777" w:rsidR="005B5999" w:rsidRPr="003925F7" w:rsidRDefault="005B5999" w:rsidP="00F23C8D">
            <w:pPr>
              <w:pStyle w:val="Tablehead"/>
            </w:pPr>
            <w:r w:rsidRPr="003925F7">
              <w:t>Amortization Period</w:t>
            </w:r>
          </w:p>
        </w:tc>
        <w:tc>
          <w:tcPr>
            <w:tcW w:w="2475" w:type="dxa"/>
            <w:hideMark/>
          </w:tcPr>
          <w:p w14:paraId="2238C3E9" w14:textId="77777777" w:rsidR="005B5999" w:rsidRPr="003925F7" w:rsidRDefault="005B5999" w:rsidP="00F23C8D">
            <w:pPr>
              <w:pStyle w:val="Tablehead"/>
            </w:pPr>
            <w:r w:rsidRPr="003925F7">
              <w:t>Annual Contribution (CHF million)</w:t>
            </w:r>
          </w:p>
        </w:tc>
        <w:tc>
          <w:tcPr>
            <w:tcW w:w="2461" w:type="dxa"/>
            <w:hideMark/>
          </w:tcPr>
          <w:p w14:paraId="76C079FD" w14:textId="77777777" w:rsidR="005B5999" w:rsidRPr="003925F7" w:rsidRDefault="005B5999" w:rsidP="00F23C8D">
            <w:pPr>
              <w:pStyle w:val="Tablehead"/>
            </w:pPr>
            <w:r w:rsidRPr="003925F7">
              <w:t>Contribution as % of Salaries</w:t>
            </w:r>
          </w:p>
        </w:tc>
      </w:tr>
      <w:tr w:rsidR="005B5999" w:rsidRPr="003925F7" w14:paraId="02E073D4" w14:textId="77777777" w:rsidTr="00F23C8D">
        <w:trPr>
          <w:jc w:val="center"/>
        </w:trPr>
        <w:tc>
          <w:tcPr>
            <w:tcW w:w="2302" w:type="dxa"/>
            <w:hideMark/>
          </w:tcPr>
          <w:p w14:paraId="266A482F" w14:textId="77777777" w:rsidR="005B5999" w:rsidRPr="003925F7" w:rsidRDefault="005B5999" w:rsidP="00F23C8D">
            <w:pPr>
              <w:pStyle w:val="Tabletext"/>
            </w:pPr>
            <w:r w:rsidRPr="003925F7">
              <w:t>5 years</w:t>
            </w:r>
          </w:p>
        </w:tc>
        <w:tc>
          <w:tcPr>
            <w:tcW w:w="2475" w:type="dxa"/>
          </w:tcPr>
          <w:p w14:paraId="565FFA41" w14:textId="77777777" w:rsidR="005B5999" w:rsidRPr="003925F7" w:rsidRDefault="005B5999" w:rsidP="00F23C8D">
            <w:pPr>
              <w:pStyle w:val="Tabletext"/>
            </w:pPr>
            <w:r>
              <w:t>21 to 23 million</w:t>
            </w:r>
          </w:p>
        </w:tc>
        <w:tc>
          <w:tcPr>
            <w:tcW w:w="2461" w:type="dxa"/>
          </w:tcPr>
          <w:p w14:paraId="3B107EE2" w14:textId="77777777" w:rsidR="005B5999" w:rsidRPr="003925F7" w:rsidRDefault="005B5999" w:rsidP="00F23C8D">
            <w:pPr>
              <w:pStyle w:val="Tabletext"/>
            </w:pPr>
            <w:r w:rsidRPr="003925F7">
              <w:t>15%-16%</w:t>
            </w:r>
          </w:p>
        </w:tc>
      </w:tr>
      <w:tr w:rsidR="005B5999" w:rsidRPr="003925F7" w14:paraId="1F8ADCCF" w14:textId="77777777" w:rsidTr="00F23C8D">
        <w:trPr>
          <w:jc w:val="center"/>
        </w:trPr>
        <w:tc>
          <w:tcPr>
            <w:tcW w:w="2302" w:type="dxa"/>
            <w:hideMark/>
          </w:tcPr>
          <w:p w14:paraId="77C849AE" w14:textId="77777777" w:rsidR="005B5999" w:rsidRPr="003925F7" w:rsidRDefault="005B5999" w:rsidP="00F23C8D">
            <w:pPr>
              <w:pStyle w:val="Tabletext"/>
            </w:pPr>
            <w:r w:rsidRPr="003925F7">
              <w:t>10 years</w:t>
            </w:r>
          </w:p>
        </w:tc>
        <w:tc>
          <w:tcPr>
            <w:tcW w:w="2475" w:type="dxa"/>
          </w:tcPr>
          <w:p w14:paraId="59BF84DC" w14:textId="77777777" w:rsidR="005B5999" w:rsidRPr="003925F7" w:rsidRDefault="005B5999" w:rsidP="00F23C8D">
            <w:pPr>
              <w:pStyle w:val="Tabletext"/>
            </w:pPr>
            <w:r w:rsidRPr="003925F7">
              <w:t>11 to 14 million</w:t>
            </w:r>
          </w:p>
        </w:tc>
        <w:tc>
          <w:tcPr>
            <w:tcW w:w="2461" w:type="dxa"/>
          </w:tcPr>
          <w:p w14:paraId="2358C504" w14:textId="77777777" w:rsidR="005B5999" w:rsidRPr="003925F7" w:rsidRDefault="005B5999" w:rsidP="00F23C8D">
            <w:pPr>
              <w:pStyle w:val="Tabletext"/>
            </w:pPr>
            <w:r w:rsidRPr="003925F7">
              <w:t>8%-10%</w:t>
            </w:r>
          </w:p>
        </w:tc>
      </w:tr>
      <w:tr w:rsidR="005B5999" w:rsidRPr="003925F7" w14:paraId="6151A177" w14:textId="77777777" w:rsidTr="00F23C8D">
        <w:trPr>
          <w:jc w:val="center"/>
        </w:trPr>
        <w:tc>
          <w:tcPr>
            <w:tcW w:w="2302" w:type="dxa"/>
            <w:hideMark/>
          </w:tcPr>
          <w:p w14:paraId="2D45A713" w14:textId="77777777" w:rsidR="005B5999" w:rsidRPr="003925F7" w:rsidRDefault="005B5999" w:rsidP="00F23C8D">
            <w:pPr>
              <w:pStyle w:val="Tabletext"/>
            </w:pPr>
            <w:r w:rsidRPr="003925F7">
              <w:t>20 years</w:t>
            </w:r>
          </w:p>
        </w:tc>
        <w:tc>
          <w:tcPr>
            <w:tcW w:w="2475" w:type="dxa"/>
          </w:tcPr>
          <w:p w14:paraId="64274E61" w14:textId="77777777" w:rsidR="005B5999" w:rsidRPr="003925F7" w:rsidRDefault="005B5999" w:rsidP="00F23C8D">
            <w:pPr>
              <w:pStyle w:val="Tabletext"/>
            </w:pPr>
            <w:r w:rsidRPr="003925F7">
              <w:t>7 to 11 million</w:t>
            </w:r>
          </w:p>
        </w:tc>
        <w:tc>
          <w:tcPr>
            <w:tcW w:w="2461" w:type="dxa"/>
          </w:tcPr>
          <w:p w14:paraId="52F6CE35" w14:textId="77777777" w:rsidR="005B5999" w:rsidRPr="003925F7" w:rsidRDefault="005B5999" w:rsidP="00F23C8D">
            <w:pPr>
              <w:pStyle w:val="Tabletext"/>
            </w:pPr>
            <w:r w:rsidRPr="003925F7">
              <w:t>5%-8%</w:t>
            </w:r>
          </w:p>
        </w:tc>
      </w:tr>
      <w:tr w:rsidR="005B5999" w:rsidRPr="00BA1A15" w14:paraId="7BEDB022" w14:textId="77777777" w:rsidTr="00F23C8D">
        <w:trPr>
          <w:jc w:val="center"/>
        </w:trPr>
        <w:tc>
          <w:tcPr>
            <w:tcW w:w="2302" w:type="dxa"/>
            <w:hideMark/>
          </w:tcPr>
          <w:p w14:paraId="13AC46BF" w14:textId="77777777" w:rsidR="005B5999" w:rsidRPr="003925F7" w:rsidRDefault="005B5999" w:rsidP="00F23C8D">
            <w:pPr>
              <w:pStyle w:val="Tabletext"/>
            </w:pPr>
            <w:r w:rsidRPr="003925F7">
              <w:t>30 years</w:t>
            </w:r>
          </w:p>
        </w:tc>
        <w:tc>
          <w:tcPr>
            <w:tcW w:w="2475" w:type="dxa"/>
          </w:tcPr>
          <w:p w14:paraId="5322D22C" w14:textId="77777777" w:rsidR="005B5999" w:rsidRPr="003925F7" w:rsidRDefault="005B5999" w:rsidP="00F23C8D">
            <w:pPr>
              <w:pStyle w:val="Tabletext"/>
            </w:pPr>
            <w:r w:rsidRPr="003925F7">
              <w:t>5 to 10 million</w:t>
            </w:r>
          </w:p>
        </w:tc>
        <w:tc>
          <w:tcPr>
            <w:tcW w:w="2461" w:type="dxa"/>
          </w:tcPr>
          <w:p w14:paraId="79E5B214" w14:textId="77777777" w:rsidR="005B5999" w:rsidRPr="00BA1A15" w:rsidRDefault="005B5999" w:rsidP="00F23C8D">
            <w:pPr>
              <w:pStyle w:val="Tabletext"/>
            </w:pPr>
            <w:r w:rsidRPr="003925F7">
              <w:t>4%-7%</w:t>
            </w:r>
          </w:p>
        </w:tc>
      </w:tr>
    </w:tbl>
    <w:p w14:paraId="688B06C1" w14:textId="77777777" w:rsidR="005B5999" w:rsidRDefault="005B5999" w:rsidP="00F23C8D">
      <w:pPr>
        <w:pStyle w:val="Tablefin"/>
      </w:pPr>
    </w:p>
    <w:p w14:paraId="388F0470" w14:textId="77777777" w:rsidR="005B5999" w:rsidRDefault="005B5999" w:rsidP="005B5999">
      <w:pPr>
        <w:tabs>
          <w:tab w:val="clear" w:pos="567"/>
          <w:tab w:val="clear" w:pos="1134"/>
          <w:tab w:val="clear" w:pos="1701"/>
          <w:tab w:val="clear" w:pos="2268"/>
          <w:tab w:val="clear" w:pos="2835"/>
        </w:tabs>
        <w:overflowPunct/>
        <w:autoSpaceDE/>
        <w:autoSpaceDN/>
        <w:adjustRightInd/>
        <w:spacing w:before="0"/>
        <w:textAlignment w:val="auto"/>
        <w:rPr>
          <w:b/>
          <w:sz w:val="28"/>
        </w:rPr>
      </w:pPr>
    </w:p>
    <w:p w14:paraId="61AA0CDC" w14:textId="77777777" w:rsidR="005B5999" w:rsidRDefault="005B5999" w:rsidP="005B5999">
      <w:pPr>
        <w:tabs>
          <w:tab w:val="clear" w:pos="567"/>
          <w:tab w:val="clear" w:pos="1134"/>
          <w:tab w:val="clear" w:pos="1701"/>
          <w:tab w:val="clear" w:pos="2268"/>
          <w:tab w:val="clear" w:pos="2835"/>
        </w:tabs>
        <w:overflowPunct/>
        <w:autoSpaceDE/>
        <w:autoSpaceDN/>
        <w:adjustRightInd/>
        <w:spacing w:before="0"/>
        <w:textAlignment w:val="auto"/>
        <w:rPr>
          <w:b/>
          <w:sz w:val="28"/>
        </w:rPr>
        <w:sectPr w:rsidR="005B5999" w:rsidSect="00644047">
          <w:footerReference w:type="first" r:id="rId16"/>
          <w:pgSz w:w="11913" w:h="16834"/>
          <w:pgMar w:top="1418" w:right="1134" w:bottom="1418" w:left="1134" w:header="720" w:footer="720" w:gutter="0"/>
          <w:paperSrc w:first="15" w:other="15"/>
          <w:cols w:space="720"/>
          <w:docGrid w:linePitch="326"/>
        </w:sectPr>
      </w:pPr>
    </w:p>
    <w:p w14:paraId="53BC3B66" w14:textId="77777777" w:rsidR="005B5999" w:rsidRDefault="005B5999" w:rsidP="005B5999">
      <w:pPr>
        <w:tabs>
          <w:tab w:val="clear" w:pos="567"/>
          <w:tab w:val="clear" w:pos="1134"/>
          <w:tab w:val="clear" w:pos="1701"/>
          <w:tab w:val="clear" w:pos="2268"/>
          <w:tab w:val="clear" w:pos="2835"/>
        </w:tabs>
        <w:overflowPunct/>
        <w:autoSpaceDE/>
        <w:autoSpaceDN/>
        <w:adjustRightInd/>
        <w:spacing w:before="0"/>
        <w:textAlignment w:val="auto"/>
        <w:rPr>
          <w:b/>
          <w:sz w:val="28"/>
        </w:rPr>
      </w:pPr>
    </w:p>
    <w:p w14:paraId="773F8BF9" w14:textId="77777777" w:rsidR="005B5999" w:rsidRDefault="005B5999" w:rsidP="00F23C8D">
      <w:pPr>
        <w:pStyle w:val="Figure"/>
        <w:sectPr w:rsidR="005B5999" w:rsidSect="00644047">
          <w:pgSz w:w="16834" w:h="11913" w:orient="landscape"/>
          <w:pgMar w:top="1134" w:right="1418" w:bottom="1134" w:left="1418" w:header="720" w:footer="720" w:gutter="0"/>
          <w:paperSrc w:first="15" w:other="15"/>
          <w:cols w:space="720"/>
          <w:docGrid w:linePitch="326"/>
        </w:sectPr>
      </w:pPr>
      <w:r w:rsidRPr="008C7346">
        <w:drawing>
          <wp:inline distT="0" distB="0" distL="0" distR="0" wp14:anchorId="28837C53" wp14:editId="57453BD7">
            <wp:extent cx="8888730" cy="4700270"/>
            <wp:effectExtent l="0" t="0" r="7620" b="5080"/>
            <wp:docPr id="858523393" name="Picture 1">
              <a:extLst xmlns:a="http://schemas.openxmlformats.org/drawingml/2006/main">
                <a:ext uri="{FF2B5EF4-FFF2-40B4-BE49-F238E27FC236}">
                  <a16:creationId xmlns:a16="http://schemas.microsoft.com/office/drawing/2014/main" id="{1D3447BE-DB7D-4E31-8C16-D4BDB69B09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23393" name=""/>
                    <pic:cNvPicPr/>
                  </pic:nvPicPr>
                  <pic:blipFill>
                    <a:blip r:embed="rId17"/>
                    <a:stretch>
                      <a:fillRect/>
                    </a:stretch>
                  </pic:blipFill>
                  <pic:spPr>
                    <a:xfrm>
                      <a:off x="0" y="0"/>
                      <a:ext cx="8888730" cy="4700270"/>
                    </a:xfrm>
                    <a:prstGeom prst="rect">
                      <a:avLst/>
                    </a:prstGeom>
                  </pic:spPr>
                </pic:pic>
              </a:graphicData>
            </a:graphic>
          </wp:inline>
        </w:drawing>
      </w:r>
    </w:p>
    <w:p w14:paraId="30947D63" w14:textId="3004553A" w:rsidR="005B5999" w:rsidRPr="00BB0481" w:rsidRDefault="005B5999" w:rsidP="00F23C8D">
      <w:r>
        <w:lastRenderedPageBreak/>
        <w:t>5.4</w:t>
      </w:r>
      <w:r w:rsidR="00F23C8D">
        <w:tab/>
      </w:r>
      <w:r w:rsidRPr="00BB0481">
        <w:t xml:space="preserve">These scenarios demonstrate the trade-off between the speed at which funding objectives are achieved and the level of annual contributions required. Faster funding results in higher short-term contributions, whereas longer amortization periods reduce annual funding requirements but extend the period during which the Organization remains not covered. </w:t>
      </w:r>
    </w:p>
    <w:p w14:paraId="4B9B1CED" w14:textId="7558FECE" w:rsidR="005B5999" w:rsidRPr="00BB0481" w:rsidRDefault="005B5999" w:rsidP="00F23C8D">
      <w:r>
        <w:t>5.5</w:t>
      </w:r>
      <w:r w:rsidR="00F23C8D">
        <w:tab/>
      </w:r>
      <w:r>
        <w:t xml:space="preserve">Given current financing mechanisms are not sufficient, additional funding measures would therefore be required to place the Organization on a sustainable path toward achieving its funding objectives. </w:t>
      </w:r>
    </w:p>
    <w:p w14:paraId="18B18166" w14:textId="54D9E9D3" w:rsidR="005B5999" w:rsidRPr="00BB0481" w:rsidRDefault="005B5999" w:rsidP="00F23C8D">
      <w:r>
        <w:t>5.6</w:t>
      </w:r>
      <w:r w:rsidR="00F23C8D">
        <w:tab/>
      </w:r>
      <w:r>
        <w:t>These scenarios are intended solely to illustrate the range of potential funding approaches available. The purpose is not to prescribe a specific level of contribution, but rather to demonstrate that the funding challenge can be addressed progressively over time through a structured and predictable funding strategy. The eventual funding objective and associated contribution levels would remain subject to the risk appetite, financial capacity and desired timeframe for improving the funded status of the ASHI obligation.</w:t>
      </w:r>
    </w:p>
    <w:p w14:paraId="6CBDDC9A" w14:textId="6DF19CE3" w:rsidR="005B5999" w:rsidRPr="00BA1A15" w:rsidRDefault="005B5999" w:rsidP="00F23C8D">
      <w:r>
        <w:t>5.7</w:t>
      </w:r>
      <w:r w:rsidR="00F23C8D">
        <w:tab/>
      </w:r>
      <w:r w:rsidRPr="00BB0481">
        <w:t>The precise targets would be subject to periodic actuarial and financial review and analysis. The key objective is to establish a clear and transparent long-term direction.</w:t>
      </w:r>
    </w:p>
    <w:p w14:paraId="4AC4E2C7" w14:textId="1C29A66B" w:rsidR="005B5999" w:rsidRPr="0085539A" w:rsidRDefault="005B5999" w:rsidP="00F23C8D">
      <w:pPr>
        <w:pStyle w:val="Headingb"/>
      </w:pPr>
      <w:r w:rsidRPr="0085539A">
        <w:t xml:space="preserve">Review </w:t>
      </w:r>
      <w:r w:rsidR="00A05D7D" w:rsidRPr="0085539A">
        <w:t>existing personnel-related reserves</w:t>
      </w:r>
    </w:p>
    <w:p w14:paraId="7E3CB63E" w14:textId="21E5D241" w:rsidR="005B5999" w:rsidRPr="0085539A" w:rsidRDefault="005B5999" w:rsidP="005B5999">
      <w:r>
        <w:t>5.8</w:t>
      </w:r>
      <w:r w:rsidR="00F23C8D">
        <w:tab/>
      </w:r>
      <w:r w:rsidRPr="0085539A">
        <w:t>A comprehensive review should be undertaken of legacy personnel-related reserves and funds that have limited ongoing activity or reduced beneficiary populations.</w:t>
      </w:r>
    </w:p>
    <w:p w14:paraId="7A287370" w14:textId="426465E5" w:rsidR="005B5999" w:rsidRPr="0085539A" w:rsidRDefault="005B5999" w:rsidP="005B5999">
      <w:r>
        <w:t>5.9</w:t>
      </w:r>
      <w:r w:rsidR="00F23C8D">
        <w:tab/>
      </w:r>
      <w:r w:rsidRPr="0085539A">
        <w:t>The External Auditor has previously highlighted the existence of such balances, including the Staff Superannuation and Benevolent Funds</w:t>
      </w:r>
      <w:r>
        <w:t xml:space="preserve"> for approximately CHF 7.2 million</w:t>
      </w:r>
      <w:r w:rsidRPr="0085539A">
        <w:t xml:space="preserve">. Subject to legal, governance and operational considerations, any surplus amounts could be redesignated </w:t>
      </w:r>
      <w:r>
        <w:t xml:space="preserve">by Council </w:t>
      </w:r>
      <w:r w:rsidRPr="0085539A">
        <w:t xml:space="preserve">to support the funding of ASHI obligations. </w:t>
      </w:r>
    </w:p>
    <w:p w14:paraId="7CE186E5" w14:textId="131431D1" w:rsidR="005B5999" w:rsidRPr="00BA1A15" w:rsidRDefault="005B5999" w:rsidP="005B5999">
      <w:r>
        <w:t>5.10</w:t>
      </w:r>
      <w:r w:rsidR="00F23C8D">
        <w:tab/>
      </w:r>
      <w:r w:rsidRPr="0085539A">
        <w:t>This represents a potentially significant opportunity to increase funding levels without creating an immediate burden on Member States.</w:t>
      </w:r>
    </w:p>
    <w:p w14:paraId="7300FF17" w14:textId="72B982C4" w:rsidR="005B5999" w:rsidRPr="00BA1A15" w:rsidRDefault="005B5999" w:rsidP="00F23C8D">
      <w:pPr>
        <w:pStyle w:val="Headingb"/>
      </w:pPr>
      <w:r w:rsidRPr="00BA1A15">
        <w:t xml:space="preserve">Additional </w:t>
      </w:r>
      <w:r w:rsidR="00A05D7D" w:rsidRPr="00BA1A15">
        <w:t>annual contributions</w:t>
      </w:r>
    </w:p>
    <w:p w14:paraId="084717F6" w14:textId="784C43A4" w:rsidR="005B5999" w:rsidRPr="00BA1A15" w:rsidRDefault="005B5999" w:rsidP="005B5999">
      <w:r>
        <w:t>5.11</w:t>
      </w:r>
      <w:r w:rsidR="00F23C8D">
        <w:tab/>
      </w:r>
      <w:r>
        <w:t>The Organization should consider raising above the current level approved for the biennial contributions to supplement existing funding streams.</w:t>
      </w:r>
    </w:p>
    <w:p w14:paraId="2A6EDC8F" w14:textId="4B455D9B" w:rsidR="005B5999" w:rsidRPr="00BA1A15" w:rsidRDefault="005B5999" w:rsidP="005B5999">
      <w:r>
        <w:t>5.12</w:t>
      </w:r>
      <w:r w:rsidR="00F23C8D">
        <w:tab/>
      </w:r>
      <w:r>
        <w:t>These contributions could take various forms, including:</w:t>
      </w:r>
    </w:p>
    <w:p w14:paraId="7A102985" w14:textId="3A387C14" w:rsidR="005B5999" w:rsidRPr="00BA1A15" w:rsidRDefault="00F23C8D" w:rsidP="00F23C8D">
      <w:pPr>
        <w:pStyle w:val="enumlev1"/>
      </w:pPr>
      <w:r>
        <w:t>–</w:t>
      </w:r>
      <w:r>
        <w:tab/>
      </w:r>
      <w:r w:rsidRPr="00BA1A15">
        <w:t xml:space="preserve">fixed </w:t>
      </w:r>
      <w:r w:rsidR="005B5999" w:rsidRPr="00BA1A15">
        <w:t>annual appropriations;</w:t>
      </w:r>
    </w:p>
    <w:p w14:paraId="5915CFC5" w14:textId="1600E303" w:rsidR="005B5999" w:rsidRPr="00BA1A15" w:rsidRDefault="00F23C8D" w:rsidP="00F23C8D">
      <w:pPr>
        <w:pStyle w:val="enumlev1"/>
      </w:pPr>
      <w:r>
        <w:t>–</w:t>
      </w:r>
      <w:r>
        <w:tab/>
      </w:r>
      <w:r w:rsidRPr="00BA1A15">
        <w:t xml:space="preserve">allocations </w:t>
      </w:r>
      <w:r w:rsidR="005B5999" w:rsidRPr="00BA1A15">
        <w:t>from future budget surpluses;</w:t>
      </w:r>
    </w:p>
    <w:p w14:paraId="34D0AD88" w14:textId="39A8E464" w:rsidR="005B5999" w:rsidRPr="00BA1A15" w:rsidRDefault="00F23C8D" w:rsidP="00F23C8D">
      <w:pPr>
        <w:pStyle w:val="enumlev1"/>
      </w:pPr>
      <w:r>
        <w:t>–</w:t>
      </w:r>
      <w:r>
        <w:tab/>
      </w:r>
      <w:r w:rsidRPr="00BA1A15">
        <w:t xml:space="preserve">targeted </w:t>
      </w:r>
      <w:r w:rsidR="005B5999" w:rsidRPr="00BA1A15">
        <w:t>funding approved through the budget process.</w:t>
      </w:r>
    </w:p>
    <w:p w14:paraId="449E02A3" w14:textId="27F164A6" w:rsidR="005B5999" w:rsidRDefault="005B5999" w:rsidP="005B5999">
      <w:r>
        <w:t>5.13</w:t>
      </w:r>
      <w:r w:rsidR="00F23C8D">
        <w:tab/>
      </w:r>
      <w:r>
        <w:t>Regular contributions would accelerate progress toward the approved funding objectives and provide greater predictability.</w:t>
      </w:r>
    </w:p>
    <w:p w14:paraId="0642C109" w14:textId="613B28C5" w:rsidR="005B5999" w:rsidRPr="00BA1A15" w:rsidRDefault="005B5999" w:rsidP="00F23C8D">
      <w:pPr>
        <w:pStyle w:val="Headingb"/>
      </w:pPr>
      <w:r w:rsidRPr="00BA1A15">
        <w:t xml:space="preserve">Review the </w:t>
      </w:r>
      <w:r w:rsidR="00A05D7D" w:rsidRPr="00BA1A15">
        <w:t>payroll-based funding mechanism</w:t>
      </w:r>
    </w:p>
    <w:p w14:paraId="49F43954" w14:textId="3D96B774" w:rsidR="005B5999" w:rsidRPr="00BA1A15" w:rsidRDefault="005B5999" w:rsidP="005B5999">
      <w:r>
        <w:t>5.14</w:t>
      </w:r>
      <w:r w:rsidR="00F23C8D">
        <w:tab/>
      </w:r>
      <w:r>
        <w:t>The recently introduced payroll-based funding measure should be maintained and periodically reviewed to consider:</w:t>
      </w:r>
    </w:p>
    <w:p w14:paraId="39483B29" w14:textId="33668FB6" w:rsidR="005B5999" w:rsidRPr="00BA1A15" w:rsidRDefault="00A05D7D" w:rsidP="00A05D7D">
      <w:pPr>
        <w:pStyle w:val="enumlev1"/>
      </w:pPr>
      <w:r>
        <w:t>–</w:t>
      </w:r>
      <w:r>
        <w:tab/>
      </w:r>
      <w:r w:rsidRPr="00BA1A15">
        <w:t xml:space="preserve">whether </w:t>
      </w:r>
      <w:r w:rsidR="005B5999" w:rsidRPr="00BA1A15">
        <w:t xml:space="preserve">the current percentage </w:t>
      </w:r>
      <w:r w:rsidR="005B5999">
        <w:t>shall be increased</w:t>
      </w:r>
      <w:r w:rsidR="005B5999" w:rsidRPr="00BA1A15">
        <w:t>;</w:t>
      </w:r>
    </w:p>
    <w:p w14:paraId="23126019" w14:textId="63167E3D" w:rsidR="005B5999" w:rsidRPr="00BA1A15" w:rsidRDefault="00A05D7D" w:rsidP="00A05D7D">
      <w:pPr>
        <w:pStyle w:val="enumlev1"/>
      </w:pPr>
      <w:r>
        <w:t>–</w:t>
      </w:r>
      <w:r>
        <w:tab/>
        <w:t xml:space="preserve">whether </w:t>
      </w:r>
      <w:r w:rsidR="005B5999">
        <w:t>broader application of the mechanism should be considered.</w:t>
      </w:r>
    </w:p>
    <w:p w14:paraId="12FD6E82" w14:textId="322A4AA9" w:rsidR="005B5999" w:rsidRPr="00BA1A15" w:rsidRDefault="005B5999" w:rsidP="005B5999">
      <w:r>
        <w:lastRenderedPageBreak/>
        <w:t>5.15</w:t>
      </w:r>
      <w:r w:rsidR="00A05D7D">
        <w:tab/>
      </w:r>
      <w:r w:rsidRPr="00BA1A15">
        <w:t>Payroll-based funding has the advantage of aligning benefit funding with the period during which benefits are earned,</w:t>
      </w:r>
      <w:r>
        <w:t xml:space="preserve"> and it is the widely-adopted mechanism that all other UN Organizations have implemented in their funding strategies</w:t>
      </w:r>
      <w:r w:rsidRPr="00BA1A15">
        <w:t>.</w:t>
      </w:r>
    </w:p>
    <w:p w14:paraId="1F853963" w14:textId="69A56B65" w:rsidR="005B5999" w:rsidRPr="000120E8" w:rsidRDefault="005B5999" w:rsidP="00F23C8D">
      <w:pPr>
        <w:pStyle w:val="Headingb"/>
      </w:pPr>
      <w:r w:rsidRPr="000120E8">
        <w:t xml:space="preserve">Establish a </w:t>
      </w:r>
      <w:r w:rsidR="00A05D7D" w:rsidRPr="000120E8">
        <w:t xml:space="preserve">dedicated </w:t>
      </w:r>
      <w:r w:rsidRPr="000120E8">
        <w:t xml:space="preserve">ASHI </w:t>
      </w:r>
      <w:r w:rsidR="00A05D7D" w:rsidRPr="000120E8">
        <w:t>investment strategy</w:t>
      </w:r>
    </w:p>
    <w:p w14:paraId="54F73B5E" w14:textId="709B7A75" w:rsidR="005B5999" w:rsidRPr="003007B5" w:rsidRDefault="005B5999" w:rsidP="00A05D7D">
      <w:pPr>
        <w:jc w:val="both"/>
      </w:pPr>
      <w:r>
        <w:t>5.16</w:t>
      </w:r>
      <w:r w:rsidR="00A05D7D">
        <w:tab/>
      </w:r>
      <w:r w:rsidRPr="003007B5">
        <w:t>As assets dedicated to ASHI funding progressively increase, it will be important to ensure that these resources are managed within an investment framework specifically designed to support the long-term nature of the obligation. </w:t>
      </w:r>
    </w:p>
    <w:p w14:paraId="2BAD6C07" w14:textId="237D9424" w:rsidR="005B5999" w:rsidRPr="003007B5" w:rsidRDefault="005B5999" w:rsidP="005B5999">
      <w:r>
        <w:t>5.17</w:t>
      </w:r>
      <w:r w:rsidR="00A05D7D">
        <w:tab/>
      </w:r>
      <w:r w:rsidRPr="003007B5">
        <w:t>The ASHI liability extends over several decades and exhibits characteristics that differ from the Organization's short-term operating cash requirements. Consequently, funding assets should be managed through a dedicated investment strategy aimed at preserving capital, generating long-term investment returns and supporting the gradual achievement of the approved funding objectives.</w:t>
      </w:r>
    </w:p>
    <w:p w14:paraId="37160B15" w14:textId="73430283" w:rsidR="005B5999" w:rsidRPr="003007B5" w:rsidRDefault="005B5999" w:rsidP="005B5999">
      <w:r>
        <w:t>5.18</w:t>
      </w:r>
      <w:r w:rsidR="00A05D7D">
        <w:tab/>
      </w:r>
      <w:r w:rsidRPr="003007B5">
        <w:t>Investment returns can play a significant role in reducing the level of future further fundings. A structured investment approach would therefore constitute an essential component of any sustainable funding framework and would allow funding assets to contribute directly to the reduction of the unfunded liability.</w:t>
      </w:r>
    </w:p>
    <w:p w14:paraId="63B3E37E" w14:textId="33E85649" w:rsidR="005B5999" w:rsidRPr="003007B5" w:rsidRDefault="005B5999" w:rsidP="005B5999">
      <w:r>
        <w:t>5.19</w:t>
      </w:r>
      <w:r w:rsidR="00A05D7D">
        <w:tab/>
      </w:r>
      <w:r>
        <w:t>Accordingly, Member States may wish to consider the adoption of a dedicated ASHI investment framework addressing, inter alia:</w:t>
      </w:r>
    </w:p>
    <w:p w14:paraId="072B41D4" w14:textId="36622834" w:rsidR="005B5999" w:rsidRPr="003007B5" w:rsidRDefault="00A05D7D" w:rsidP="00A05D7D">
      <w:pPr>
        <w:pStyle w:val="enumlev1"/>
      </w:pPr>
      <w:r>
        <w:t>–</w:t>
      </w:r>
      <w:r>
        <w:tab/>
      </w:r>
      <w:r w:rsidR="005B5999" w:rsidRPr="003007B5">
        <w:t>investment objectives and risk tolerance;</w:t>
      </w:r>
    </w:p>
    <w:p w14:paraId="21890875" w14:textId="6EAD3498" w:rsidR="005B5999" w:rsidRPr="003007B5" w:rsidRDefault="00A05D7D" w:rsidP="00A05D7D">
      <w:pPr>
        <w:pStyle w:val="enumlev1"/>
      </w:pPr>
      <w:r>
        <w:t>–</w:t>
      </w:r>
      <w:r>
        <w:tab/>
      </w:r>
      <w:r w:rsidR="005B5999" w:rsidRPr="003007B5">
        <w:t>strategic asset allocation;</w:t>
      </w:r>
    </w:p>
    <w:p w14:paraId="21162AF3" w14:textId="3916AFC7" w:rsidR="005B5999" w:rsidRPr="003007B5" w:rsidRDefault="00A05D7D" w:rsidP="00A05D7D">
      <w:pPr>
        <w:pStyle w:val="enumlev1"/>
      </w:pPr>
      <w:r>
        <w:t>–</w:t>
      </w:r>
      <w:r>
        <w:tab/>
      </w:r>
      <w:r w:rsidR="005B5999" w:rsidRPr="003007B5">
        <w:t>liquidity requirements for future benefit payments;</w:t>
      </w:r>
    </w:p>
    <w:p w14:paraId="6A7A79D3" w14:textId="507D7F61" w:rsidR="005B5999" w:rsidRPr="003007B5" w:rsidRDefault="00A05D7D" w:rsidP="00A05D7D">
      <w:pPr>
        <w:pStyle w:val="enumlev1"/>
      </w:pPr>
      <w:r>
        <w:t>–</w:t>
      </w:r>
      <w:r>
        <w:tab/>
      </w:r>
      <w:r w:rsidR="005B5999" w:rsidRPr="003007B5">
        <w:t>governance and oversight arrangements;</w:t>
      </w:r>
    </w:p>
    <w:p w14:paraId="77A093C7" w14:textId="4867C857" w:rsidR="005B5999" w:rsidRPr="003007B5" w:rsidRDefault="00A05D7D" w:rsidP="00A05D7D">
      <w:pPr>
        <w:pStyle w:val="enumlev1"/>
      </w:pPr>
      <w:r>
        <w:t>–</w:t>
      </w:r>
      <w:r>
        <w:tab/>
      </w:r>
      <w:r w:rsidR="005B5999" w:rsidRPr="003007B5">
        <w:t>performance monitoring and reporting;</w:t>
      </w:r>
    </w:p>
    <w:p w14:paraId="66522A5C" w14:textId="61E5CFF5" w:rsidR="005B5999" w:rsidRPr="003007B5" w:rsidRDefault="00A05D7D" w:rsidP="00A05D7D">
      <w:pPr>
        <w:pStyle w:val="enumlev1"/>
      </w:pPr>
      <w:r>
        <w:t>–</w:t>
      </w:r>
      <w:r>
        <w:tab/>
      </w:r>
      <w:r w:rsidR="005B5999" w:rsidRPr="003007B5">
        <w:t>alignment between investment strategy and long-term funding targets.</w:t>
      </w:r>
    </w:p>
    <w:p w14:paraId="3E0AC68C" w14:textId="7803B45A" w:rsidR="005B5999" w:rsidRPr="00BA1A15" w:rsidRDefault="005B5999" w:rsidP="00F23C8D">
      <w:pPr>
        <w:pStyle w:val="Headingb"/>
      </w:pPr>
      <w:r w:rsidRPr="0009553B">
        <w:t xml:space="preserve">Adopt a </w:t>
      </w:r>
      <w:r w:rsidR="00A05D7D" w:rsidRPr="0009553B">
        <w:t>combined approach</w:t>
      </w:r>
    </w:p>
    <w:p w14:paraId="3E6FB403" w14:textId="41D1C5A3" w:rsidR="005B5999" w:rsidRPr="00BA1A15" w:rsidRDefault="005B5999" w:rsidP="005B5999">
      <w:r>
        <w:t>5.20</w:t>
      </w:r>
      <w:r w:rsidR="00A05D7D">
        <w:tab/>
      </w:r>
      <w:r>
        <w:t>No single measure is likely to generate sufficient progress on its own. A balanced strategy should therefore combine:</w:t>
      </w:r>
    </w:p>
    <w:p w14:paraId="5E59B80C" w14:textId="167C6053" w:rsidR="005B5999" w:rsidRPr="00BA1A15" w:rsidRDefault="00A05D7D" w:rsidP="00A05D7D">
      <w:pPr>
        <w:pStyle w:val="enumlev1"/>
      </w:pPr>
      <w:r>
        <w:t>–</w:t>
      </w:r>
      <w:r>
        <w:tab/>
      </w:r>
      <w:r w:rsidRPr="00BA1A15">
        <w:t xml:space="preserve">reallocation </w:t>
      </w:r>
      <w:r w:rsidR="005B5999" w:rsidRPr="00BA1A15">
        <w:t>of available personnel-related reserves;</w:t>
      </w:r>
    </w:p>
    <w:p w14:paraId="32F67FD9" w14:textId="740EA6D4" w:rsidR="005B5999" w:rsidRPr="00BA1A15" w:rsidRDefault="00A05D7D" w:rsidP="00A05D7D">
      <w:pPr>
        <w:pStyle w:val="enumlev1"/>
      </w:pPr>
      <w:r>
        <w:t>–</w:t>
      </w:r>
      <w:r>
        <w:tab/>
      </w:r>
      <w:r w:rsidRPr="00BA1A15">
        <w:t xml:space="preserve">dedicated </w:t>
      </w:r>
      <w:r w:rsidR="005B5999" w:rsidRPr="00BA1A15">
        <w:t>annual contributions;</w:t>
      </w:r>
    </w:p>
    <w:p w14:paraId="3593795B" w14:textId="019C6A03" w:rsidR="005B5999" w:rsidRPr="00BA1A15" w:rsidRDefault="00A05D7D" w:rsidP="00A05D7D">
      <w:pPr>
        <w:pStyle w:val="enumlev1"/>
      </w:pPr>
      <w:r>
        <w:t>–</w:t>
      </w:r>
      <w:r>
        <w:tab/>
      </w:r>
      <w:r w:rsidRPr="00BA1A15">
        <w:t>payroll</w:t>
      </w:r>
      <w:r w:rsidR="005B5999" w:rsidRPr="00BA1A15">
        <w:t>-based funding;</w:t>
      </w:r>
    </w:p>
    <w:p w14:paraId="75A36382" w14:textId="574A1A65" w:rsidR="005B5999" w:rsidRPr="00BA1A15" w:rsidRDefault="00A05D7D" w:rsidP="00A05D7D">
      <w:pPr>
        <w:pStyle w:val="enumlev1"/>
      </w:pPr>
      <w:r>
        <w:t>–</w:t>
      </w:r>
      <w:r>
        <w:tab/>
      </w:r>
      <w:r w:rsidRPr="00BA1A15">
        <w:t xml:space="preserve">investment </w:t>
      </w:r>
      <w:r w:rsidR="005B5999" w:rsidRPr="00BA1A15">
        <w:t>returns generated by accumulated assets.</w:t>
      </w:r>
    </w:p>
    <w:p w14:paraId="182D6F0F" w14:textId="6A997205" w:rsidR="005B5999" w:rsidRPr="00BA1A15" w:rsidRDefault="005B5999" w:rsidP="005B5999">
      <w:r>
        <w:t>5.21</w:t>
      </w:r>
      <w:r w:rsidR="00A05D7D">
        <w:tab/>
      </w:r>
      <w:r>
        <w:t>Such an approach would diversify funding sources, reduce pressure on any single mechanism and enhance the likelihood of achieving long-term objectives.</w:t>
      </w:r>
    </w:p>
    <w:p w14:paraId="220A5D9B" w14:textId="0A6D15A4" w:rsidR="005B5999" w:rsidRPr="00BA1A15" w:rsidRDefault="005B5999" w:rsidP="00A05D7D">
      <w:pPr>
        <w:pStyle w:val="Headingb"/>
      </w:pPr>
      <w:r w:rsidRPr="7768600E">
        <w:t xml:space="preserve">Governance and </w:t>
      </w:r>
      <w:r w:rsidR="00A05D7D" w:rsidRPr="7768600E">
        <w:t>monitoring</w:t>
      </w:r>
    </w:p>
    <w:p w14:paraId="02B5BDE8" w14:textId="62D17830" w:rsidR="005B5999" w:rsidRPr="00BA1A15" w:rsidRDefault="005B5999" w:rsidP="00A05D7D">
      <w:r>
        <w:t>5.22</w:t>
      </w:r>
      <w:r w:rsidR="00A05D7D">
        <w:tab/>
      </w:r>
      <w:r w:rsidRPr="00BA1A15">
        <w:t xml:space="preserve">To ensure accountability and transparency, </w:t>
      </w:r>
      <w:r>
        <w:t>progress</w:t>
      </w:r>
      <w:r w:rsidRPr="00BA1A15">
        <w:t xml:space="preserve"> should </w:t>
      </w:r>
      <w:r>
        <w:t xml:space="preserve">be </w:t>
      </w:r>
      <w:r w:rsidRPr="00BA1A15">
        <w:t>review</w:t>
      </w:r>
      <w:r>
        <w:t>ed</w:t>
      </w:r>
      <w:r w:rsidRPr="00BA1A15">
        <w:t xml:space="preserve"> every two years.</w:t>
      </w:r>
      <w:r>
        <w:t xml:space="preserve"> </w:t>
      </w:r>
      <w:r w:rsidRPr="00BA1A15">
        <w:t>Such reviews should include:</w:t>
      </w:r>
    </w:p>
    <w:p w14:paraId="11432269" w14:textId="65D6948C" w:rsidR="005B5999" w:rsidRPr="00BA1A15" w:rsidRDefault="00A05D7D" w:rsidP="00A05D7D">
      <w:pPr>
        <w:pStyle w:val="enumlev1"/>
      </w:pPr>
      <w:r>
        <w:t>–</w:t>
      </w:r>
      <w:r>
        <w:tab/>
      </w:r>
      <w:r w:rsidRPr="00BA1A15">
        <w:t xml:space="preserve">progress </w:t>
      </w:r>
      <w:r w:rsidR="005B5999" w:rsidRPr="00BA1A15">
        <w:t>against approved funding targets;</w:t>
      </w:r>
    </w:p>
    <w:p w14:paraId="578BC14E" w14:textId="4FA52A92" w:rsidR="005B5999" w:rsidRPr="00BA1A15" w:rsidRDefault="00A05D7D" w:rsidP="00A05D7D">
      <w:pPr>
        <w:pStyle w:val="enumlev1"/>
      </w:pPr>
      <w:r>
        <w:t>–</w:t>
      </w:r>
      <w:r>
        <w:tab/>
      </w:r>
      <w:r w:rsidRPr="00BA1A15">
        <w:t xml:space="preserve">evolution </w:t>
      </w:r>
      <w:r w:rsidR="005B5999" w:rsidRPr="00BA1A15">
        <w:t>of the funding ratio;</w:t>
      </w:r>
    </w:p>
    <w:p w14:paraId="2783AFCB" w14:textId="472766F2" w:rsidR="005B5999" w:rsidRPr="00BA1A15" w:rsidRDefault="00A05D7D" w:rsidP="00A05D7D">
      <w:pPr>
        <w:pStyle w:val="enumlev1"/>
      </w:pPr>
      <w:r>
        <w:t>–</w:t>
      </w:r>
      <w:r>
        <w:tab/>
      </w:r>
      <w:r w:rsidRPr="00BA1A15">
        <w:t xml:space="preserve">performance </w:t>
      </w:r>
      <w:r w:rsidR="005B5999" w:rsidRPr="00BA1A15">
        <w:t>of dedicated ASHI assets;</w:t>
      </w:r>
    </w:p>
    <w:p w14:paraId="01FBCC27" w14:textId="0F1CAF78" w:rsidR="005B5999" w:rsidRPr="00BA1A15" w:rsidRDefault="00A05D7D" w:rsidP="00A05D7D">
      <w:pPr>
        <w:pStyle w:val="enumlev1"/>
      </w:pPr>
      <w:r>
        <w:lastRenderedPageBreak/>
        <w:t>–</w:t>
      </w:r>
      <w:r>
        <w:tab/>
      </w:r>
      <w:r w:rsidRPr="00BA1A15">
        <w:t xml:space="preserve">status </w:t>
      </w:r>
      <w:r w:rsidR="005B5999" w:rsidRPr="00BA1A15">
        <w:t>of reserve reviews and transfers;</w:t>
      </w:r>
    </w:p>
    <w:p w14:paraId="33D399A2" w14:textId="0CFCC19F" w:rsidR="005B5999" w:rsidRPr="00BA1A15" w:rsidRDefault="00A05D7D" w:rsidP="00A05D7D">
      <w:pPr>
        <w:pStyle w:val="enumlev1"/>
      </w:pPr>
      <w:r>
        <w:t>–</w:t>
      </w:r>
      <w:r>
        <w:tab/>
      </w:r>
      <w:r w:rsidRPr="00BA1A15">
        <w:t xml:space="preserve">updated </w:t>
      </w:r>
      <w:r w:rsidR="005B5999" w:rsidRPr="00BA1A15">
        <w:t>actuarial projections;</w:t>
      </w:r>
    </w:p>
    <w:p w14:paraId="57B9AECC" w14:textId="4621C086" w:rsidR="005B5999" w:rsidRPr="00BA1A15" w:rsidRDefault="00A05D7D" w:rsidP="00A05D7D">
      <w:pPr>
        <w:pStyle w:val="enumlev1"/>
      </w:pPr>
      <w:r>
        <w:t>–</w:t>
      </w:r>
      <w:r>
        <w:tab/>
      </w:r>
      <w:r w:rsidRPr="00BA1A15">
        <w:t xml:space="preserve">recommendations </w:t>
      </w:r>
      <w:r w:rsidR="005B5999" w:rsidRPr="00BA1A15">
        <w:t>for adjustments where necessary.</w:t>
      </w:r>
    </w:p>
    <w:p w14:paraId="0973BBE1" w14:textId="4C3CD372" w:rsidR="005B5999" w:rsidRPr="00BA1A15" w:rsidRDefault="005B5999" w:rsidP="005B5999">
      <w:r>
        <w:t>5.23</w:t>
      </w:r>
      <w:r w:rsidR="00A05D7D">
        <w:tab/>
      </w:r>
      <w:r w:rsidRPr="00BA1A15">
        <w:t>Regular monitoring will allow Member States to adapt the strategy as circumstances evolve while maintaining focus on the long-term objective.</w:t>
      </w:r>
    </w:p>
    <w:p w14:paraId="3EA739D6" w14:textId="77777777" w:rsidR="005B5999" w:rsidRPr="00BA1A15" w:rsidRDefault="005B5999" w:rsidP="00A05D7D">
      <w:pPr>
        <w:pStyle w:val="Headingb"/>
      </w:pPr>
      <w:r w:rsidRPr="00195B03">
        <w:t>Conclusion</w:t>
      </w:r>
    </w:p>
    <w:p w14:paraId="3062A381" w14:textId="77777777" w:rsidR="005B5999" w:rsidRPr="000D79D1" w:rsidRDefault="005B5999" w:rsidP="005B5999">
      <w:pPr>
        <w:spacing w:line="259" w:lineRule="auto"/>
      </w:pPr>
      <w:r>
        <w:t xml:space="preserve">The Plenipotentiary is requested to </w:t>
      </w:r>
      <w:r w:rsidRPr="00A05D7D">
        <w:rPr>
          <w:b/>
          <w:bCs/>
        </w:rPr>
        <w:t>take note</w:t>
      </w:r>
      <w:r>
        <w:t xml:space="preserve"> of this report. </w:t>
      </w:r>
    </w:p>
    <w:p w14:paraId="3AEC2658" w14:textId="77777777" w:rsidR="002701E1" w:rsidRDefault="002701E1" w:rsidP="002701E1"/>
    <w:p w14:paraId="4C557E0F" w14:textId="07501A0B" w:rsidR="0008540E" w:rsidRPr="0008540E" w:rsidRDefault="002701E1" w:rsidP="002701E1">
      <w:pPr>
        <w:jc w:val="center"/>
      </w:pPr>
      <w:r>
        <w:t>______________</w:t>
      </w:r>
    </w:p>
    <w:sectPr w:rsidR="0008540E" w:rsidRPr="0008540E" w:rsidSect="00644047">
      <w:footerReference w:type="first" r:id="rId18"/>
      <w:pgSz w:w="11913" w:h="16834"/>
      <w:pgMar w:top="1418" w:right="1134" w:bottom="1418" w:left="1134" w:header="720" w:footer="720"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0E6A6" w14:textId="77777777" w:rsidR="00B26A5D" w:rsidRDefault="00B26A5D">
      <w:r>
        <w:separator/>
      </w:r>
    </w:p>
  </w:endnote>
  <w:endnote w:type="continuationSeparator" w:id="0">
    <w:p w14:paraId="42A508BC" w14:textId="77777777" w:rsidR="00B26A5D" w:rsidRDefault="00B26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5C518" w14:textId="20030D41" w:rsidR="005B5999" w:rsidRPr="00A73990" w:rsidRDefault="00A73990" w:rsidP="00A73990">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00AE" w14:textId="77777777" w:rsidR="005B5999" w:rsidRPr="003F2E54" w:rsidRDefault="005B5999"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0FFEA"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895033">
        <w:rPr>
          <w:rStyle w:val="Hyperlink"/>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1EF72" w14:textId="77777777" w:rsidR="00B26A5D" w:rsidRDefault="00B26A5D">
      <w:r>
        <w:t>____________________</w:t>
      </w:r>
    </w:p>
  </w:footnote>
  <w:footnote w:type="continuationSeparator" w:id="0">
    <w:p w14:paraId="6348243D" w14:textId="77777777" w:rsidR="00B26A5D" w:rsidRDefault="00B26A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FBB6F" w14:textId="77777777" w:rsidR="00A73990" w:rsidRDefault="00A73990" w:rsidP="00A73990">
    <w:pPr>
      <w:pStyle w:val="Header"/>
    </w:pPr>
    <w:r>
      <w:fldChar w:fldCharType="begin"/>
    </w:r>
    <w:r>
      <w:instrText xml:space="preserve"> PAGE   \* MERGEFORMAT </w:instrText>
    </w:r>
    <w:r>
      <w:fldChar w:fldCharType="separate"/>
    </w:r>
    <w:r>
      <w:t>2</w:t>
    </w:r>
    <w:r>
      <w:fldChar w:fldCharType="end"/>
    </w:r>
  </w:p>
  <w:p w14:paraId="16974809" w14:textId="7E68A20A" w:rsidR="00A73990" w:rsidRDefault="00A73990" w:rsidP="00A73990">
    <w:pPr>
      <w:pStyle w:val="Header"/>
    </w:pPr>
    <w:r>
      <w:t>PP26/72-E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EF254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73497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306A9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656B2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C619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D0C4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A257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4ED0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78AD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EA9B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30EC4"/>
    <w:multiLevelType w:val="multilevel"/>
    <w:tmpl w:val="6E48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6B6348"/>
    <w:multiLevelType w:val="multilevel"/>
    <w:tmpl w:val="2F843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3A7B02"/>
    <w:multiLevelType w:val="multilevel"/>
    <w:tmpl w:val="A724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C56681"/>
    <w:multiLevelType w:val="multilevel"/>
    <w:tmpl w:val="5B18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7B3EDE"/>
    <w:multiLevelType w:val="multilevel"/>
    <w:tmpl w:val="2654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F36BDD"/>
    <w:multiLevelType w:val="hybridMultilevel"/>
    <w:tmpl w:val="851E3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855EFD"/>
    <w:multiLevelType w:val="multilevel"/>
    <w:tmpl w:val="AAE8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A85DD8"/>
    <w:multiLevelType w:val="multilevel"/>
    <w:tmpl w:val="F328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4E76CC"/>
    <w:multiLevelType w:val="multilevel"/>
    <w:tmpl w:val="96E8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E66263"/>
    <w:multiLevelType w:val="multilevel"/>
    <w:tmpl w:val="5DFC0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16158D7"/>
    <w:multiLevelType w:val="multilevel"/>
    <w:tmpl w:val="05062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9323DB"/>
    <w:multiLevelType w:val="multilevel"/>
    <w:tmpl w:val="6B40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1C1566"/>
    <w:multiLevelType w:val="multilevel"/>
    <w:tmpl w:val="5EBA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8B80256"/>
    <w:multiLevelType w:val="multilevel"/>
    <w:tmpl w:val="A1860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4517434">
    <w:abstractNumId w:val="9"/>
  </w:num>
  <w:num w:numId="2" w16cid:durableId="1650473550">
    <w:abstractNumId w:val="7"/>
  </w:num>
  <w:num w:numId="3" w16cid:durableId="1661887266">
    <w:abstractNumId w:val="6"/>
  </w:num>
  <w:num w:numId="4" w16cid:durableId="1298608211">
    <w:abstractNumId w:val="5"/>
  </w:num>
  <w:num w:numId="5" w16cid:durableId="1184128122">
    <w:abstractNumId w:val="4"/>
  </w:num>
  <w:num w:numId="6" w16cid:durableId="1412199952">
    <w:abstractNumId w:val="8"/>
  </w:num>
  <w:num w:numId="7" w16cid:durableId="437944225">
    <w:abstractNumId w:val="3"/>
  </w:num>
  <w:num w:numId="8" w16cid:durableId="708798396">
    <w:abstractNumId w:val="2"/>
  </w:num>
  <w:num w:numId="9" w16cid:durableId="1967658439">
    <w:abstractNumId w:val="1"/>
  </w:num>
  <w:num w:numId="10" w16cid:durableId="1995139557">
    <w:abstractNumId w:val="0"/>
  </w:num>
  <w:num w:numId="11" w16cid:durableId="447353186">
    <w:abstractNumId w:val="8"/>
  </w:num>
  <w:num w:numId="12" w16cid:durableId="1857694748">
    <w:abstractNumId w:val="3"/>
  </w:num>
  <w:num w:numId="13" w16cid:durableId="1790590483">
    <w:abstractNumId w:val="2"/>
  </w:num>
  <w:num w:numId="14" w16cid:durableId="452985970">
    <w:abstractNumId w:val="1"/>
  </w:num>
  <w:num w:numId="15" w16cid:durableId="1814907856">
    <w:abstractNumId w:val="0"/>
  </w:num>
  <w:num w:numId="16" w16cid:durableId="1265110137">
    <w:abstractNumId w:val="12"/>
  </w:num>
  <w:num w:numId="17" w16cid:durableId="1417092546">
    <w:abstractNumId w:val="15"/>
  </w:num>
  <w:num w:numId="18" w16cid:durableId="1456947366">
    <w:abstractNumId w:val="10"/>
  </w:num>
  <w:num w:numId="19" w16cid:durableId="1562404709">
    <w:abstractNumId w:val="14"/>
  </w:num>
  <w:num w:numId="20" w16cid:durableId="180825370">
    <w:abstractNumId w:val="18"/>
  </w:num>
  <w:num w:numId="21" w16cid:durableId="1901747369">
    <w:abstractNumId w:val="19"/>
  </w:num>
  <w:num w:numId="22" w16cid:durableId="2070567252">
    <w:abstractNumId w:val="21"/>
  </w:num>
  <w:num w:numId="23" w16cid:durableId="452210505">
    <w:abstractNumId w:val="11"/>
  </w:num>
  <w:num w:numId="24" w16cid:durableId="534927299">
    <w:abstractNumId w:val="20"/>
  </w:num>
  <w:num w:numId="25" w16cid:durableId="657460501">
    <w:abstractNumId w:val="16"/>
  </w:num>
  <w:num w:numId="26" w16cid:durableId="738790335">
    <w:abstractNumId w:val="22"/>
  </w:num>
  <w:num w:numId="27" w16cid:durableId="866606022">
    <w:abstractNumId w:val="13"/>
  </w:num>
  <w:num w:numId="28" w16cid:durableId="902640607">
    <w:abstractNumId w:val="23"/>
  </w:num>
  <w:num w:numId="29" w16cid:durableId="922226883">
    <w:abstractNumId w:val="17"/>
  </w:num>
  <w:num w:numId="30" w16cid:durableId="1604919469">
    <w:abstractNumId w:val="8"/>
  </w:num>
  <w:num w:numId="31" w16cid:durableId="1419205525">
    <w:abstractNumId w:val="3"/>
  </w:num>
  <w:num w:numId="32" w16cid:durableId="817183642">
    <w:abstractNumId w:val="2"/>
  </w:num>
  <w:num w:numId="33" w16cid:durableId="973095322">
    <w:abstractNumId w:val="1"/>
  </w:num>
  <w:num w:numId="34" w16cid:durableId="2095122399">
    <w:abstractNumId w:val="0"/>
  </w:num>
  <w:num w:numId="35" w16cid:durableId="456148736">
    <w:abstractNumId w:val="8"/>
  </w:num>
  <w:num w:numId="36" w16cid:durableId="1898391109">
    <w:abstractNumId w:val="3"/>
  </w:num>
  <w:num w:numId="37" w16cid:durableId="860122161">
    <w:abstractNumId w:val="2"/>
  </w:num>
  <w:num w:numId="38" w16cid:durableId="338243664">
    <w:abstractNumId w:val="1"/>
  </w:num>
  <w:num w:numId="39" w16cid:durableId="645088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999"/>
    <w:rsid w:val="00000AF8"/>
    <w:rsid w:val="00001935"/>
    <w:rsid w:val="000035FC"/>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7D05"/>
    <w:rsid w:val="000E4C7A"/>
    <w:rsid w:val="000E5E15"/>
    <w:rsid w:val="000F5A9A"/>
    <w:rsid w:val="000F73D1"/>
    <w:rsid w:val="001001C5"/>
    <w:rsid w:val="00105EFE"/>
    <w:rsid w:val="00106777"/>
    <w:rsid w:val="00114122"/>
    <w:rsid w:val="0011489E"/>
    <w:rsid w:val="00114BA3"/>
    <w:rsid w:val="00115DEC"/>
    <w:rsid w:val="0012014C"/>
    <w:rsid w:val="00123F09"/>
    <w:rsid w:val="00127FA6"/>
    <w:rsid w:val="00132DB9"/>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701E1"/>
    <w:rsid w:val="00281792"/>
    <w:rsid w:val="0028799E"/>
    <w:rsid w:val="002962A8"/>
    <w:rsid w:val="002A56C0"/>
    <w:rsid w:val="002E0796"/>
    <w:rsid w:val="002E77F4"/>
    <w:rsid w:val="002F36B9"/>
    <w:rsid w:val="002F5FA2"/>
    <w:rsid w:val="003038E3"/>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6AC1"/>
    <w:rsid w:val="004321DC"/>
    <w:rsid w:val="00435AA4"/>
    <w:rsid w:val="00435EA8"/>
    <w:rsid w:val="004360BB"/>
    <w:rsid w:val="0044665A"/>
    <w:rsid w:val="004529ED"/>
    <w:rsid w:val="0045533C"/>
    <w:rsid w:val="004606DA"/>
    <w:rsid w:val="00463092"/>
    <w:rsid w:val="004676C0"/>
    <w:rsid w:val="00474E00"/>
    <w:rsid w:val="004835DB"/>
    <w:rsid w:val="00491D2D"/>
    <w:rsid w:val="00494797"/>
    <w:rsid w:val="004B0C10"/>
    <w:rsid w:val="004B167B"/>
    <w:rsid w:val="004C0EF7"/>
    <w:rsid w:val="004C19D7"/>
    <w:rsid w:val="004C297B"/>
    <w:rsid w:val="004C73C9"/>
    <w:rsid w:val="004D7CC5"/>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2E8C"/>
    <w:rsid w:val="00596B48"/>
    <w:rsid w:val="005B10E8"/>
    <w:rsid w:val="005B5026"/>
    <w:rsid w:val="005B5999"/>
    <w:rsid w:val="005B661F"/>
    <w:rsid w:val="005C3315"/>
    <w:rsid w:val="005E1CC3"/>
    <w:rsid w:val="005E7454"/>
    <w:rsid w:val="005F05C8"/>
    <w:rsid w:val="00604079"/>
    <w:rsid w:val="00606A6A"/>
    <w:rsid w:val="006178FB"/>
    <w:rsid w:val="00617BE4"/>
    <w:rsid w:val="00620233"/>
    <w:rsid w:val="00627DF4"/>
    <w:rsid w:val="006404B0"/>
    <w:rsid w:val="00644047"/>
    <w:rsid w:val="00650EC9"/>
    <w:rsid w:val="0066499C"/>
    <w:rsid w:val="00664F70"/>
    <w:rsid w:val="00676E68"/>
    <w:rsid w:val="0069174B"/>
    <w:rsid w:val="006A7108"/>
    <w:rsid w:val="006B2035"/>
    <w:rsid w:val="006B40DA"/>
    <w:rsid w:val="006C5D5D"/>
    <w:rsid w:val="006D139F"/>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C71B1"/>
    <w:rsid w:val="007D5061"/>
    <w:rsid w:val="007D7003"/>
    <w:rsid w:val="007E00D2"/>
    <w:rsid w:val="007E2AD4"/>
    <w:rsid w:val="007E3469"/>
    <w:rsid w:val="007E7B63"/>
    <w:rsid w:val="00810AD6"/>
    <w:rsid w:val="0082780C"/>
    <w:rsid w:val="008333C7"/>
    <w:rsid w:val="00833E0F"/>
    <w:rsid w:val="00835142"/>
    <w:rsid w:val="008404FD"/>
    <w:rsid w:val="00841AB4"/>
    <w:rsid w:val="00846DBA"/>
    <w:rsid w:val="00850AEF"/>
    <w:rsid w:val="00855DAB"/>
    <w:rsid w:val="00860C6A"/>
    <w:rsid w:val="00862891"/>
    <w:rsid w:val="00875048"/>
    <w:rsid w:val="00875BE1"/>
    <w:rsid w:val="00877715"/>
    <w:rsid w:val="00895033"/>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9272F"/>
    <w:rsid w:val="009A078E"/>
    <w:rsid w:val="009A2B30"/>
    <w:rsid w:val="009A4211"/>
    <w:rsid w:val="009A47A2"/>
    <w:rsid w:val="009E425E"/>
    <w:rsid w:val="009E4322"/>
    <w:rsid w:val="009F4384"/>
    <w:rsid w:val="009F442D"/>
    <w:rsid w:val="009F50DA"/>
    <w:rsid w:val="00A05D7D"/>
    <w:rsid w:val="00A06D56"/>
    <w:rsid w:val="00A314A2"/>
    <w:rsid w:val="00A516BB"/>
    <w:rsid w:val="00A619C5"/>
    <w:rsid w:val="00A73990"/>
    <w:rsid w:val="00A808E1"/>
    <w:rsid w:val="00A8262F"/>
    <w:rsid w:val="00A84B32"/>
    <w:rsid w:val="00A84B3A"/>
    <w:rsid w:val="00A87124"/>
    <w:rsid w:val="00A93B71"/>
    <w:rsid w:val="00AA6D0C"/>
    <w:rsid w:val="00AB0B32"/>
    <w:rsid w:val="00AB190D"/>
    <w:rsid w:val="00AB2D04"/>
    <w:rsid w:val="00AB5C39"/>
    <w:rsid w:val="00AB75A9"/>
    <w:rsid w:val="00AD1C5C"/>
    <w:rsid w:val="00AD566F"/>
    <w:rsid w:val="00AF0849"/>
    <w:rsid w:val="00B156F9"/>
    <w:rsid w:val="00B1733E"/>
    <w:rsid w:val="00B23CD4"/>
    <w:rsid w:val="00B25A86"/>
    <w:rsid w:val="00B26A5D"/>
    <w:rsid w:val="00B304B9"/>
    <w:rsid w:val="00B55E1A"/>
    <w:rsid w:val="00B57988"/>
    <w:rsid w:val="00B62032"/>
    <w:rsid w:val="00B65F8C"/>
    <w:rsid w:val="00B7263B"/>
    <w:rsid w:val="00B73F47"/>
    <w:rsid w:val="00B7638A"/>
    <w:rsid w:val="00B80DF9"/>
    <w:rsid w:val="00B81C62"/>
    <w:rsid w:val="00B840D8"/>
    <w:rsid w:val="00B96467"/>
    <w:rsid w:val="00BA154E"/>
    <w:rsid w:val="00BA37CE"/>
    <w:rsid w:val="00BA4692"/>
    <w:rsid w:val="00BC6FDB"/>
    <w:rsid w:val="00BC7DE8"/>
    <w:rsid w:val="00BD1D95"/>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4B93"/>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75A3"/>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23C8D"/>
    <w:rsid w:val="00F3225F"/>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80381E"/>
  <w15:docId w15:val="{EA71BD40-2010-4233-8E8E-07CE05A0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99272F"/>
    <w:pPr>
      <w:tabs>
        <w:tab w:val="clear" w:pos="567"/>
        <w:tab w:val="clear" w:pos="1134"/>
        <w:tab w:val="clear" w:pos="1701"/>
        <w:tab w:val="clear" w:pos="2268"/>
        <w:tab w:val="clear" w:pos="2835"/>
      </w:tabs>
      <w:spacing w:before="40" w:after="40"/>
    </w:pPr>
    <w:rPr>
      <w:rFonts w:asciiTheme="minorHAnsi" w:hAnsiTheme="minorHAnsi" w:cstheme="minorHAnsi"/>
      <w:sz w:val="22"/>
      <w:lang w:eastAsia="en-GB"/>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835142"/>
    <w:pPr>
      <w:spacing w:before="80" w:after="8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895033"/>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uiPriority w:val="99"/>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PlaceholderText">
    <w:name w:val="Placeholder Text"/>
    <w:basedOn w:val="DefaultParagraphFont"/>
    <w:uiPriority w:val="99"/>
    <w:semiHidden/>
    <w:rsid w:val="00E775A3"/>
    <w:rPr>
      <w:color w:val="666666"/>
    </w:rPr>
  </w:style>
  <w:style w:type="paragraph" w:customStyle="1" w:styleId="Data">
    <w:name w:val="Data"/>
    <w:basedOn w:val="Normal"/>
    <w:rsid w:val="00AA6D0C"/>
    <w:pPr>
      <w:framePr w:hSpace="181" w:wrap="around" w:hAnchor="margin" w:xAlign="center" w:y="-674"/>
      <w:tabs>
        <w:tab w:val="left" w:pos="851"/>
      </w:tabs>
      <w:spacing w:before="0"/>
    </w:pPr>
    <w:rPr>
      <w:rFonts w:cstheme="minorHAnsi"/>
      <w:b/>
      <w:szCs w:val="24"/>
    </w:rPr>
  </w:style>
  <w:style w:type="table" w:styleId="TableGrid">
    <w:name w:val="Table Grid"/>
    <w:basedOn w:val="TableNormal"/>
    <w:uiPriority w:val="39"/>
    <w:rsid w:val="005B5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5999"/>
    <w:pPr>
      <w:ind w:left="720"/>
      <w:contextualSpacing/>
    </w:pPr>
  </w:style>
  <w:style w:type="paragraph" w:customStyle="1" w:styleId="Tablefin">
    <w:name w:val="Table_fin"/>
    <w:basedOn w:val="Tabletext"/>
    <w:rsid w:val="00835142"/>
    <w:pPr>
      <w:spacing w:before="0" w:after="0"/>
    </w:pPr>
  </w:style>
  <w:style w:type="paragraph" w:customStyle="1" w:styleId="Figure">
    <w:name w:val="Figure"/>
    <w:basedOn w:val="Normal"/>
    <w:rsid w:val="0099272F"/>
    <w:pPr>
      <w:spacing w:after="240"/>
      <w:jc w:val="center"/>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L-C-0116/en" TargetMode="Externa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s://www.itu.int/md/S26-CL-C-0041/e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tu.int/md/S26-CL-C-0046/en" TargetMode="Externa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P26_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PP26_E-template.dotx</Template>
  <TotalTime>0</TotalTime>
  <Pages>12</Pages>
  <Words>2211</Words>
  <Characters>13472</Characters>
  <Application>Microsoft Office Word</Application>
  <DocSecurity>0</DocSecurity>
  <Lines>336</Lines>
  <Paragraphs>214</Paragraphs>
  <ScaleCrop>false</ScaleCrop>
  <HeadingPairs>
    <vt:vector size="2" baseType="variant">
      <vt:variant>
        <vt:lpstr>Title</vt:lpstr>
      </vt:variant>
      <vt:variant>
        <vt:i4>1</vt:i4>
      </vt:variant>
    </vt:vector>
  </HeadingPairs>
  <TitlesOfParts>
    <vt:vector size="1" baseType="lpstr">
      <vt:lpstr>After-Service Health Insurance (ASHI) liability update</vt:lpstr>
    </vt:vector>
  </TitlesOfParts>
  <Manager/>
  <Company/>
  <LinksUpToDate>false</LinksUpToDate>
  <CharactersWithSpaces>15469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After-Service Health Insurance (ASHI) liability update</dc:title>
  <dc:subject>ITU Plenipotentiary Conference (PP-26)</dc:subject>
  <cp:keywords>PP-26, PP26, ITU</cp:keywords>
  <dc:description/>
  <dcterms:created xsi:type="dcterms:W3CDTF">2026-10-05T17:52:00Z</dcterms:created>
  <dcterms:modified xsi:type="dcterms:W3CDTF">2026-10-05T17:52:00Z</dcterms:modified>
  <cp:category>Conference document</cp:category>
</cp:coreProperties>
</file>