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3F7316" w14:paraId="3CD2C9D8" w14:textId="77777777" w:rsidTr="005A329F">
        <w:trPr>
          <w:cantSplit/>
          <w:jc w:val="center"/>
        </w:trPr>
        <w:tc>
          <w:tcPr>
            <w:tcW w:w="10031" w:type="dxa"/>
            <w:gridSpan w:val="2"/>
            <w:tcMar>
              <w:left w:w="0" w:type="dxa"/>
              <w:right w:w="0" w:type="dxa"/>
            </w:tcMar>
            <w:vAlign w:val="center"/>
          </w:tcPr>
          <w:p w14:paraId="6F737EC2" w14:textId="77777777" w:rsidR="00BF32F2" w:rsidRPr="003F7316" w:rsidRDefault="00BF32F2" w:rsidP="00BF32F2">
            <w:pPr>
              <w:spacing w:before="0" w:line="240" w:lineRule="atLeast"/>
              <w:rPr>
                <w:rFonts w:cstheme="minorHAnsi"/>
                <w:lang w:val="es-ES"/>
              </w:rPr>
            </w:pPr>
            <w:bookmarkStart w:id="0" w:name="ditulogo"/>
            <w:bookmarkEnd w:id="0"/>
            <w:r w:rsidRPr="003F7316">
              <w:rPr>
                <w:rFonts w:cstheme="minorHAnsi"/>
                <w:noProof/>
                <w:lang w:val="es-ES"/>
              </w:rPr>
              <w:drawing>
                <wp:anchor distT="0" distB="0" distL="0" distR="0" simplePos="0" relativeHeight="251658240" behindDoc="1" locked="0" layoutInCell="1" allowOverlap="1" wp14:anchorId="7E8093DE" wp14:editId="4C22358B">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3F7316" w14:paraId="06B81D04" w14:textId="77777777" w:rsidTr="005A329F">
        <w:trPr>
          <w:cantSplit/>
          <w:trHeight w:val="283"/>
          <w:jc w:val="center"/>
        </w:trPr>
        <w:tc>
          <w:tcPr>
            <w:tcW w:w="10031" w:type="dxa"/>
            <w:gridSpan w:val="2"/>
            <w:tcBorders>
              <w:bottom w:val="single" w:sz="12" w:space="0" w:color="71716F"/>
            </w:tcBorders>
          </w:tcPr>
          <w:p w14:paraId="7D963690" w14:textId="77777777" w:rsidR="00277985" w:rsidRPr="003F7316" w:rsidRDefault="00277985" w:rsidP="00BF32F2">
            <w:pPr>
              <w:spacing w:before="0" w:line="240" w:lineRule="atLeast"/>
              <w:rPr>
                <w:rFonts w:cstheme="minorHAnsi"/>
                <w:b/>
                <w:smallCaps/>
                <w:szCs w:val="24"/>
                <w:lang w:val="es-ES"/>
              </w:rPr>
            </w:pPr>
            <w:bookmarkStart w:id="1" w:name="dhead"/>
          </w:p>
        </w:tc>
      </w:tr>
      <w:tr w:rsidR="00255FA1" w:rsidRPr="003F7316" w14:paraId="7F7B6DFB" w14:textId="77777777" w:rsidTr="005A329F">
        <w:trPr>
          <w:cantSplit/>
          <w:trHeight w:val="255"/>
          <w:jc w:val="center"/>
        </w:trPr>
        <w:tc>
          <w:tcPr>
            <w:tcW w:w="7229" w:type="dxa"/>
            <w:tcBorders>
              <w:top w:val="single" w:sz="12" w:space="0" w:color="71716F"/>
            </w:tcBorders>
          </w:tcPr>
          <w:p w14:paraId="603DC8BD" w14:textId="77777777" w:rsidR="00255FA1" w:rsidRPr="003F7316"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3D4AF3E5" w14:textId="77777777" w:rsidR="00255FA1" w:rsidRPr="003F7316" w:rsidRDefault="00255FA1" w:rsidP="00BF32F2">
            <w:pPr>
              <w:spacing w:before="0"/>
              <w:rPr>
                <w:rFonts w:cstheme="minorHAnsi"/>
                <w:szCs w:val="24"/>
                <w:lang w:val="es-ES"/>
              </w:rPr>
            </w:pPr>
          </w:p>
        </w:tc>
      </w:tr>
      <w:bookmarkEnd w:id="1"/>
      <w:tr w:rsidR="00075113" w:rsidRPr="003F7316" w14:paraId="6F2BCACE" w14:textId="77777777" w:rsidTr="005A329F">
        <w:trPr>
          <w:cantSplit/>
          <w:jc w:val="center"/>
        </w:trPr>
        <w:tc>
          <w:tcPr>
            <w:tcW w:w="7229" w:type="dxa"/>
          </w:tcPr>
          <w:p w14:paraId="3D373590" w14:textId="77777777" w:rsidR="00075113" w:rsidRPr="003F7316" w:rsidRDefault="00075113" w:rsidP="00075113">
            <w:pPr>
              <w:pStyle w:val="Committee"/>
              <w:framePr w:hSpace="0" w:wrap="auto" w:hAnchor="text" w:yAlign="inline"/>
              <w:spacing w:after="0" w:line="240" w:lineRule="auto"/>
              <w:rPr>
                <w:lang w:val="es-ES"/>
              </w:rPr>
            </w:pPr>
            <w:r w:rsidRPr="003F7316">
              <w:rPr>
                <w:lang w:val="es-ES"/>
              </w:rPr>
              <w:t>SESIÓN PLENARIA</w:t>
            </w:r>
          </w:p>
        </w:tc>
        <w:tc>
          <w:tcPr>
            <w:tcW w:w="2802" w:type="dxa"/>
          </w:tcPr>
          <w:p w14:paraId="0A0EA710" w14:textId="37E9E23A" w:rsidR="00075113" w:rsidRPr="003F7316" w:rsidRDefault="00075113" w:rsidP="00075113">
            <w:pPr>
              <w:spacing w:before="0"/>
              <w:rPr>
                <w:rFonts w:cstheme="minorHAnsi"/>
                <w:b/>
                <w:szCs w:val="24"/>
                <w:lang w:val="es-ES"/>
              </w:rPr>
            </w:pPr>
            <w:r w:rsidRPr="003F7316">
              <w:rPr>
                <w:rFonts w:cstheme="minorHAnsi"/>
                <w:b/>
                <w:szCs w:val="24"/>
                <w:lang w:val="es-ES"/>
              </w:rPr>
              <w:t xml:space="preserve">Documento </w:t>
            </w:r>
            <w:r w:rsidR="006A6655" w:rsidRPr="003F7316">
              <w:rPr>
                <w:rFonts w:cstheme="minorHAnsi"/>
                <w:b/>
                <w:szCs w:val="24"/>
                <w:lang w:val="es-ES"/>
              </w:rPr>
              <w:t>72</w:t>
            </w:r>
            <w:r w:rsidRPr="003F7316">
              <w:rPr>
                <w:rFonts w:cstheme="minorHAnsi"/>
                <w:b/>
                <w:szCs w:val="24"/>
                <w:lang w:val="es-ES"/>
              </w:rPr>
              <w:t>-S</w:t>
            </w:r>
          </w:p>
        </w:tc>
      </w:tr>
      <w:tr w:rsidR="00075113" w:rsidRPr="003F7316" w14:paraId="135202A3" w14:textId="77777777" w:rsidTr="005A329F">
        <w:trPr>
          <w:cantSplit/>
          <w:jc w:val="center"/>
        </w:trPr>
        <w:tc>
          <w:tcPr>
            <w:tcW w:w="7229" w:type="dxa"/>
          </w:tcPr>
          <w:p w14:paraId="7E10314D" w14:textId="77777777" w:rsidR="00075113" w:rsidRPr="003F7316" w:rsidRDefault="00075113" w:rsidP="00075113">
            <w:pPr>
              <w:spacing w:before="0"/>
              <w:rPr>
                <w:rFonts w:cstheme="minorHAnsi"/>
                <w:b/>
                <w:szCs w:val="24"/>
                <w:lang w:val="es-ES"/>
              </w:rPr>
            </w:pPr>
          </w:p>
        </w:tc>
        <w:tc>
          <w:tcPr>
            <w:tcW w:w="2802" w:type="dxa"/>
          </w:tcPr>
          <w:p w14:paraId="4E40498A" w14:textId="7249D256" w:rsidR="00075113" w:rsidRPr="003F7316" w:rsidRDefault="006A6655" w:rsidP="00075113">
            <w:pPr>
              <w:spacing w:before="0"/>
              <w:rPr>
                <w:rFonts w:cstheme="minorHAnsi"/>
                <w:b/>
                <w:szCs w:val="24"/>
                <w:lang w:val="es-ES"/>
              </w:rPr>
            </w:pPr>
            <w:r w:rsidRPr="003F7316">
              <w:rPr>
                <w:b/>
                <w:color w:val="000000"/>
                <w:lang w:val="es-ES"/>
              </w:rPr>
              <w:t>5 de octubre de 2026</w:t>
            </w:r>
          </w:p>
        </w:tc>
      </w:tr>
      <w:tr w:rsidR="00075113" w:rsidRPr="003F7316" w14:paraId="6701C87B" w14:textId="77777777" w:rsidTr="005A329F">
        <w:trPr>
          <w:cantSplit/>
          <w:jc w:val="center"/>
        </w:trPr>
        <w:tc>
          <w:tcPr>
            <w:tcW w:w="7229" w:type="dxa"/>
          </w:tcPr>
          <w:p w14:paraId="4C3BCFFA" w14:textId="77777777" w:rsidR="00075113" w:rsidRPr="003F7316" w:rsidRDefault="00075113" w:rsidP="00075113">
            <w:pPr>
              <w:spacing w:before="0"/>
              <w:rPr>
                <w:rFonts w:cstheme="minorHAnsi"/>
                <w:b/>
                <w:smallCaps/>
                <w:szCs w:val="24"/>
                <w:lang w:val="es-ES"/>
              </w:rPr>
            </w:pPr>
          </w:p>
        </w:tc>
        <w:tc>
          <w:tcPr>
            <w:tcW w:w="2802" w:type="dxa"/>
          </w:tcPr>
          <w:p w14:paraId="2DA67C78" w14:textId="77777777" w:rsidR="00075113" w:rsidRPr="003F7316" w:rsidRDefault="00075113" w:rsidP="00075113">
            <w:pPr>
              <w:spacing w:before="0"/>
              <w:rPr>
                <w:rFonts w:cstheme="minorHAnsi"/>
                <w:b/>
                <w:szCs w:val="24"/>
                <w:lang w:val="es-ES"/>
              </w:rPr>
            </w:pPr>
            <w:r w:rsidRPr="003F7316">
              <w:rPr>
                <w:rFonts w:cstheme="minorHAnsi"/>
                <w:b/>
                <w:szCs w:val="24"/>
                <w:lang w:val="es-ES"/>
              </w:rPr>
              <w:t>Original: inglés</w:t>
            </w:r>
          </w:p>
        </w:tc>
      </w:tr>
      <w:tr w:rsidR="00075113" w:rsidRPr="003F7316" w14:paraId="04F6C270" w14:textId="77777777" w:rsidTr="005A329F">
        <w:trPr>
          <w:cantSplit/>
          <w:jc w:val="center"/>
        </w:trPr>
        <w:tc>
          <w:tcPr>
            <w:tcW w:w="10031" w:type="dxa"/>
            <w:gridSpan w:val="2"/>
          </w:tcPr>
          <w:p w14:paraId="4A74FC10" w14:textId="77777777" w:rsidR="00075113" w:rsidRPr="003F7316" w:rsidRDefault="00075113" w:rsidP="00075113">
            <w:pPr>
              <w:spacing w:before="0" w:line="240" w:lineRule="atLeast"/>
              <w:rPr>
                <w:rFonts w:cstheme="minorHAnsi"/>
                <w:b/>
                <w:szCs w:val="24"/>
                <w:lang w:val="es-ES"/>
              </w:rPr>
            </w:pPr>
          </w:p>
        </w:tc>
      </w:tr>
      <w:tr w:rsidR="006A6655" w:rsidRPr="003F7316" w14:paraId="28B8DD72" w14:textId="77777777" w:rsidTr="005A329F">
        <w:trPr>
          <w:cantSplit/>
          <w:jc w:val="center"/>
        </w:trPr>
        <w:tc>
          <w:tcPr>
            <w:tcW w:w="10031" w:type="dxa"/>
            <w:gridSpan w:val="2"/>
          </w:tcPr>
          <w:p w14:paraId="098E0740" w14:textId="0D8E24D5" w:rsidR="006A6655" w:rsidRPr="003F7316" w:rsidRDefault="006A6655" w:rsidP="006A6655">
            <w:pPr>
              <w:pStyle w:val="Source"/>
              <w:rPr>
                <w:lang w:val="es-ES"/>
              </w:rPr>
            </w:pPr>
            <w:bookmarkStart w:id="2" w:name="dsource" w:colFirst="0" w:colLast="0"/>
            <w:r w:rsidRPr="003F7316">
              <w:rPr>
                <w:lang w:val="es-ES"/>
              </w:rPr>
              <w:t>Informe de la Secretaria General</w:t>
            </w:r>
          </w:p>
        </w:tc>
      </w:tr>
      <w:tr w:rsidR="006A6655" w:rsidRPr="003F7316" w14:paraId="3AD948A7" w14:textId="77777777" w:rsidTr="005A329F">
        <w:trPr>
          <w:cantSplit/>
          <w:jc w:val="center"/>
        </w:trPr>
        <w:tc>
          <w:tcPr>
            <w:tcW w:w="10031" w:type="dxa"/>
            <w:gridSpan w:val="2"/>
          </w:tcPr>
          <w:p w14:paraId="571424EC" w14:textId="1DDD93F6" w:rsidR="006A6655" w:rsidRPr="003F7316" w:rsidRDefault="008C32E2" w:rsidP="006A6655">
            <w:pPr>
              <w:pStyle w:val="Title1"/>
              <w:rPr>
                <w:lang w:val="es-ES"/>
              </w:rPr>
            </w:pPr>
            <w:bookmarkStart w:id="3" w:name="dtitle1" w:colFirst="0" w:colLast="0"/>
            <w:bookmarkEnd w:id="2"/>
            <w:r w:rsidRPr="003F7316">
              <w:rPr>
                <w:caps w:val="0"/>
                <w:lang w:val="es-ES"/>
              </w:rPr>
              <w:t xml:space="preserve">INFORMACIÓN ACTUALIZADA SOBRE EL PASIVO DEL SEGURO MÉDICO </w:t>
            </w:r>
            <w:r w:rsidRPr="003F7316">
              <w:rPr>
                <w:caps w:val="0"/>
                <w:lang w:val="es-ES"/>
              </w:rPr>
              <w:br/>
              <w:t>DESPUÉS DEL SERVICIO (ASHI)</w:t>
            </w:r>
          </w:p>
        </w:tc>
      </w:tr>
      <w:tr w:rsidR="00075113" w:rsidRPr="003F7316" w14:paraId="1A825765" w14:textId="77777777" w:rsidTr="005A329F">
        <w:trPr>
          <w:cantSplit/>
          <w:jc w:val="center"/>
        </w:trPr>
        <w:tc>
          <w:tcPr>
            <w:tcW w:w="10031" w:type="dxa"/>
            <w:gridSpan w:val="2"/>
          </w:tcPr>
          <w:p w14:paraId="6CFF5590" w14:textId="77777777" w:rsidR="00075113" w:rsidRPr="003F7316" w:rsidRDefault="00075113" w:rsidP="00075113">
            <w:pPr>
              <w:pStyle w:val="Agendaitem"/>
              <w:rPr>
                <w:lang w:val="es-ES"/>
              </w:rPr>
            </w:pPr>
            <w:bookmarkStart w:id="4" w:name="dtitle3" w:colFirst="0" w:colLast="0"/>
            <w:bookmarkEnd w:id="3"/>
          </w:p>
        </w:tc>
      </w:tr>
      <w:bookmarkEnd w:id="4"/>
    </w:tbl>
    <w:p w14:paraId="155F8EB1" w14:textId="77777777" w:rsidR="00504FD4" w:rsidRPr="003F7316" w:rsidRDefault="00504FD4" w:rsidP="00930E84">
      <w:pPr>
        <w:rPr>
          <w:lang w:val="es-ES"/>
        </w:rPr>
      </w:pPr>
    </w:p>
    <w:tbl>
      <w:tblPr>
        <w:tblStyle w:val="TableGrid"/>
        <w:tblW w:w="0" w:type="auto"/>
        <w:jc w:val="center"/>
        <w:tblLayout w:type="fixed"/>
        <w:tblLook w:val="04A0" w:firstRow="1" w:lastRow="0" w:firstColumn="1" w:lastColumn="0" w:noHBand="0" w:noVBand="1"/>
      </w:tblPr>
      <w:tblGrid>
        <w:gridCol w:w="7937"/>
      </w:tblGrid>
      <w:tr w:rsidR="006A6655" w:rsidRPr="003F7316" w14:paraId="21D45D3E" w14:textId="77777777" w:rsidTr="009854EC">
        <w:trPr>
          <w:trHeight w:val="3402"/>
          <w:jc w:val="center"/>
        </w:trPr>
        <w:tc>
          <w:tcPr>
            <w:tcW w:w="7937" w:type="dxa"/>
          </w:tcPr>
          <w:p w14:paraId="1D04EC57" w14:textId="77777777" w:rsidR="006A6655" w:rsidRPr="003F7316" w:rsidRDefault="006A6655" w:rsidP="006A6655">
            <w:pPr>
              <w:pStyle w:val="Headingb"/>
              <w:rPr>
                <w:lang w:val="es-ES"/>
              </w:rPr>
            </w:pPr>
            <w:r w:rsidRPr="003F7316">
              <w:rPr>
                <w:lang w:val="es-ES"/>
              </w:rPr>
              <w:t>Resumen</w:t>
            </w:r>
          </w:p>
          <w:p w14:paraId="60EB7901" w14:textId="7AB7DE65" w:rsidR="006A6655" w:rsidRPr="003F7316" w:rsidRDefault="006A6655" w:rsidP="006A6655">
            <w:pPr>
              <w:rPr>
                <w:lang w:val="es-ES"/>
              </w:rPr>
            </w:pPr>
            <w:r w:rsidRPr="003F7316">
              <w:rPr>
                <w:lang w:val="es-ES"/>
              </w:rPr>
              <w:t>Información actualizada sobre el pasivo del ASHI, incluida la aplicación de las recomendaciones conexas del Auditor Externo, para sustentar el debate sobre el</w:t>
            </w:r>
            <w:r w:rsidR="003B0292" w:rsidRPr="003F7316">
              <w:rPr>
                <w:lang w:val="es-ES"/>
              </w:rPr>
              <w:t> </w:t>
            </w:r>
            <w:r w:rsidRPr="003F7316">
              <w:rPr>
                <w:lang w:val="es-ES"/>
              </w:rPr>
              <w:t>Plan Financiero para el periodo 2028</w:t>
            </w:r>
            <w:r w:rsidR="003B0292" w:rsidRPr="003F7316">
              <w:rPr>
                <w:lang w:val="es-ES"/>
              </w:rPr>
              <w:noBreakHyphen/>
            </w:r>
            <w:r w:rsidRPr="003F7316">
              <w:rPr>
                <w:lang w:val="es-ES"/>
              </w:rPr>
              <w:t>2031 en la Conferencia de Plenipotenciarios (Doha, 2026). El Auditor Externo recomendó que, en consulta con los Miembros, la</w:t>
            </w:r>
            <w:r w:rsidR="003B0292" w:rsidRPr="003F7316">
              <w:rPr>
                <w:lang w:val="es-ES"/>
              </w:rPr>
              <w:t> </w:t>
            </w:r>
            <w:r w:rsidRPr="003F7316">
              <w:rPr>
                <w:lang w:val="es-ES"/>
              </w:rPr>
              <w:t>UIT debería desarrollar una política y una estrategia globales para su pasivo del ASHI. Esto debería incluir un nivel objetivo para una reserva financiada.</w:t>
            </w:r>
          </w:p>
          <w:p w14:paraId="448E0C6E" w14:textId="77777777" w:rsidR="006A6655" w:rsidRPr="003F7316" w:rsidRDefault="006A6655" w:rsidP="009854EC">
            <w:pPr>
              <w:pStyle w:val="Headingb"/>
              <w:rPr>
                <w:lang w:val="es-ES"/>
              </w:rPr>
            </w:pPr>
            <w:r w:rsidRPr="003F7316">
              <w:rPr>
                <w:lang w:val="es-ES"/>
              </w:rPr>
              <w:t>Acción</w:t>
            </w:r>
            <w:r w:rsidRPr="003F7316">
              <w:rPr>
                <w:bCs/>
                <w:color w:val="000000"/>
                <w:lang w:val="es-ES"/>
              </w:rPr>
              <w:t xml:space="preserve"> solicitada</w:t>
            </w:r>
          </w:p>
          <w:p w14:paraId="187FB579" w14:textId="77777777" w:rsidR="006A6655" w:rsidRPr="003F7316" w:rsidRDefault="006A6655" w:rsidP="006A6655">
            <w:pPr>
              <w:rPr>
                <w:lang w:val="es-ES"/>
              </w:rPr>
            </w:pPr>
            <w:r w:rsidRPr="003F7316">
              <w:rPr>
                <w:lang w:val="es-ES"/>
              </w:rPr>
              <w:t>Se</w:t>
            </w:r>
            <w:r w:rsidRPr="003F7316">
              <w:rPr>
                <w:color w:val="000000"/>
                <w:lang w:val="es-ES"/>
              </w:rPr>
              <w:t xml:space="preserve"> invita a la Conferencia de Plenipotenciarios a </w:t>
            </w:r>
            <w:r w:rsidRPr="003F7316">
              <w:rPr>
                <w:b/>
                <w:bCs/>
                <w:color w:val="000000"/>
                <w:lang w:val="es-ES"/>
              </w:rPr>
              <w:t>tomar nota</w:t>
            </w:r>
            <w:r w:rsidRPr="003F7316">
              <w:rPr>
                <w:color w:val="000000"/>
                <w:lang w:val="es-ES"/>
              </w:rPr>
              <w:t xml:space="preserve"> del presente informe.</w:t>
            </w:r>
          </w:p>
          <w:p w14:paraId="7661B0CE" w14:textId="77777777" w:rsidR="006A6655" w:rsidRPr="003F7316" w:rsidRDefault="006A6655" w:rsidP="006A6655">
            <w:pPr>
              <w:pStyle w:val="Headingb"/>
              <w:rPr>
                <w:b w:val="0"/>
                <w:bCs/>
                <w:lang w:val="es-ES"/>
              </w:rPr>
            </w:pPr>
            <w:r w:rsidRPr="003F7316">
              <w:rPr>
                <w:lang w:val="es-ES"/>
              </w:rPr>
              <w:t>Repercusiones</w:t>
            </w:r>
            <w:r w:rsidRPr="003F7316">
              <w:rPr>
                <w:bCs/>
                <w:color w:val="000000"/>
                <w:lang w:val="es-ES"/>
              </w:rPr>
              <w:t xml:space="preserve"> financieras</w:t>
            </w:r>
          </w:p>
          <w:p w14:paraId="1CC8C47A" w14:textId="77777777" w:rsidR="006A6655" w:rsidRPr="003F7316" w:rsidRDefault="006A6655" w:rsidP="006A6655">
            <w:pPr>
              <w:rPr>
                <w:lang w:val="es-ES"/>
              </w:rPr>
            </w:pPr>
            <w:r w:rsidRPr="003F7316">
              <w:rPr>
                <w:lang w:val="es-ES"/>
              </w:rPr>
              <w:t>N/A</w:t>
            </w:r>
          </w:p>
          <w:p w14:paraId="5D2636B0" w14:textId="77777777" w:rsidR="006A6655" w:rsidRPr="003F7316" w:rsidRDefault="006A6655" w:rsidP="003B0292">
            <w:pPr>
              <w:jc w:val="center"/>
              <w:rPr>
                <w:lang w:val="es-ES"/>
              </w:rPr>
            </w:pPr>
            <w:r w:rsidRPr="003F7316">
              <w:rPr>
                <w:lang w:val="es-ES"/>
              </w:rPr>
              <w:t>______________</w:t>
            </w:r>
          </w:p>
          <w:p w14:paraId="1E0CEAE3" w14:textId="77777777" w:rsidR="006A6655" w:rsidRPr="003F7316" w:rsidRDefault="006A6655" w:rsidP="009854EC">
            <w:pPr>
              <w:pStyle w:val="Headingb"/>
              <w:rPr>
                <w:lang w:val="es-ES"/>
              </w:rPr>
            </w:pPr>
            <w:r w:rsidRPr="003F7316">
              <w:rPr>
                <w:lang w:val="es-ES"/>
              </w:rPr>
              <w:t>Referencias</w:t>
            </w:r>
          </w:p>
          <w:p w14:paraId="709BBDFC" w14:textId="0BDAFFE9" w:rsidR="006A6655" w:rsidRPr="006F7202" w:rsidRDefault="006A6655" w:rsidP="006F7202">
            <w:pPr>
              <w:spacing w:after="120"/>
              <w:rPr>
                <w:i/>
                <w:iCs/>
                <w:sz w:val="22"/>
                <w:szCs w:val="22"/>
                <w:lang w:val="es-ES"/>
              </w:rPr>
            </w:pPr>
            <w:r w:rsidRPr="006F7202">
              <w:rPr>
                <w:i/>
                <w:iCs/>
                <w:sz w:val="22"/>
                <w:szCs w:val="22"/>
                <w:lang w:val="es-ES"/>
              </w:rPr>
              <w:t xml:space="preserve">Documentos </w:t>
            </w:r>
            <w:hyperlink r:id="rId7" w:history="1">
              <w:r w:rsidRPr="006F7202">
                <w:rPr>
                  <w:rStyle w:val="Hyperlink"/>
                  <w:i/>
                  <w:iCs/>
                  <w:sz w:val="22"/>
                  <w:szCs w:val="22"/>
                  <w:lang w:val="es-ES"/>
                </w:rPr>
                <w:t>C26/116</w:t>
              </w:r>
            </w:hyperlink>
            <w:r w:rsidRPr="006F7202">
              <w:rPr>
                <w:i/>
                <w:iCs/>
                <w:sz w:val="22"/>
                <w:szCs w:val="22"/>
                <w:lang w:val="es-ES"/>
              </w:rPr>
              <w:t xml:space="preserve"> (§ 14), </w:t>
            </w:r>
            <w:hyperlink r:id="rId8" w:history="1">
              <w:r w:rsidRPr="006F7202">
                <w:rPr>
                  <w:rStyle w:val="Hyperlink"/>
                  <w:i/>
                  <w:iCs/>
                  <w:sz w:val="22"/>
                  <w:szCs w:val="22"/>
                  <w:lang w:val="es-ES"/>
                </w:rPr>
                <w:t>C26/46</w:t>
              </w:r>
            </w:hyperlink>
            <w:r w:rsidRPr="006F7202">
              <w:rPr>
                <w:i/>
                <w:iCs/>
                <w:sz w:val="22"/>
                <w:szCs w:val="22"/>
                <w:lang w:val="es-ES"/>
              </w:rPr>
              <w:t xml:space="preserve"> y </w:t>
            </w:r>
            <w:hyperlink r:id="rId9" w:history="1">
              <w:r w:rsidRPr="006F7202">
                <w:rPr>
                  <w:rStyle w:val="Hyperlink"/>
                  <w:i/>
                  <w:iCs/>
                  <w:sz w:val="22"/>
                  <w:szCs w:val="22"/>
                  <w:lang w:val="es-ES"/>
                </w:rPr>
                <w:t>C26/41</w:t>
              </w:r>
            </w:hyperlink>
            <w:r w:rsidRPr="006F7202">
              <w:rPr>
                <w:i/>
                <w:iCs/>
                <w:sz w:val="22"/>
                <w:szCs w:val="22"/>
                <w:lang w:val="es-ES"/>
              </w:rPr>
              <w:t xml:space="preserve"> del Consejo.</w:t>
            </w:r>
            <w:hyperlink r:id="rId10" w:history="1"/>
            <w:hyperlink r:id="rId11" w:history="1"/>
            <w:hyperlink r:id="rId12" w:history="1"/>
          </w:p>
        </w:tc>
      </w:tr>
    </w:tbl>
    <w:p w14:paraId="0AC53AE7" w14:textId="3DF7570B" w:rsidR="00A924CF" w:rsidRDefault="00A924CF">
      <w:pPr>
        <w:tabs>
          <w:tab w:val="clear" w:pos="567"/>
          <w:tab w:val="clear" w:pos="1134"/>
          <w:tab w:val="clear" w:pos="1701"/>
          <w:tab w:val="clear" w:pos="2268"/>
          <w:tab w:val="clear" w:pos="2835"/>
        </w:tabs>
        <w:overflowPunct/>
        <w:autoSpaceDE/>
        <w:autoSpaceDN/>
        <w:adjustRightInd/>
        <w:spacing w:before="0"/>
        <w:textAlignment w:val="auto"/>
        <w:rPr>
          <w:lang w:val="es-ES"/>
        </w:rPr>
      </w:pPr>
      <w:r>
        <w:rPr>
          <w:lang w:val="es-ES"/>
        </w:rPr>
        <w:br w:type="page"/>
      </w:r>
    </w:p>
    <w:p w14:paraId="37702A13" w14:textId="31EFC0CA" w:rsidR="006A6655" w:rsidRPr="003F7316" w:rsidRDefault="006A6655" w:rsidP="00A924CF">
      <w:pPr>
        <w:pStyle w:val="Heading1"/>
        <w:rPr>
          <w:lang w:val="es-ES"/>
        </w:rPr>
      </w:pPr>
      <w:r w:rsidRPr="003F7316">
        <w:rPr>
          <w:lang w:val="es-ES"/>
        </w:rPr>
        <w:lastRenderedPageBreak/>
        <w:t>1</w:t>
      </w:r>
      <w:r w:rsidRPr="003F7316">
        <w:rPr>
          <w:lang w:val="es-ES"/>
        </w:rPr>
        <w:tab/>
        <w:t>Resumen ejecutivo</w:t>
      </w:r>
    </w:p>
    <w:p w14:paraId="650AEC46" w14:textId="4C542F71" w:rsidR="006A6655" w:rsidRPr="003F7316" w:rsidRDefault="006A6655" w:rsidP="006A6655">
      <w:pPr>
        <w:rPr>
          <w:lang w:val="es-ES"/>
        </w:rPr>
      </w:pPr>
      <w:r w:rsidRPr="003F7316">
        <w:rPr>
          <w:lang w:val="es-ES"/>
        </w:rPr>
        <w:t>1.1</w:t>
      </w:r>
      <w:r w:rsidRPr="003F7316">
        <w:rPr>
          <w:lang w:val="es-ES"/>
        </w:rPr>
        <w:tab/>
        <w:t>A 31 de diciembre de 2025, el pasivo del ASHI ascendía a 378,8</w:t>
      </w:r>
      <w:r w:rsidR="003B0292" w:rsidRPr="003F7316">
        <w:rPr>
          <w:lang w:val="es-ES"/>
        </w:rPr>
        <w:t> </w:t>
      </w:r>
      <w:r w:rsidRPr="003F7316">
        <w:rPr>
          <w:lang w:val="es-ES"/>
        </w:rPr>
        <w:t>millones</w:t>
      </w:r>
      <w:r w:rsidR="003B0292" w:rsidRPr="003F7316">
        <w:rPr>
          <w:lang w:val="es-ES"/>
        </w:rPr>
        <w:t> </w:t>
      </w:r>
      <w:r w:rsidRPr="003F7316">
        <w:rPr>
          <w:lang w:val="es-ES"/>
        </w:rPr>
        <w:t>CHF, mientras que los activos destinados a la financiar estas obligaciones ascendían a solo 15</w:t>
      </w:r>
      <w:r w:rsidR="003B0292" w:rsidRPr="003F7316">
        <w:rPr>
          <w:lang w:val="es-ES"/>
        </w:rPr>
        <w:t> </w:t>
      </w:r>
      <w:r w:rsidRPr="003F7316">
        <w:rPr>
          <w:lang w:val="es-ES"/>
        </w:rPr>
        <w:t>millones</w:t>
      </w:r>
      <w:r w:rsidR="003B0292" w:rsidRPr="003F7316">
        <w:rPr>
          <w:lang w:val="es-ES"/>
        </w:rPr>
        <w:t> </w:t>
      </w:r>
      <w:r w:rsidRPr="003F7316">
        <w:rPr>
          <w:lang w:val="es-ES"/>
        </w:rPr>
        <w:t>CHF y los activos netos de la</w:t>
      </w:r>
      <w:r w:rsidR="003B0292" w:rsidRPr="003F7316">
        <w:rPr>
          <w:lang w:val="es-ES"/>
        </w:rPr>
        <w:t> </w:t>
      </w:r>
      <w:r w:rsidRPr="003F7316">
        <w:rPr>
          <w:lang w:val="es-ES"/>
        </w:rPr>
        <w:t>Unión presentaban un saldo negativo de 279,8</w:t>
      </w:r>
      <w:r w:rsidR="003B0292" w:rsidRPr="003F7316">
        <w:rPr>
          <w:lang w:val="es-ES"/>
        </w:rPr>
        <w:t> </w:t>
      </w:r>
      <w:r w:rsidRPr="003F7316">
        <w:rPr>
          <w:lang w:val="es-ES"/>
        </w:rPr>
        <w:t>millones</w:t>
      </w:r>
      <w:r w:rsidR="003B0292" w:rsidRPr="003F7316">
        <w:rPr>
          <w:lang w:val="es-ES"/>
        </w:rPr>
        <w:t> </w:t>
      </w:r>
      <w:r w:rsidRPr="003F7316">
        <w:rPr>
          <w:lang w:val="es-ES"/>
        </w:rPr>
        <w:t>CHF. Más del 96</w:t>
      </w:r>
      <w:r w:rsidR="003B0292" w:rsidRPr="003F7316">
        <w:rPr>
          <w:lang w:val="es-ES"/>
        </w:rPr>
        <w:t> </w:t>
      </w:r>
      <w:r w:rsidRPr="003F7316">
        <w:rPr>
          <w:lang w:val="es-ES"/>
        </w:rPr>
        <w:t>% del pasivo sigue sin estar financiado, y la situación financiera de la</w:t>
      </w:r>
      <w:r w:rsidR="003B0292" w:rsidRPr="003F7316">
        <w:rPr>
          <w:lang w:val="es-ES"/>
        </w:rPr>
        <w:t> </w:t>
      </w:r>
      <w:r w:rsidRPr="003F7316">
        <w:rPr>
          <w:lang w:val="es-ES"/>
        </w:rPr>
        <w:t>Unión se ve gravemente afectada y deteriorada por el elevado pasivo del seguro médico después del servicio</w:t>
      </w:r>
      <w:r w:rsidR="003B0292" w:rsidRPr="003F7316">
        <w:rPr>
          <w:lang w:val="es-ES"/>
        </w:rPr>
        <w:t> </w:t>
      </w:r>
      <w:r w:rsidRPr="003F7316">
        <w:rPr>
          <w:lang w:val="es-ES"/>
        </w:rPr>
        <w:t>(ASHI).</w:t>
      </w:r>
    </w:p>
    <w:p w14:paraId="6F171D4E" w14:textId="46577DA7" w:rsidR="006A6655" w:rsidRPr="003F7316" w:rsidRDefault="006A6655" w:rsidP="00F666F2">
      <w:pPr>
        <w:rPr>
          <w:lang w:val="es-ES"/>
        </w:rPr>
      </w:pPr>
      <w:r w:rsidRPr="003F7316">
        <w:rPr>
          <w:lang w:val="es-ES"/>
        </w:rPr>
        <w:t>1.2</w:t>
      </w:r>
      <w:r w:rsidRPr="003F7316">
        <w:rPr>
          <w:lang w:val="es-ES"/>
        </w:rPr>
        <w:tab/>
        <w:t>Como señalaron los auditores externos, las obligaciones no financiadas del</w:t>
      </w:r>
      <w:r w:rsidR="004B2635" w:rsidRPr="003F7316">
        <w:rPr>
          <w:lang w:val="es-ES"/>
        </w:rPr>
        <w:t> </w:t>
      </w:r>
      <w:r w:rsidRPr="003F7316">
        <w:rPr>
          <w:lang w:val="es-ES"/>
        </w:rPr>
        <w:t>ASHI, por sí solas, superan la situación neta negativa de los activos de la Organización, lo que demuestra que el</w:t>
      </w:r>
      <w:r w:rsidR="004B2635" w:rsidRPr="003F7316">
        <w:rPr>
          <w:lang w:val="es-ES"/>
        </w:rPr>
        <w:t> </w:t>
      </w:r>
      <w:r w:rsidRPr="003F7316">
        <w:rPr>
          <w:lang w:val="es-ES"/>
        </w:rPr>
        <w:t>ASHI sigue siendo el principal factor responsable del debilitamiento del balance de la</w:t>
      </w:r>
      <w:r w:rsidR="004B2635" w:rsidRPr="003F7316">
        <w:rPr>
          <w:lang w:val="es-ES"/>
        </w:rPr>
        <w:t> </w:t>
      </w:r>
      <w:r w:rsidRPr="003F7316">
        <w:rPr>
          <w:lang w:val="es-ES"/>
        </w:rPr>
        <w:t>Unión y su riesgo financiero más significativo a largo plazo.</w:t>
      </w:r>
    </w:p>
    <w:p w14:paraId="64CC3E68" w14:textId="257C429E" w:rsidR="006A6655" w:rsidRPr="003F7316" w:rsidRDefault="006A6655" w:rsidP="00F666F2">
      <w:pPr>
        <w:rPr>
          <w:lang w:val="es-ES"/>
        </w:rPr>
      </w:pPr>
      <w:r w:rsidRPr="003F7316">
        <w:rPr>
          <w:lang w:val="es-ES"/>
        </w:rPr>
        <w:t>1.3</w:t>
      </w:r>
      <w:r w:rsidRPr="003F7316">
        <w:rPr>
          <w:lang w:val="es-ES"/>
        </w:rPr>
        <w:tab/>
        <w:t>Si bien la evolución actuarial reciente ha dado lugar a una reducción del pasivo contabilizado, esta mejora se debe principalmente a cambios en las hipótesis financieras y no a medidas estructurales de financiación. Por consiguiente, el problema financiero subyacente permanece prácticamente inalterado.</w:t>
      </w:r>
    </w:p>
    <w:p w14:paraId="0A830C67" w14:textId="475F3001" w:rsidR="006A6655" w:rsidRPr="003F7316" w:rsidRDefault="006A6655" w:rsidP="00F666F2">
      <w:pPr>
        <w:rPr>
          <w:lang w:val="es-ES"/>
        </w:rPr>
      </w:pPr>
      <w:r w:rsidRPr="003F7316">
        <w:rPr>
          <w:lang w:val="es-ES"/>
        </w:rPr>
        <w:t>1.4</w:t>
      </w:r>
      <w:r w:rsidRPr="003F7316">
        <w:rPr>
          <w:lang w:val="es-ES"/>
        </w:rPr>
        <w:tab/>
        <w:t>El objetivo del presente documento es proporcionar un análisis detallado del</w:t>
      </w:r>
      <w:r w:rsidR="004B2635" w:rsidRPr="003F7316">
        <w:rPr>
          <w:lang w:val="es-ES"/>
        </w:rPr>
        <w:t> </w:t>
      </w:r>
      <w:r w:rsidRPr="003F7316">
        <w:rPr>
          <w:lang w:val="es-ES"/>
        </w:rPr>
        <w:t>ASHI, incluido un análisis actuarial actualizado y una evaluación comparativa actualizada, con el fin de fomentar el apoyo de los Estados Miembros para iniciar el proceso de aplicación de una estrategia integral de financiación a largo plazo.</w:t>
      </w:r>
    </w:p>
    <w:p w14:paraId="607F7F1E" w14:textId="77777777" w:rsidR="006A6655" w:rsidRPr="003F7316" w:rsidRDefault="006A6655" w:rsidP="006A6655">
      <w:pPr>
        <w:pStyle w:val="Heading1"/>
        <w:rPr>
          <w:lang w:val="es-ES"/>
        </w:rPr>
      </w:pPr>
      <w:r w:rsidRPr="003F7316">
        <w:rPr>
          <w:bCs/>
          <w:lang w:val="es-ES"/>
        </w:rPr>
        <w:t>2</w:t>
      </w:r>
      <w:r w:rsidRPr="003F7316">
        <w:rPr>
          <w:lang w:val="es-ES"/>
        </w:rPr>
        <w:tab/>
      </w:r>
      <w:r w:rsidRPr="003F7316">
        <w:rPr>
          <w:bCs/>
          <w:lang w:val="es-ES"/>
        </w:rPr>
        <w:t>Situación financiera actual</w:t>
      </w:r>
    </w:p>
    <w:p w14:paraId="163C887A" w14:textId="1137DFAB" w:rsidR="006A6655" w:rsidRPr="003F7316" w:rsidRDefault="006A6655" w:rsidP="004B2635">
      <w:pPr>
        <w:spacing w:after="240"/>
        <w:rPr>
          <w:lang w:val="es-ES"/>
        </w:rPr>
      </w:pPr>
      <w:r w:rsidRPr="003F7316">
        <w:rPr>
          <w:lang w:val="es-ES"/>
        </w:rPr>
        <w:t>2.1</w:t>
      </w:r>
      <w:r w:rsidRPr="003F7316">
        <w:rPr>
          <w:lang w:val="es-ES"/>
        </w:rPr>
        <w:tab/>
        <w:t>La evolución del pasivo del</w:t>
      </w:r>
      <w:r w:rsidR="004B2635" w:rsidRPr="003F7316">
        <w:rPr>
          <w:lang w:val="es-ES"/>
        </w:rPr>
        <w:t> </w:t>
      </w:r>
      <w:r w:rsidRPr="003F7316">
        <w:rPr>
          <w:lang w:val="es-ES"/>
        </w:rPr>
        <w:t>ASHI en los últimos años demuestra su elevada sensibilidad a las hipótesis económicas y actuariales externas.</w:t>
      </w:r>
    </w:p>
    <w:tbl>
      <w:tblPr>
        <w:tblStyle w:val="TableGrid"/>
        <w:tblW w:w="9215" w:type="dxa"/>
        <w:tblLayout w:type="fixed"/>
        <w:tblLook w:val="04A0" w:firstRow="1" w:lastRow="0" w:firstColumn="1" w:lastColumn="0" w:noHBand="0" w:noVBand="1"/>
      </w:tblPr>
      <w:tblGrid>
        <w:gridCol w:w="3502"/>
        <w:gridCol w:w="1275"/>
        <w:gridCol w:w="1133"/>
        <w:gridCol w:w="1124"/>
        <w:gridCol w:w="1145"/>
        <w:gridCol w:w="1036"/>
      </w:tblGrid>
      <w:tr w:rsidR="006A6655" w:rsidRPr="003F7316" w14:paraId="07E1A7EC" w14:textId="77777777" w:rsidTr="004B2635">
        <w:tc>
          <w:tcPr>
            <w:tcW w:w="1900" w:type="pct"/>
            <w:hideMark/>
          </w:tcPr>
          <w:p w14:paraId="30718EAF" w14:textId="77777777" w:rsidR="006A6655" w:rsidRPr="003F7316" w:rsidRDefault="006A6655" w:rsidP="004B2635">
            <w:pPr>
              <w:pStyle w:val="Tabletext"/>
              <w:rPr>
                <w:lang w:val="es-ES"/>
              </w:rPr>
            </w:pPr>
          </w:p>
        </w:tc>
        <w:tc>
          <w:tcPr>
            <w:tcW w:w="692" w:type="pct"/>
            <w:hideMark/>
          </w:tcPr>
          <w:p w14:paraId="0F7B90C4" w14:textId="77777777" w:rsidR="006A6655" w:rsidRPr="003F7316" w:rsidRDefault="006A6655" w:rsidP="004B2635">
            <w:pPr>
              <w:pStyle w:val="Tablehead"/>
              <w:rPr>
                <w:lang w:val="es-ES"/>
              </w:rPr>
            </w:pPr>
            <w:r w:rsidRPr="003F7316">
              <w:rPr>
                <w:lang w:val="es-ES"/>
              </w:rPr>
              <w:t>2021</w:t>
            </w:r>
          </w:p>
        </w:tc>
        <w:tc>
          <w:tcPr>
            <w:tcW w:w="615" w:type="pct"/>
          </w:tcPr>
          <w:p w14:paraId="126D63BB" w14:textId="77777777" w:rsidR="006A6655" w:rsidRPr="003F7316" w:rsidRDefault="006A6655" w:rsidP="004B2635">
            <w:pPr>
              <w:pStyle w:val="Tablehead"/>
              <w:rPr>
                <w:lang w:val="es-ES"/>
              </w:rPr>
            </w:pPr>
            <w:r w:rsidRPr="003F7316">
              <w:rPr>
                <w:lang w:val="es-ES"/>
              </w:rPr>
              <w:t>2022</w:t>
            </w:r>
          </w:p>
        </w:tc>
        <w:tc>
          <w:tcPr>
            <w:tcW w:w="610" w:type="pct"/>
          </w:tcPr>
          <w:p w14:paraId="0997BD13" w14:textId="77777777" w:rsidR="006A6655" w:rsidRPr="003F7316" w:rsidRDefault="006A6655" w:rsidP="004B2635">
            <w:pPr>
              <w:pStyle w:val="Tablehead"/>
              <w:rPr>
                <w:lang w:val="es-ES"/>
              </w:rPr>
            </w:pPr>
            <w:r w:rsidRPr="003F7316">
              <w:rPr>
                <w:lang w:val="es-ES"/>
              </w:rPr>
              <w:t>2023</w:t>
            </w:r>
          </w:p>
        </w:tc>
        <w:tc>
          <w:tcPr>
            <w:tcW w:w="621" w:type="pct"/>
          </w:tcPr>
          <w:p w14:paraId="1D3D47F6" w14:textId="77777777" w:rsidR="006A6655" w:rsidRPr="003F7316" w:rsidRDefault="006A6655" w:rsidP="004B2635">
            <w:pPr>
              <w:pStyle w:val="Tablehead"/>
              <w:rPr>
                <w:lang w:val="es-ES"/>
              </w:rPr>
            </w:pPr>
            <w:r w:rsidRPr="003F7316">
              <w:rPr>
                <w:lang w:val="es-ES"/>
              </w:rPr>
              <w:t>2024</w:t>
            </w:r>
          </w:p>
        </w:tc>
        <w:tc>
          <w:tcPr>
            <w:tcW w:w="696" w:type="pct"/>
          </w:tcPr>
          <w:p w14:paraId="52FE7BD6" w14:textId="77777777" w:rsidR="006A6655" w:rsidRPr="003F7316" w:rsidRDefault="006A6655" w:rsidP="004B2635">
            <w:pPr>
              <w:pStyle w:val="Tablehead"/>
              <w:rPr>
                <w:lang w:val="es-ES"/>
              </w:rPr>
            </w:pPr>
            <w:r w:rsidRPr="003F7316">
              <w:rPr>
                <w:lang w:val="es-ES"/>
              </w:rPr>
              <w:t>2025</w:t>
            </w:r>
          </w:p>
        </w:tc>
      </w:tr>
      <w:tr w:rsidR="006A6655" w:rsidRPr="003F7316" w14:paraId="31FC5552" w14:textId="77777777" w:rsidTr="00EC4CA1">
        <w:tc>
          <w:tcPr>
            <w:tcW w:w="1900" w:type="pct"/>
            <w:hideMark/>
          </w:tcPr>
          <w:p w14:paraId="76F3C0C7" w14:textId="77777777" w:rsidR="006A6655" w:rsidRPr="003F7316" w:rsidRDefault="006A6655" w:rsidP="004B2635">
            <w:pPr>
              <w:pStyle w:val="Tabletext"/>
              <w:rPr>
                <w:lang w:val="es-ES"/>
              </w:rPr>
            </w:pPr>
            <w:r w:rsidRPr="003F7316">
              <w:rPr>
                <w:lang w:val="es-ES"/>
              </w:rPr>
              <w:t>Tasa de descuento</w:t>
            </w:r>
          </w:p>
        </w:tc>
        <w:tc>
          <w:tcPr>
            <w:tcW w:w="692" w:type="pct"/>
            <w:vAlign w:val="center"/>
            <w:hideMark/>
          </w:tcPr>
          <w:p w14:paraId="00378D68" w14:textId="2BA191CF" w:rsidR="006A6655" w:rsidRPr="00EC4CA1" w:rsidRDefault="006A6655" w:rsidP="00EC4CA1">
            <w:pPr>
              <w:pStyle w:val="Tabletext"/>
              <w:jc w:val="center"/>
            </w:pPr>
            <w:r w:rsidRPr="00EC4CA1">
              <w:t>0,50</w:t>
            </w:r>
            <w:r w:rsidR="004B2635" w:rsidRPr="00EC4CA1">
              <w:t> </w:t>
            </w:r>
            <w:r w:rsidRPr="00EC4CA1">
              <w:t>%</w:t>
            </w:r>
          </w:p>
        </w:tc>
        <w:tc>
          <w:tcPr>
            <w:tcW w:w="615" w:type="pct"/>
            <w:vAlign w:val="center"/>
          </w:tcPr>
          <w:p w14:paraId="6E386CAD" w14:textId="2DC27ED4" w:rsidR="006A6655" w:rsidRPr="00EC4CA1" w:rsidRDefault="006A6655" w:rsidP="00EC4CA1">
            <w:pPr>
              <w:pStyle w:val="Tabletext"/>
              <w:jc w:val="center"/>
            </w:pPr>
            <w:r w:rsidRPr="00EC4CA1">
              <w:t>2,50</w:t>
            </w:r>
            <w:r w:rsidR="004B2635" w:rsidRPr="00EC4CA1">
              <w:t> </w:t>
            </w:r>
            <w:r w:rsidRPr="00EC4CA1">
              <w:t>%</w:t>
            </w:r>
          </w:p>
        </w:tc>
        <w:tc>
          <w:tcPr>
            <w:tcW w:w="610" w:type="pct"/>
            <w:vAlign w:val="center"/>
          </w:tcPr>
          <w:p w14:paraId="05AE14E6" w14:textId="05B86E66" w:rsidR="006A6655" w:rsidRPr="00EC4CA1" w:rsidRDefault="006A6655" w:rsidP="00EC4CA1">
            <w:pPr>
              <w:pStyle w:val="Tabletext"/>
              <w:jc w:val="center"/>
            </w:pPr>
            <w:r w:rsidRPr="00EC4CA1">
              <w:t>1,90</w:t>
            </w:r>
            <w:r w:rsidR="005062AB" w:rsidRPr="00EC4CA1">
              <w:t> </w:t>
            </w:r>
            <w:r w:rsidRPr="00EC4CA1">
              <w:t>%</w:t>
            </w:r>
          </w:p>
        </w:tc>
        <w:tc>
          <w:tcPr>
            <w:tcW w:w="621" w:type="pct"/>
            <w:vAlign w:val="center"/>
          </w:tcPr>
          <w:p w14:paraId="02647A93" w14:textId="6FB80B2C" w:rsidR="006A6655" w:rsidRPr="00EC4CA1" w:rsidRDefault="006A6655" w:rsidP="00EC4CA1">
            <w:pPr>
              <w:pStyle w:val="Tabletext"/>
              <w:jc w:val="center"/>
            </w:pPr>
            <w:r w:rsidRPr="00EC4CA1">
              <w:t>1,40</w:t>
            </w:r>
            <w:r w:rsidR="005062AB" w:rsidRPr="00EC4CA1">
              <w:t> </w:t>
            </w:r>
            <w:r w:rsidRPr="00EC4CA1">
              <w:t>%</w:t>
            </w:r>
          </w:p>
        </w:tc>
        <w:tc>
          <w:tcPr>
            <w:tcW w:w="696" w:type="pct"/>
            <w:vAlign w:val="center"/>
          </w:tcPr>
          <w:p w14:paraId="63BF03A9" w14:textId="60E3BEAA" w:rsidR="006A6655" w:rsidRPr="00EC4CA1" w:rsidRDefault="006A6655" w:rsidP="00EC4CA1">
            <w:pPr>
              <w:pStyle w:val="Tabletext"/>
              <w:jc w:val="center"/>
            </w:pPr>
            <w:r w:rsidRPr="00EC4CA1">
              <w:t>1,80</w:t>
            </w:r>
            <w:r w:rsidR="005062AB" w:rsidRPr="00EC4CA1">
              <w:t> </w:t>
            </w:r>
            <w:r w:rsidRPr="00EC4CA1">
              <w:t>%</w:t>
            </w:r>
          </w:p>
        </w:tc>
      </w:tr>
      <w:tr w:rsidR="006A6655" w:rsidRPr="003F7316" w14:paraId="7A88BC36" w14:textId="77777777" w:rsidTr="00EC4CA1">
        <w:tc>
          <w:tcPr>
            <w:tcW w:w="1900" w:type="pct"/>
            <w:hideMark/>
          </w:tcPr>
          <w:p w14:paraId="3861FCFC" w14:textId="77777777" w:rsidR="006A6655" w:rsidRPr="003F7316" w:rsidRDefault="006A6655" w:rsidP="004B2635">
            <w:pPr>
              <w:pStyle w:val="Tabletext"/>
              <w:rPr>
                <w:lang w:val="es-ES"/>
              </w:rPr>
            </w:pPr>
            <w:r w:rsidRPr="003F7316">
              <w:rPr>
                <w:lang w:val="es-ES"/>
              </w:rPr>
              <w:t>Aumento de los gastos médicos</w:t>
            </w:r>
          </w:p>
        </w:tc>
        <w:tc>
          <w:tcPr>
            <w:tcW w:w="692" w:type="pct"/>
            <w:vAlign w:val="center"/>
            <w:hideMark/>
          </w:tcPr>
          <w:p w14:paraId="2233335A" w14:textId="36310B1B" w:rsidR="006A6655" w:rsidRPr="00EC4CA1" w:rsidRDefault="006A6655" w:rsidP="00EC4CA1">
            <w:pPr>
              <w:pStyle w:val="Tabletext"/>
              <w:jc w:val="center"/>
            </w:pPr>
            <w:r w:rsidRPr="00EC4CA1">
              <w:t>2,50</w:t>
            </w:r>
            <w:r w:rsidR="004B2635" w:rsidRPr="00EC4CA1">
              <w:t> </w:t>
            </w:r>
            <w:r w:rsidRPr="00EC4CA1">
              <w:t>%</w:t>
            </w:r>
          </w:p>
        </w:tc>
        <w:tc>
          <w:tcPr>
            <w:tcW w:w="615" w:type="pct"/>
            <w:vAlign w:val="center"/>
          </w:tcPr>
          <w:p w14:paraId="2145DB70" w14:textId="1C7BA64F" w:rsidR="006A6655" w:rsidRPr="00EC4CA1" w:rsidRDefault="006A6655" w:rsidP="00EC4CA1">
            <w:pPr>
              <w:pStyle w:val="Tabletext"/>
              <w:jc w:val="center"/>
            </w:pPr>
            <w:r w:rsidRPr="00EC4CA1">
              <w:t>2,80</w:t>
            </w:r>
            <w:r w:rsidR="004B2635" w:rsidRPr="00EC4CA1">
              <w:t> </w:t>
            </w:r>
            <w:r w:rsidRPr="00EC4CA1">
              <w:t>%</w:t>
            </w:r>
          </w:p>
        </w:tc>
        <w:tc>
          <w:tcPr>
            <w:tcW w:w="610" w:type="pct"/>
            <w:vAlign w:val="center"/>
          </w:tcPr>
          <w:p w14:paraId="10002611" w14:textId="5306109B" w:rsidR="006A6655" w:rsidRPr="00EC4CA1" w:rsidRDefault="006A6655" w:rsidP="00EC4CA1">
            <w:pPr>
              <w:pStyle w:val="Tabletext"/>
              <w:jc w:val="center"/>
            </w:pPr>
            <w:r w:rsidRPr="00EC4CA1">
              <w:t>2,60</w:t>
            </w:r>
            <w:r w:rsidR="005062AB" w:rsidRPr="00EC4CA1">
              <w:t> </w:t>
            </w:r>
            <w:r w:rsidRPr="00EC4CA1">
              <w:t>%</w:t>
            </w:r>
          </w:p>
        </w:tc>
        <w:tc>
          <w:tcPr>
            <w:tcW w:w="621" w:type="pct"/>
            <w:vAlign w:val="center"/>
          </w:tcPr>
          <w:p w14:paraId="70C10D80" w14:textId="22FAE54C" w:rsidR="006A6655" w:rsidRPr="00EC4CA1" w:rsidRDefault="006A6655" w:rsidP="00EC4CA1">
            <w:pPr>
              <w:pStyle w:val="Tabletext"/>
              <w:jc w:val="center"/>
            </w:pPr>
            <w:r w:rsidRPr="00EC4CA1">
              <w:t>2,40</w:t>
            </w:r>
            <w:r w:rsidR="005062AB" w:rsidRPr="00EC4CA1">
              <w:t> </w:t>
            </w:r>
            <w:r w:rsidRPr="00EC4CA1">
              <w:t>%</w:t>
            </w:r>
          </w:p>
        </w:tc>
        <w:tc>
          <w:tcPr>
            <w:tcW w:w="696" w:type="pct"/>
            <w:vAlign w:val="center"/>
          </w:tcPr>
          <w:p w14:paraId="392FD199" w14:textId="235DB2E4" w:rsidR="006A6655" w:rsidRPr="00EC4CA1" w:rsidRDefault="006A6655" w:rsidP="00EC4CA1">
            <w:pPr>
              <w:pStyle w:val="Tabletext"/>
              <w:jc w:val="center"/>
            </w:pPr>
            <w:r w:rsidRPr="00EC4CA1">
              <w:t>2,20</w:t>
            </w:r>
            <w:r w:rsidR="005062AB" w:rsidRPr="00EC4CA1">
              <w:t> </w:t>
            </w:r>
            <w:r w:rsidRPr="00EC4CA1">
              <w:t>%</w:t>
            </w:r>
          </w:p>
        </w:tc>
      </w:tr>
      <w:tr w:rsidR="006A6655" w:rsidRPr="003F7316" w14:paraId="2E97B47D" w14:textId="77777777" w:rsidTr="00EC4CA1">
        <w:tc>
          <w:tcPr>
            <w:tcW w:w="1900" w:type="pct"/>
            <w:hideMark/>
          </w:tcPr>
          <w:p w14:paraId="6AA95774" w14:textId="77777777" w:rsidR="006A6655" w:rsidRPr="003F7316" w:rsidRDefault="006A6655" w:rsidP="004B2635">
            <w:pPr>
              <w:pStyle w:val="Tabletext"/>
              <w:rPr>
                <w:lang w:val="es-ES"/>
              </w:rPr>
            </w:pPr>
            <w:r w:rsidRPr="003F7316">
              <w:rPr>
                <w:lang w:val="es-ES"/>
              </w:rPr>
              <w:t>Aumento de los salarios</w:t>
            </w:r>
          </w:p>
        </w:tc>
        <w:tc>
          <w:tcPr>
            <w:tcW w:w="692" w:type="pct"/>
            <w:vAlign w:val="center"/>
            <w:hideMark/>
          </w:tcPr>
          <w:p w14:paraId="7D8CF672" w14:textId="69D8FB1C" w:rsidR="006A6655" w:rsidRPr="00EC4CA1" w:rsidRDefault="006A6655" w:rsidP="00EC4CA1">
            <w:pPr>
              <w:pStyle w:val="Tabletext"/>
              <w:jc w:val="center"/>
            </w:pPr>
            <w:r w:rsidRPr="00EC4CA1">
              <w:t>3,00</w:t>
            </w:r>
            <w:r w:rsidR="004B2635" w:rsidRPr="00EC4CA1">
              <w:t> </w:t>
            </w:r>
            <w:r w:rsidRPr="00EC4CA1">
              <w:t>%</w:t>
            </w:r>
          </w:p>
        </w:tc>
        <w:tc>
          <w:tcPr>
            <w:tcW w:w="615" w:type="pct"/>
            <w:vAlign w:val="center"/>
          </w:tcPr>
          <w:p w14:paraId="23D7768A" w14:textId="18A14213" w:rsidR="006A6655" w:rsidRPr="00EC4CA1" w:rsidRDefault="006A6655" w:rsidP="00EC4CA1">
            <w:pPr>
              <w:pStyle w:val="Tabletext"/>
              <w:jc w:val="center"/>
            </w:pPr>
            <w:r w:rsidRPr="00EC4CA1">
              <w:t>3,00</w:t>
            </w:r>
            <w:r w:rsidR="004B2635" w:rsidRPr="00EC4CA1">
              <w:t> </w:t>
            </w:r>
            <w:r w:rsidRPr="00EC4CA1">
              <w:t>%</w:t>
            </w:r>
          </w:p>
        </w:tc>
        <w:tc>
          <w:tcPr>
            <w:tcW w:w="610" w:type="pct"/>
            <w:vAlign w:val="center"/>
          </w:tcPr>
          <w:p w14:paraId="1BEB612E" w14:textId="6CEBE9A3" w:rsidR="006A6655" w:rsidRPr="00EC4CA1" w:rsidRDefault="006A6655" w:rsidP="00EC4CA1">
            <w:pPr>
              <w:pStyle w:val="Tabletext"/>
              <w:jc w:val="center"/>
            </w:pPr>
            <w:r w:rsidRPr="00EC4CA1">
              <w:t>3,10</w:t>
            </w:r>
            <w:r w:rsidR="005062AB" w:rsidRPr="00EC4CA1">
              <w:t> </w:t>
            </w:r>
            <w:r w:rsidRPr="00EC4CA1">
              <w:t>%</w:t>
            </w:r>
          </w:p>
        </w:tc>
        <w:tc>
          <w:tcPr>
            <w:tcW w:w="621" w:type="pct"/>
            <w:vAlign w:val="center"/>
          </w:tcPr>
          <w:p w14:paraId="2FFBDB68" w14:textId="165FD91B" w:rsidR="006A6655" w:rsidRPr="00EC4CA1" w:rsidRDefault="006A6655" w:rsidP="00EC4CA1">
            <w:pPr>
              <w:pStyle w:val="Tabletext"/>
              <w:jc w:val="center"/>
            </w:pPr>
            <w:r w:rsidRPr="00EC4CA1">
              <w:t>3,10</w:t>
            </w:r>
            <w:r w:rsidR="005062AB" w:rsidRPr="00EC4CA1">
              <w:t> </w:t>
            </w:r>
            <w:r w:rsidRPr="00EC4CA1">
              <w:t>%</w:t>
            </w:r>
          </w:p>
        </w:tc>
        <w:tc>
          <w:tcPr>
            <w:tcW w:w="696" w:type="pct"/>
            <w:vAlign w:val="center"/>
          </w:tcPr>
          <w:p w14:paraId="6C1CF95F" w14:textId="30A057E7" w:rsidR="006A6655" w:rsidRPr="00EC4CA1" w:rsidRDefault="006A6655" w:rsidP="00EC4CA1">
            <w:pPr>
              <w:pStyle w:val="Tabletext"/>
              <w:jc w:val="center"/>
            </w:pPr>
            <w:r w:rsidRPr="00EC4CA1">
              <w:t>3,10</w:t>
            </w:r>
            <w:r w:rsidR="005062AB" w:rsidRPr="00EC4CA1">
              <w:t> </w:t>
            </w:r>
            <w:r w:rsidRPr="00EC4CA1">
              <w:t>%</w:t>
            </w:r>
          </w:p>
        </w:tc>
      </w:tr>
      <w:tr w:rsidR="006A6655" w:rsidRPr="003F7316" w14:paraId="7FFD3892" w14:textId="77777777" w:rsidTr="00EC4CA1">
        <w:tc>
          <w:tcPr>
            <w:tcW w:w="1900" w:type="pct"/>
            <w:hideMark/>
          </w:tcPr>
          <w:p w14:paraId="0CF3E65F" w14:textId="77777777" w:rsidR="006A6655" w:rsidRPr="003F7316" w:rsidRDefault="006A6655" w:rsidP="004B2635">
            <w:pPr>
              <w:pStyle w:val="Tabletext"/>
              <w:rPr>
                <w:lang w:val="es-ES"/>
              </w:rPr>
            </w:pPr>
            <w:r w:rsidRPr="003F7316">
              <w:rPr>
                <w:lang w:val="es-ES"/>
              </w:rPr>
              <w:t>Pasivo del ASHI al final del ejercicio</w:t>
            </w:r>
          </w:p>
        </w:tc>
        <w:tc>
          <w:tcPr>
            <w:tcW w:w="692" w:type="pct"/>
            <w:vAlign w:val="center"/>
            <w:hideMark/>
          </w:tcPr>
          <w:p w14:paraId="03D97E84" w14:textId="0F3EB3E1" w:rsidR="006A6655" w:rsidRPr="00EC4CA1" w:rsidRDefault="006A6655" w:rsidP="00EC4CA1">
            <w:pPr>
              <w:pStyle w:val="Tabletext"/>
              <w:jc w:val="center"/>
            </w:pPr>
            <w:r w:rsidRPr="00EC4CA1">
              <w:t>564</w:t>
            </w:r>
            <w:r w:rsidR="004B2635" w:rsidRPr="00EC4CA1">
              <w:t> </w:t>
            </w:r>
            <w:r w:rsidRPr="00EC4CA1">
              <w:t>636</w:t>
            </w:r>
          </w:p>
        </w:tc>
        <w:tc>
          <w:tcPr>
            <w:tcW w:w="615" w:type="pct"/>
            <w:vAlign w:val="center"/>
          </w:tcPr>
          <w:p w14:paraId="49D743AD" w14:textId="612505CE" w:rsidR="006A6655" w:rsidRPr="00EC4CA1" w:rsidRDefault="006A6655" w:rsidP="00EC4CA1">
            <w:pPr>
              <w:pStyle w:val="Tabletext"/>
              <w:jc w:val="center"/>
            </w:pPr>
            <w:r w:rsidRPr="00EC4CA1">
              <w:t>344</w:t>
            </w:r>
            <w:r w:rsidR="004B2635" w:rsidRPr="00EC4CA1">
              <w:t> </w:t>
            </w:r>
            <w:r w:rsidRPr="00EC4CA1">
              <w:t>102</w:t>
            </w:r>
          </w:p>
        </w:tc>
        <w:tc>
          <w:tcPr>
            <w:tcW w:w="610" w:type="pct"/>
            <w:vAlign w:val="center"/>
          </w:tcPr>
          <w:p w14:paraId="624C26C0" w14:textId="0A39E60B" w:rsidR="006A6655" w:rsidRPr="00EC4CA1" w:rsidRDefault="006A6655" w:rsidP="00EC4CA1">
            <w:pPr>
              <w:pStyle w:val="Tabletext"/>
              <w:jc w:val="center"/>
            </w:pPr>
            <w:r w:rsidRPr="00EC4CA1">
              <w:t>375</w:t>
            </w:r>
            <w:r w:rsidR="005062AB" w:rsidRPr="00EC4CA1">
              <w:t> </w:t>
            </w:r>
            <w:r w:rsidRPr="00EC4CA1">
              <w:t>271</w:t>
            </w:r>
          </w:p>
        </w:tc>
        <w:tc>
          <w:tcPr>
            <w:tcW w:w="621" w:type="pct"/>
            <w:vAlign w:val="center"/>
          </w:tcPr>
          <w:p w14:paraId="1E778AF7" w14:textId="2933F83A" w:rsidR="006A6655" w:rsidRPr="00EC4CA1" w:rsidRDefault="006A6655" w:rsidP="00EC4CA1">
            <w:pPr>
              <w:pStyle w:val="Tabletext"/>
              <w:jc w:val="center"/>
            </w:pPr>
            <w:r w:rsidRPr="00EC4CA1">
              <w:t>415</w:t>
            </w:r>
            <w:r w:rsidR="005062AB" w:rsidRPr="00EC4CA1">
              <w:t> </w:t>
            </w:r>
            <w:r w:rsidRPr="00EC4CA1">
              <w:t>835</w:t>
            </w:r>
          </w:p>
        </w:tc>
        <w:tc>
          <w:tcPr>
            <w:tcW w:w="696" w:type="pct"/>
            <w:vAlign w:val="center"/>
          </w:tcPr>
          <w:p w14:paraId="6B1AD8D4" w14:textId="7DE6B182" w:rsidR="006A6655" w:rsidRPr="00EC4CA1" w:rsidRDefault="006A6655" w:rsidP="00EC4CA1">
            <w:pPr>
              <w:pStyle w:val="Tabletext"/>
              <w:jc w:val="center"/>
            </w:pPr>
            <w:r w:rsidRPr="00EC4CA1">
              <w:t>378</w:t>
            </w:r>
            <w:r w:rsidR="005062AB" w:rsidRPr="00EC4CA1">
              <w:t> </w:t>
            </w:r>
            <w:r w:rsidRPr="00EC4CA1">
              <w:t>824</w:t>
            </w:r>
          </w:p>
        </w:tc>
      </w:tr>
    </w:tbl>
    <w:p w14:paraId="59993091" w14:textId="2E85AD5C" w:rsidR="006A6655" w:rsidRPr="003F7316" w:rsidRDefault="006A6655" w:rsidP="004B2635">
      <w:pPr>
        <w:spacing w:before="240"/>
        <w:rPr>
          <w:lang w:val="es-ES"/>
        </w:rPr>
      </w:pPr>
      <w:r w:rsidRPr="003F7316">
        <w:rPr>
          <w:lang w:val="es-ES"/>
        </w:rPr>
        <w:t>2.2</w:t>
      </w:r>
      <w:r w:rsidRPr="003F7316">
        <w:rPr>
          <w:lang w:val="es-ES"/>
        </w:rPr>
        <w:tab/>
        <w:t>La disminución observada en 2025 se debió principalmente a movimientos favorables de las hipótesis relativas a la tasa de descuento y la inflación médica. En años anteriores se han producido fluctuaciones similares. Si bien estas evoluciones son positivas, no constituyen una solución estructural, ya que escapan en gran medida al control de la</w:t>
      </w:r>
      <w:r w:rsidR="005062AB" w:rsidRPr="003F7316">
        <w:rPr>
          <w:lang w:val="es-ES"/>
        </w:rPr>
        <w:t> </w:t>
      </w:r>
      <w:r w:rsidRPr="003F7316">
        <w:rPr>
          <w:lang w:val="es-ES"/>
        </w:rPr>
        <w:t>Organización y podrían revertirse en ejercicios futuros. Una mejora financiera sostenible no puede basarse en movimientos actuariales favorables, sino que requiere una estrategia de financiación deliberada y a largo plazo.</w:t>
      </w:r>
    </w:p>
    <w:p w14:paraId="64E90AE2" w14:textId="2D019CDD" w:rsidR="006A6655" w:rsidRPr="003F7316" w:rsidRDefault="006A6655" w:rsidP="005062AB">
      <w:pPr>
        <w:keepNext/>
        <w:keepLines/>
        <w:spacing w:after="240"/>
        <w:rPr>
          <w:lang w:val="es-ES"/>
        </w:rPr>
      </w:pPr>
      <w:r w:rsidRPr="003F7316">
        <w:rPr>
          <w:lang w:val="es-ES"/>
        </w:rPr>
        <w:lastRenderedPageBreak/>
        <w:t>2.3</w:t>
      </w:r>
      <w:r w:rsidRPr="003F7316">
        <w:rPr>
          <w:lang w:val="es-ES"/>
        </w:rPr>
        <w:tab/>
        <w:t>La relación entre las obligaciones no financiadas del</w:t>
      </w:r>
      <w:r w:rsidR="008B64E5" w:rsidRPr="003F7316">
        <w:rPr>
          <w:lang w:val="es-ES"/>
        </w:rPr>
        <w:t> </w:t>
      </w:r>
      <w:r w:rsidRPr="003F7316">
        <w:rPr>
          <w:lang w:val="es-ES"/>
        </w:rPr>
        <w:t>ASHI y la situación financiera general de la Organización reviste especial importancia.</w:t>
      </w:r>
    </w:p>
    <w:tbl>
      <w:tblPr>
        <w:tblStyle w:val="TableGrid"/>
        <w:tblW w:w="5000" w:type="pct"/>
        <w:tblLayout w:type="fixed"/>
        <w:tblLook w:val="04A0" w:firstRow="1" w:lastRow="0" w:firstColumn="1" w:lastColumn="0" w:noHBand="0" w:noVBand="1"/>
      </w:tblPr>
      <w:tblGrid>
        <w:gridCol w:w="1250"/>
        <w:gridCol w:w="2603"/>
        <w:gridCol w:w="2604"/>
        <w:gridCol w:w="2604"/>
      </w:tblGrid>
      <w:tr w:rsidR="006A6655" w:rsidRPr="003F7316" w14:paraId="40B78644" w14:textId="77777777" w:rsidTr="00EC4CA1">
        <w:trPr>
          <w:tblHeader/>
        </w:trPr>
        <w:tc>
          <w:tcPr>
            <w:tcW w:w="1250" w:type="dxa"/>
            <w:vAlign w:val="center"/>
            <w:hideMark/>
          </w:tcPr>
          <w:p w14:paraId="28FBB539" w14:textId="77777777" w:rsidR="006A6655" w:rsidRPr="003F7316" w:rsidRDefault="006A6655" w:rsidP="00EC4CA1">
            <w:pPr>
              <w:pStyle w:val="Tablehead"/>
              <w:rPr>
                <w:lang w:val="es-ES"/>
              </w:rPr>
            </w:pPr>
            <w:r w:rsidRPr="00EC4CA1">
              <w:t>Año</w:t>
            </w:r>
          </w:p>
        </w:tc>
        <w:tc>
          <w:tcPr>
            <w:tcW w:w="2603" w:type="dxa"/>
            <w:hideMark/>
          </w:tcPr>
          <w:p w14:paraId="5B641369" w14:textId="36A53376" w:rsidR="006A6655" w:rsidRPr="003F7316" w:rsidRDefault="006A6655" w:rsidP="00F666F2">
            <w:pPr>
              <w:pStyle w:val="Tablehead"/>
              <w:rPr>
                <w:lang w:val="es-ES"/>
              </w:rPr>
            </w:pPr>
            <w:r w:rsidRPr="003F7316">
              <w:rPr>
                <w:lang w:val="es-ES"/>
              </w:rPr>
              <w:t>Pasivo no financiado</w:t>
            </w:r>
            <w:r w:rsidR="008B64E5" w:rsidRPr="003F7316">
              <w:rPr>
                <w:lang w:val="es-ES"/>
              </w:rPr>
              <w:br/>
            </w:r>
            <w:r w:rsidRPr="003F7316">
              <w:rPr>
                <w:lang w:val="es-ES"/>
              </w:rPr>
              <w:t>del</w:t>
            </w:r>
            <w:r w:rsidR="008B64E5" w:rsidRPr="003F7316">
              <w:rPr>
                <w:lang w:val="es-ES"/>
              </w:rPr>
              <w:t> </w:t>
            </w:r>
            <w:r w:rsidRPr="003F7316">
              <w:rPr>
                <w:lang w:val="es-ES"/>
              </w:rPr>
              <w:t>ASHI (millones CHF)</w:t>
            </w:r>
          </w:p>
        </w:tc>
        <w:tc>
          <w:tcPr>
            <w:tcW w:w="2604" w:type="dxa"/>
            <w:hideMark/>
          </w:tcPr>
          <w:p w14:paraId="29499CD4" w14:textId="649854CB" w:rsidR="006A6655" w:rsidRPr="003F7316" w:rsidRDefault="006A6655" w:rsidP="00F666F2">
            <w:pPr>
              <w:pStyle w:val="Tablehead"/>
              <w:rPr>
                <w:lang w:val="es-ES"/>
              </w:rPr>
            </w:pPr>
            <w:r w:rsidRPr="003F7316">
              <w:rPr>
                <w:lang w:val="es-ES"/>
              </w:rPr>
              <w:t>Activos netos</w:t>
            </w:r>
            <w:r w:rsidR="008B64E5" w:rsidRPr="003F7316">
              <w:rPr>
                <w:lang w:val="es-ES"/>
              </w:rPr>
              <w:br/>
            </w:r>
            <w:r w:rsidRPr="003F7316">
              <w:rPr>
                <w:lang w:val="es-ES"/>
              </w:rPr>
              <w:t>(millones CHF)</w:t>
            </w:r>
          </w:p>
        </w:tc>
        <w:tc>
          <w:tcPr>
            <w:tcW w:w="2604" w:type="dxa"/>
            <w:hideMark/>
          </w:tcPr>
          <w:p w14:paraId="08124A42" w14:textId="0E37AC91" w:rsidR="006A6655" w:rsidRPr="003F7316" w:rsidRDefault="006A6655" w:rsidP="00F666F2">
            <w:pPr>
              <w:pStyle w:val="Tablehead"/>
              <w:rPr>
                <w:lang w:val="es-ES"/>
              </w:rPr>
            </w:pPr>
            <w:r w:rsidRPr="003F7316">
              <w:rPr>
                <w:lang w:val="es-ES"/>
              </w:rPr>
              <w:t>ASHI no financiado</w:t>
            </w:r>
            <w:r w:rsidR="008B64E5" w:rsidRPr="003F7316">
              <w:rPr>
                <w:lang w:val="es-ES"/>
              </w:rPr>
              <w:t> </w:t>
            </w:r>
            <w:r w:rsidRPr="003F7316">
              <w:rPr>
                <w:lang w:val="es-ES"/>
              </w:rPr>
              <w:t>/</w:t>
            </w:r>
            <w:r w:rsidR="008B64E5" w:rsidRPr="003F7316">
              <w:rPr>
                <w:lang w:val="es-ES"/>
              </w:rPr>
              <w:br/>
            </w:r>
            <w:r w:rsidRPr="003F7316">
              <w:rPr>
                <w:lang w:val="es-ES"/>
              </w:rPr>
              <w:t>Activos netos</w:t>
            </w:r>
          </w:p>
        </w:tc>
      </w:tr>
      <w:tr w:rsidR="006A6655" w:rsidRPr="003F7316" w14:paraId="618F4665" w14:textId="77777777" w:rsidTr="005062AB">
        <w:tc>
          <w:tcPr>
            <w:tcW w:w="1250" w:type="dxa"/>
            <w:hideMark/>
          </w:tcPr>
          <w:p w14:paraId="5BA6B2B2" w14:textId="77777777" w:rsidR="006A6655" w:rsidRPr="00A924CF" w:rsidRDefault="006A6655" w:rsidP="00A924CF">
            <w:pPr>
              <w:pStyle w:val="Tabletext"/>
              <w:jc w:val="center"/>
            </w:pPr>
            <w:r w:rsidRPr="00A924CF">
              <w:t>2021</w:t>
            </w:r>
          </w:p>
        </w:tc>
        <w:tc>
          <w:tcPr>
            <w:tcW w:w="2603" w:type="dxa"/>
            <w:hideMark/>
          </w:tcPr>
          <w:p w14:paraId="25224842" w14:textId="77777777" w:rsidR="006A6655" w:rsidRPr="003F7316" w:rsidRDefault="006A6655" w:rsidP="00F666F2">
            <w:pPr>
              <w:pStyle w:val="Tabletext"/>
              <w:jc w:val="center"/>
              <w:rPr>
                <w:lang w:val="es-ES"/>
              </w:rPr>
            </w:pPr>
            <w:r w:rsidRPr="003F7316">
              <w:rPr>
                <w:lang w:val="es-ES"/>
              </w:rPr>
              <w:t>551,6</w:t>
            </w:r>
          </w:p>
        </w:tc>
        <w:tc>
          <w:tcPr>
            <w:tcW w:w="2604" w:type="dxa"/>
            <w:hideMark/>
          </w:tcPr>
          <w:p w14:paraId="2F3ACD8A" w14:textId="77777777" w:rsidR="006A6655" w:rsidRPr="003F7316" w:rsidRDefault="006A6655" w:rsidP="00F666F2">
            <w:pPr>
              <w:pStyle w:val="Tabletext"/>
              <w:jc w:val="center"/>
              <w:rPr>
                <w:lang w:val="es-ES"/>
              </w:rPr>
            </w:pPr>
            <w:r w:rsidRPr="003F7316">
              <w:rPr>
                <w:lang w:val="es-ES"/>
              </w:rPr>
              <w:t>(410,8)</w:t>
            </w:r>
          </w:p>
        </w:tc>
        <w:tc>
          <w:tcPr>
            <w:tcW w:w="2604" w:type="dxa"/>
            <w:hideMark/>
          </w:tcPr>
          <w:p w14:paraId="7DEBFE7F" w14:textId="77777777" w:rsidR="006A6655" w:rsidRPr="003F7316" w:rsidRDefault="006A6655" w:rsidP="00F666F2">
            <w:pPr>
              <w:pStyle w:val="Tabletext"/>
              <w:jc w:val="center"/>
              <w:rPr>
                <w:lang w:val="es-ES"/>
              </w:rPr>
            </w:pPr>
            <w:r w:rsidRPr="003F7316">
              <w:rPr>
                <w:lang w:val="es-ES"/>
              </w:rPr>
              <w:t>134 %</w:t>
            </w:r>
          </w:p>
        </w:tc>
      </w:tr>
      <w:tr w:rsidR="006A6655" w:rsidRPr="003F7316" w14:paraId="4EFA82D5" w14:textId="77777777" w:rsidTr="005062AB">
        <w:tc>
          <w:tcPr>
            <w:tcW w:w="1250" w:type="dxa"/>
            <w:hideMark/>
          </w:tcPr>
          <w:p w14:paraId="508C7F0F" w14:textId="77777777" w:rsidR="006A6655" w:rsidRPr="00A924CF" w:rsidRDefault="006A6655" w:rsidP="00A924CF">
            <w:pPr>
              <w:pStyle w:val="Tabletext"/>
              <w:jc w:val="center"/>
            </w:pPr>
            <w:r w:rsidRPr="00A924CF">
              <w:t>2022</w:t>
            </w:r>
          </w:p>
        </w:tc>
        <w:tc>
          <w:tcPr>
            <w:tcW w:w="2603" w:type="dxa"/>
            <w:hideMark/>
          </w:tcPr>
          <w:p w14:paraId="38F351A5" w14:textId="77777777" w:rsidR="006A6655" w:rsidRPr="003F7316" w:rsidRDefault="006A6655" w:rsidP="00F666F2">
            <w:pPr>
              <w:pStyle w:val="Tabletext"/>
              <w:jc w:val="center"/>
              <w:rPr>
                <w:lang w:val="es-ES"/>
              </w:rPr>
            </w:pPr>
            <w:r w:rsidRPr="003F7316">
              <w:rPr>
                <w:lang w:val="es-ES"/>
              </w:rPr>
              <w:t>330,1</w:t>
            </w:r>
          </w:p>
        </w:tc>
        <w:tc>
          <w:tcPr>
            <w:tcW w:w="2604" w:type="dxa"/>
            <w:hideMark/>
          </w:tcPr>
          <w:p w14:paraId="698FEFB2" w14:textId="77777777" w:rsidR="006A6655" w:rsidRPr="003F7316" w:rsidRDefault="006A6655" w:rsidP="00F666F2">
            <w:pPr>
              <w:pStyle w:val="Tabletext"/>
              <w:jc w:val="center"/>
              <w:rPr>
                <w:lang w:val="es-ES"/>
              </w:rPr>
            </w:pPr>
            <w:r w:rsidRPr="003F7316">
              <w:rPr>
                <w:lang w:val="es-ES"/>
              </w:rPr>
              <w:t>(213,1)</w:t>
            </w:r>
          </w:p>
        </w:tc>
        <w:tc>
          <w:tcPr>
            <w:tcW w:w="2604" w:type="dxa"/>
            <w:hideMark/>
          </w:tcPr>
          <w:p w14:paraId="51EB67D0" w14:textId="77777777" w:rsidR="006A6655" w:rsidRPr="003F7316" w:rsidRDefault="006A6655" w:rsidP="00F666F2">
            <w:pPr>
              <w:pStyle w:val="Tabletext"/>
              <w:jc w:val="center"/>
              <w:rPr>
                <w:lang w:val="es-ES"/>
              </w:rPr>
            </w:pPr>
            <w:r w:rsidRPr="003F7316">
              <w:rPr>
                <w:lang w:val="es-ES"/>
              </w:rPr>
              <w:t>155 %</w:t>
            </w:r>
          </w:p>
        </w:tc>
      </w:tr>
      <w:tr w:rsidR="006A6655" w:rsidRPr="003F7316" w14:paraId="734E5D3B" w14:textId="77777777" w:rsidTr="005062AB">
        <w:tc>
          <w:tcPr>
            <w:tcW w:w="1250" w:type="dxa"/>
            <w:hideMark/>
          </w:tcPr>
          <w:p w14:paraId="7B7A1146" w14:textId="77777777" w:rsidR="006A6655" w:rsidRPr="00A924CF" w:rsidRDefault="006A6655" w:rsidP="00A924CF">
            <w:pPr>
              <w:pStyle w:val="Tabletext"/>
              <w:jc w:val="center"/>
            </w:pPr>
            <w:r w:rsidRPr="00A924CF">
              <w:t>2023</w:t>
            </w:r>
          </w:p>
        </w:tc>
        <w:tc>
          <w:tcPr>
            <w:tcW w:w="2603" w:type="dxa"/>
            <w:hideMark/>
          </w:tcPr>
          <w:p w14:paraId="14F599DA" w14:textId="77777777" w:rsidR="006A6655" w:rsidRPr="003F7316" w:rsidRDefault="006A6655" w:rsidP="00F666F2">
            <w:pPr>
              <w:pStyle w:val="Tabletext"/>
              <w:jc w:val="center"/>
              <w:rPr>
                <w:lang w:val="es-ES"/>
              </w:rPr>
            </w:pPr>
            <w:r w:rsidRPr="003F7316">
              <w:rPr>
                <w:lang w:val="es-ES"/>
              </w:rPr>
              <w:t>361,3</w:t>
            </w:r>
          </w:p>
        </w:tc>
        <w:tc>
          <w:tcPr>
            <w:tcW w:w="2604" w:type="dxa"/>
            <w:hideMark/>
          </w:tcPr>
          <w:p w14:paraId="2D1BF792" w14:textId="77777777" w:rsidR="006A6655" w:rsidRPr="003F7316" w:rsidRDefault="006A6655" w:rsidP="00F666F2">
            <w:pPr>
              <w:pStyle w:val="Tabletext"/>
              <w:jc w:val="center"/>
              <w:rPr>
                <w:lang w:val="es-ES"/>
              </w:rPr>
            </w:pPr>
            <w:r w:rsidRPr="003F7316">
              <w:rPr>
                <w:lang w:val="es-ES"/>
              </w:rPr>
              <w:t>(257,4)</w:t>
            </w:r>
          </w:p>
        </w:tc>
        <w:tc>
          <w:tcPr>
            <w:tcW w:w="2604" w:type="dxa"/>
            <w:hideMark/>
          </w:tcPr>
          <w:p w14:paraId="24F5586F" w14:textId="77777777" w:rsidR="006A6655" w:rsidRPr="003F7316" w:rsidRDefault="006A6655" w:rsidP="00F666F2">
            <w:pPr>
              <w:pStyle w:val="Tabletext"/>
              <w:jc w:val="center"/>
              <w:rPr>
                <w:lang w:val="es-ES"/>
              </w:rPr>
            </w:pPr>
            <w:r w:rsidRPr="003F7316">
              <w:rPr>
                <w:lang w:val="es-ES"/>
              </w:rPr>
              <w:t>140 %</w:t>
            </w:r>
          </w:p>
        </w:tc>
      </w:tr>
      <w:tr w:rsidR="006A6655" w:rsidRPr="003F7316" w14:paraId="4EA21E42" w14:textId="77777777" w:rsidTr="005062AB">
        <w:tc>
          <w:tcPr>
            <w:tcW w:w="1250" w:type="dxa"/>
            <w:hideMark/>
          </w:tcPr>
          <w:p w14:paraId="205BA881" w14:textId="77777777" w:rsidR="006A6655" w:rsidRPr="00A924CF" w:rsidRDefault="006A6655" w:rsidP="00A924CF">
            <w:pPr>
              <w:pStyle w:val="Tabletext"/>
              <w:jc w:val="center"/>
            </w:pPr>
            <w:r w:rsidRPr="00A924CF">
              <w:t>2024</w:t>
            </w:r>
          </w:p>
        </w:tc>
        <w:tc>
          <w:tcPr>
            <w:tcW w:w="2603" w:type="dxa"/>
            <w:hideMark/>
          </w:tcPr>
          <w:p w14:paraId="775C314E" w14:textId="77777777" w:rsidR="006A6655" w:rsidRPr="003F7316" w:rsidRDefault="006A6655" w:rsidP="00F666F2">
            <w:pPr>
              <w:pStyle w:val="Tabletext"/>
              <w:jc w:val="center"/>
              <w:rPr>
                <w:lang w:val="es-ES"/>
              </w:rPr>
            </w:pPr>
            <w:r w:rsidRPr="003F7316">
              <w:rPr>
                <w:lang w:val="es-ES"/>
              </w:rPr>
              <w:t>400,8</w:t>
            </w:r>
          </w:p>
        </w:tc>
        <w:tc>
          <w:tcPr>
            <w:tcW w:w="2604" w:type="dxa"/>
            <w:hideMark/>
          </w:tcPr>
          <w:p w14:paraId="26DC7260" w14:textId="77777777" w:rsidR="006A6655" w:rsidRPr="003F7316" w:rsidRDefault="006A6655" w:rsidP="00F666F2">
            <w:pPr>
              <w:pStyle w:val="Tabletext"/>
              <w:jc w:val="center"/>
              <w:rPr>
                <w:lang w:val="es-ES"/>
              </w:rPr>
            </w:pPr>
            <w:r w:rsidRPr="003F7316">
              <w:rPr>
                <w:lang w:val="es-ES"/>
              </w:rPr>
              <w:t>(318,0)</w:t>
            </w:r>
          </w:p>
        </w:tc>
        <w:tc>
          <w:tcPr>
            <w:tcW w:w="2604" w:type="dxa"/>
            <w:hideMark/>
          </w:tcPr>
          <w:p w14:paraId="721C9C39" w14:textId="77777777" w:rsidR="006A6655" w:rsidRPr="003F7316" w:rsidRDefault="006A6655" w:rsidP="00F666F2">
            <w:pPr>
              <w:pStyle w:val="Tabletext"/>
              <w:jc w:val="center"/>
              <w:rPr>
                <w:lang w:val="es-ES"/>
              </w:rPr>
            </w:pPr>
            <w:r w:rsidRPr="003F7316">
              <w:rPr>
                <w:lang w:val="es-ES"/>
              </w:rPr>
              <w:t>126 %</w:t>
            </w:r>
          </w:p>
        </w:tc>
      </w:tr>
      <w:tr w:rsidR="006A6655" w:rsidRPr="003F7316" w14:paraId="470F993B" w14:textId="77777777" w:rsidTr="005062AB">
        <w:tc>
          <w:tcPr>
            <w:tcW w:w="1250" w:type="dxa"/>
            <w:hideMark/>
          </w:tcPr>
          <w:p w14:paraId="3C6FA504" w14:textId="77777777" w:rsidR="006A6655" w:rsidRPr="00A924CF" w:rsidRDefault="006A6655" w:rsidP="00A924CF">
            <w:pPr>
              <w:pStyle w:val="Tabletext"/>
              <w:jc w:val="center"/>
            </w:pPr>
            <w:r w:rsidRPr="00A924CF">
              <w:t>2025</w:t>
            </w:r>
          </w:p>
        </w:tc>
        <w:tc>
          <w:tcPr>
            <w:tcW w:w="2603" w:type="dxa"/>
            <w:hideMark/>
          </w:tcPr>
          <w:p w14:paraId="221A5888" w14:textId="77777777" w:rsidR="006A6655" w:rsidRPr="003F7316" w:rsidRDefault="006A6655" w:rsidP="00F666F2">
            <w:pPr>
              <w:pStyle w:val="Tabletext"/>
              <w:jc w:val="center"/>
              <w:rPr>
                <w:lang w:val="es-ES"/>
              </w:rPr>
            </w:pPr>
            <w:r w:rsidRPr="003F7316">
              <w:rPr>
                <w:lang w:val="es-ES"/>
              </w:rPr>
              <w:t>363,8</w:t>
            </w:r>
          </w:p>
        </w:tc>
        <w:tc>
          <w:tcPr>
            <w:tcW w:w="2604" w:type="dxa"/>
            <w:hideMark/>
          </w:tcPr>
          <w:p w14:paraId="67C31738" w14:textId="77777777" w:rsidR="006A6655" w:rsidRPr="003F7316" w:rsidRDefault="006A6655" w:rsidP="00F666F2">
            <w:pPr>
              <w:pStyle w:val="Tabletext"/>
              <w:jc w:val="center"/>
              <w:rPr>
                <w:lang w:val="es-ES"/>
              </w:rPr>
            </w:pPr>
            <w:r w:rsidRPr="003F7316">
              <w:rPr>
                <w:lang w:val="es-ES"/>
              </w:rPr>
              <w:t>(279,4)</w:t>
            </w:r>
          </w:p>
        </w:tc>
        <w:tc>
          <w:tcPr>
            <w:tcW w:w="2604" w:type="dxa"/>
            <w:hideMark/>
          </w:tcPr>
          <w:p w14:paraId="425EB9ED" w14:textId="77777777" w:rsidR="006A6655" w:rsidRPr="003F7316" w:rsidRDefault="006A6655" w:rsidP="00F666F2">
            <w:pPr>
              <w:pStyle w:val="Tabletext"/>
              <w:jc w:val="center"/>
              <w:rPr>
                <w:lang w:val="es-ES"/>
              </w:rPr>
            </w:pPr>
            <w:r w:rsidRPr="003F7316">
              <w:rPr>
                <w:lang w:val="es-ES"/>
              </w:rPr>
              <w:t>130 %</w:t>
            </w:r>
          </w:p>
        </w:tc>
      </w:tr>
    </w:tbl>
    <w:p w14:paraId="20B4DA21" w14:textId="7E1D7B82" w:rsidR="006A6655" w:rsidRPr="003F7316" w:rsidRDefault="006A6655" w:rsidP="00EC4CA1">
      <w:pPr>
        <w:spacing w:before="240"/>
        <w:rPr>
          <w:lang w:val="es-ES"/>
        </w:rPr>
      </w:pPr>
      <w:r w:rsidRPr="003F7316">
        <w:rPr>
          <w:lang w:val="es-ES"/>
        </w:rPr>
        <w:t>2.4</w:t>
      </w:r>
      <w:r w:rsidRPr="003F7316">
        <w:rPr>
          <w:lang w:val="es-ES"/>
        </w:rPr>
        <w:tab/>
        <w:t>El cuadro anterior muestra que el pasivo no financiado del</w:t>
      </w:r>
      <w:r w:rsidR="008B64E5" w:rsidRPr="003F7316">
        <w:rPr>
          <w:lang w:val="es-ES"/>
        </w:rPr>
        <w:t> </w:t>
      </w:r>
      <w:r w:rsidRPr="003F7316">
        <w:rPr>
          <w:lang w:val="es-ES"/>
        </w:rPr>
        <w:t>ASHI supera sistemáticamente los activos de la</w:t>
      </w:r>
      <w:r w:rsidR="008B64E5" w:rsidRPr="003F7316">
        <w:rPr>
          <w:lang w:val="es-ES"/>
        </w:rPr>
        <w:t> </w:t>
      </w:r>
      <w:r w:rsidRPr="003F7316">
        <w:rPr>
          <w:lang w:val="es-ES"/>
        </w:rPr>
        <w:t>Organización. En la práctica, la situación negativa de los activos netos de la</w:t>
      </w:r>
      <w:r w:rsidR="008B64E5" w:rsidRPr="003F7316">
        <w:rPr>
          <w:lang w:val="es-ES"/>
        </w:rPr>
        <w:t> </w:t>
      </w:r>
      <w:r w:rsidRPr="003F7316">
        <w:rPr>
          <w:lang w:val="es-ES"/>
        </w:rPr>
        <w:t>Unión se debe en gran medida a la falta de financiación adecuada para las obligaciones en concepto de prestaciones posteriores al cese en el servicio.</w:t>
      </w:r>
    </w:p>
    <w:p w14:paraId="5520EB52" w14:textId="4C181872" w:rsidR="006A6655" w:rsidRPr="003F7316" w:rsidRDefault="006A6655" w:rsidP="00F666F2">
      <w:pPr>
        <w:rPr>
          <w:lang w:val="es-ES"/>
        </w:rPr>
      </w:pPr>
      <w:r w:rsidRPr="003F7316">
        <w:rPr>
          <w:lang w:val="es-ES"/>
        </w:rPr>
        <w:t>2.5</w:t>
      </w:r>
      <w:r w:rsidRPr="003F7316">
        <w:rPr>
          <w:lang w:val="es-ES"/>
        </w:rPr>
        <w:tab/>
        <w:t>Otras prestaciones de los empleados, como las vacaciones anuales (11,2</w:t>
      </w:r>
      <w:r w:rsidR="008B64E5" w:rsidRPr="003F7316">
        <w:rPr>
          <w:lang w:val="es-ES"/>
        </w:rPr>
        <w:t> </w:t>
      </w:r>
      <w:r w:rsidRPr="003F7316">
        <w:rPr>
          <w:lang w:val="es-ES"/>
        </w:rPr>
        <w:t>millones</w:t>
      </w:r>
      <w:r w:rsidR="008B64E5" w:rsidRPr="003F7316">
        <w:rPr>
          <w:lang w:val="es-ES"/>
        </w:rPr>
        <w:t> </w:t>
      </w:r>
      <w:r w:rsidRPr="003F7316">
        <w:rPr>
          <w:lang w:val="es-ES"/>
        </w:rPr>
        <w:t>CHF) y la repatriación (12,3</w:t>
      </w:r>
      <w:r w:rsidR="008B64E5" w:rsidRPr="003F7316">
        <w:rPr>
          <w:lang w:val="es-ES"/>
        </w:rPr>
        <w:t> </w:t>
      </w:r>
      <w:r w:rsidRPr="003F7316">
        <w:rPr>
          <w:lang w:val="es-ES"/>
        </w:rPr>
        <w:t>millones</w:t>
      </w:r>
      <w:r w:rsidR="008B64E5" w:rsidRPr="003F7316">
        <w:rPr>
          <w:lang w:val="es-ES"/>
        </w:rPr>
        <w:t> </w:t>
      </w:r>
      <w:r w:rsidRPr="003F7316">
        <w:rPr>
          <w:lang w:val="es-ES"/>
        </w:rPr>
        <w:t>CHF), están financiadas.</w:t>
      </w:r>
    </w:p>
    <w:p w14:paraId="6AF07FA1" w14:textId="557C5E99" w:rsidR="006A6655" w:rsidRPr="003F7316" w:rsidRDefault="006A6655" w:rsidP="00F666F2">
      <w:pPr>
        <w:rPr>
          <w:lang w:val="es-ES"/>
        </w:rPr>
      </w:pPr>
      <w:r w:rsidRPr="003F7316">
        <w:rPr>
          <w:lang w:val="es-ES"/>
        </w:rPr>
        <w:t>2.6</w:t>
      </w:r>
      <w:r w:rsidRPr="003F7316">
        <w:rPr>
          <w:lang w:val="es-ES"/>
        </w:rPr>
        <w:tab/>
        <w:t>En lo que respecta a las pensiones, dado que la</w:t>
      </w:r>
      <w:r w:rsidR="008B64E5" w:rsidRPr="003F7316">
        <w:rPr>
          <w:lang w:val="es-ES"/>
        </w:rPr>
        <w:t> </w:t>
      </w:r>
      <w:r w:rsidRPr="003F7316">
        <w:rPr>
          <w:lang w:val="es-ES"/>
        </w:rPr>
        <w:t>UIT participa en la Caja Común de Pensiones del Personal de las Naciones Unidas (CCPPNU), los riesgos y exposiciones financieras son gestionados directamente por la</w:t>
      </w:r>
      <w:r w:rsidR="00C35A96" w:rsidRPr="003F7316">
        <w:rPr>
          <w:lang w:val="es-ES"/>
        </w:rPr>
        <w:t> </w:t>
      </w:r>
      <w:r w:rsidRPr="003F7316">
        <w:rPr>
          <w:lang w:val="es-ES"/>
        </w:rPr>
        <w:t>Caja, un régimen multiempleadores con capitalización y prestaciones definidas, y no están incluidos en el balance de la</w:t>
      </w:r>
      <w:r w:rsidR="00C35A96" w:rsidRPr="003F7316">
        <w:rPr>
          <w:lang w:val="es-ES"/>
        </w:rPr>
        <w:t> </w:t>
      </w:r>
      <w:r w:rsidRPr="003F7316">
        <w:rPr>
          <w:lang w:val="es-ES"/>
        </w:rPr>
        <w:t>Unión de conformidad con la NICSP</w:t>
      </w:r>
      <w:r w:rsidR="00C35A96" w:rsidRPr="003F7316">
        <w:rPr>
          <w:lang w:val="es-ES"/>
        </w:rPr>
        <w:t> </w:t>
      </w:r>
      <w:r w:rsidRPr="003F7316">
        <w:rPr>
          <w:lang w:val="es-ES"/>
        </w:rPr>
        <w:t>39, como plan de contribuciones definidas. Las contribuciones que la</w:t>
      </w:r>
      <w:r w:rsidR="00C35A96" w:rsidRPr="003F7316">
        <w:rPr>
          <w:lang w:val="es-ES"/>
        </w:rPr>
        <w:t> </w:t>
      </w:r>
      <w:r w:rsidRPr="003F7316">
        <w:rPr>
          <w:lang w:val="es-ES"/>
        </w:rPr>
        <w:t>UIT ha abonado históricamente al Fondo han sido de alrededor del 1</w:t>
      </w:r>
      <w:r w:rsidR="00C35A96" w:rsidRPr="003F7316">
        <w:rPr>
          <w:lang w:val="es-ES"/>
        </w:rPr>
        <w:t> </w:t>
      </w:r>
      <w:r w:rsidRPr="003F7316">
        <w:rPr>
          <w:lang w:val="es-ES"/>
        </w:rPr>
        <w:t>% del total de las contribuciones recibidas por el</w:t>
      </w:r>
      <w:r w:rsidR="00C35A96" w:rsidRPr="003F7316">
        <w:rPr>
          <w:lang w:val="es-ES"/>
        </w:rPr>
        <w:t> </w:t>
      </w:r>
      <w:r w:rsidRPr="003F7316">
        <w:rPr>
          <w:lang w:val="es-ES"/>
        </w:rPr>
        <w:t>Fondo.</w:t>
      </w:r>
    </w:p>
    <w:p w14:paraId="275D3156" w14:textId="77777777" w:rsidR="006A6655" w:rsidRPr="003F7316" w:rsidRDefault="006A6655" w:rsidP="006A6655">
      <w:pPr>
        <w:pStyle w:val="Heading1"/>
        <w:rPr>
          <w:lang w:val="es-ES"/>
        </w:rPr>
      </w:pPr>
      <w:r w:rsidRPr="003F7316">
        <w:rPr>
          <w:bCs/>
          <w:lang w:val="es-ES"/>
        </w:rPr>
        <w:t>3</w:t>
      </w:r>
      <w:r w:rsidRPr="003F7316">
        <w:rPr>
          <w:lang w:val="es-ES"/>
        </w:rPr>
        <w:tab/>
      </w:r>
      <w:r w:rsidRPr="003F7316">
        <w:rPr>
          <w:bCs/>
          <w:lang w:val="es-ES"/>
        </w:rPr>
        <w:t>Reconocimiento de los progresos ya realizados</w:t>
      </w:r>
    </w:p>
    <w:p w14:paraId="3D3A6ECF" w14:textId="5C0D933D" w:rsidR="006A6655" w:rsidRPr="003F7316" w:rsidRDefault="006A6655" w:rsidP="00F666F2">
      <w:pPr>
        <w:rPr>
          <w:lang w:val="es-ES"/>
        </w:rPr>
      </w:pPr>
      <w:r w:rsidRPr="003F7316">
        <w:rPr>
          <w:lang w:val="es-ES"/>
        </w:rPr>
        <w:t>3.1</w:t>
      </w:r>
      <w:r w:rsidRPr="003F7316">
        <w:rPr>
          <w:lang w:val="es-ES"/>
        </w:rPr>
        <w:tab/>
        <w:t>El Consejo ya ha tomado medidas importantes y encomiables para hacer frente a este desafío, incluida la creación y financiación gradual de una reserva específica para el</w:t>
      </w:r>
      <w:r w:rsidR="00C35A96" w:rsidRPr="003F7316">
        <w:rPr>
          <w:lang w:val="es-ES"/>
        </w:rPr>
        <w:t> </w:t>
      </w:r>
      <w:r w:rsidRPr="003F7316">
        <w:rPr>
          <w:lang w:val="es-ES"/>
        </w:rPr>
        <w:t>ASHI mediante:</w:t>
      </w:r>
    </w:p>
    <w:p w14:paraId="05B9C861" w14:textId="064C3705" w:rsidR="006A6655" w:rsidRPr="003F7316" w:rsidRDefault="006A6655" w:rsidP="008C32E2">
      <w:pPr>
        <w:pStyle w:val="enumlev1"/>
        <w:rPr>
          <w:lang w:val="es-ES"/>
        </w:rPr>
      </w:pPr>
      <w:r w:rsidRPr="003F7316">
        <w:rPr>
          <w:lang w:val="es-ES"/>
        </w:rPr>
        <w:t>–</w:t>
      </w:r>
      <w:r w:rsidRPr="003F7316">
        <w:rPr>
          <w:lang w:val="es-ES"/>
        </w:rPr>
        <w:tab/>
        <w:t>la asignación de 1</w:t>
      </w:r>
      <w:r w:rsidR="00C35A96" w:rsidRPr="003F7316">
        <w:rPr>
          <w:lang w:val="es-ES"/>
        </w:rPr>
        <w:t> </w:t>
      </w:r>
      <w:r w:rsidRPr="003F7316">
        <w:rPr>
          <w:lang w:val="es-ES"/>
        </w:rPr>
        <w:t>millón</w:t>
      </w:r>
      <w:r w:rsidR="00C35A96" w:rsidRPr="003F7316">
        <w:rPr>
          <w:lang w:val="es-ES"/>
        </w:rPr>
        <w:t> </w:t>
      </w:r>
      <w:r w:rsidRPr="003F7316">
        <w:rPr>
          <w:lang w:val="es-ES"/>
        </w:rPr>
        <w:t>CHF por bienio al fondo del ASHI;</w:t>
      </w:r>
    </w:p>
    <w:p w14:paraId="4348E829" w14:textId="38A96418" w:rsidR="006A6655" w:rsidRPr="003F7316" w:rsidRDefault="006A6655" w:rsidP="008C32E2">
      <w:pPr>
        <w:pStyle w:val="enumlev1"/>
        <w:rPr>
          <w:lang w:val="es-ES"/>
        </w:rPr>
      </w:pPr>
      <w:r w:rsidRPr="003F7316">
        <w:rPr>
          <w:lang w:val="es-ES"/>
        </w:rPr>
        <w:t>–</w:t>
      </w:r>
      <w:r w:rsidRPr="003F7316">
        <w:rPr>
          <w:lang w:val="es-ES"/>
        </w:rPr>
        <w:tab/>
        <w:t>la introducción, con efecto a partir del 1</w:t>
      </w:r>
      <w:r w:rsidR="00C35A96" w:rsidRPr="003F7316">
        <w:rPr>
          <w:lang w:val="es-ES"/>
        </w:rPr>
        <w:t> </w:t>
      </w:r>
      <w:r w:rsidRPr="003F7316">
        <w:rPr>
          <w:lang w:val="es-ES"/>
        </w:rPr>
        <w:t>de</w:t>
      </w:r>
      <w:r w:rsidR="00C35A96" w:rsidRPr="003F7316">
        <w:rPr>
          <w:lang w:val="es-ES"/>
        </w:rPr>
        <w:t> </w:t>
      </w:r>
      <w:r w:rsidRPr="003F7316">
        <w:rPr>
          <w:lang w:val="es-ES"/>
        </w:rPr>
        <w:t>enero de</w:t>
      </w:r>
      <w:r w:rsidR="00C35A96" w:rsidRPr="003F7316">
        <w:rPr>
          <w:lang w:val="es-ES"/>
        </w:rPr>
        <w:t> </w:t>
      </w:r>
      <w:r w:rsidRPr="003F7316">
        <w:rPr>
          <w:lang w:val="es-ES"/>
        </w:rPr>
        <w:t>2026, de un mecanismo de financiación basado en las nóminas equivalente al 5,35</w:t>
      </w:r>
      <w:r w:rsidR="00C35A96" w:rsidRPr="003F7316">
        <w:rPr>
          <w:lang w:val="es-ES"/>
        </w:rPr>
        <w:t> </w:t>
      </w:r>
      <w:r w:rsidRPr="003F7316">
        <w:rPr>
          <w:lang w:val="es-ES"/>
        </w:rPr>
        <w:t xml:space="preserve">% del sueldo base para el personal recién contratado. </w:t>
      </w:r>
    </w:p>
    <w:p w14:paraId="5EFF4C34" w14:textId="77777777" w:rsidR="006A6655" w:rsidRPr="003F7316" w:rsidRDefault="006A6655" w:rsidP="00F666F2">
      <w:pPr>
        <w:rPr>
          <w:lang w:val="es-ES"/>
        </w:rPr>
      </w:pPr>
      <w:r w:rsidRPr="003F7316">
        <w:rPr>
          <w:lang w:val="es-ES"/>
        </w:rPr>
        <w:t>3.2</w:t>
      </w:r>
      <w:r w:rsidRPr="003F7316">
        <w:rPr>
          <w:lang w:val="es-ES"/>
        </w:rPr>
        <w:tab/>
        <w:t>Estas decisiones constituyen medidas prudentes y responsables. Ponen de manifiesto el reconocimiento de la cuestión y establecen un marco inicial para la financiación futura.</w:t>
      </w:r>
    </w:p>
    <w:p w14:paraId="031B4288" w14:textId="6677A014" w:rsidR="006A6655" w:rsidRPr="003F7316" w:rsidRDefault="006A6655" w:rsidP="00F666F2">
      <w:pPr>
        <w:rPr>
          <w:lang w:val="es-ES"/>
        </w:rPr>
      </w:pPr>
      <w:r w:rsidRPr="003F7316">
        <w:rPr>
          <w:lang w:val="es-ES"/>
        </w:rPr>
        <w:t>3.3</w:t>
      </w:r>
      <w:r w:rsidRPr="003F7316">
        <w:rPr>
          <w:lang w:val="es-ES"/>
        </w:rPr>
        <w:tab/>
        <w:t>Sin embargo, tanto el Auditor Externo como los recientes análisis actuariales han puesto de relieve que las medidas actuales, aunque positivas, aún no constituyen una estrategia de financiación integral a largo plazo capaz de reducir de manera significativa el déficit de financiación en un plazo razonable. El párrafo</w:t>
      </w:r>
      <w:r w:rsidR="00C35A96" w:rsidRPr="003F7316">
        <w:rPr>
          <w:lang w:val="es-ES"/>
        </w:rPr>
        <w:t> </w:t>
      </w:r>
      <w:r w:rsidRPr="003F7316">
        <w:rPr>
          <w:lang w:val="es-ES"/>
        </w:rPr>
        <w:t>1.21 del Informe del Auditor Externo sobre los estados financieros de 2025 de la</w:t>
      </w:r>
      <w:r w:rsidR="00C35A96" w:rsidRPr="003F7316">
        <w:rPr>
          <w:lang w:val="es-ES"/>
        </w:rPr>
        <w:t> </w:t>
      </w:r>
      <w:r w:rsidRPr="003F7316">
        <w:rPr>
          <w:lang w:val="es-ES"/>
        </w:rPr>
        <w:t xml:space="preserve">UIT reza así: "Esto constituye una medida prudente que ha sido aprobada por el Consejo de 2026. Si bien esto permitirá hacer frente a parte del pasivo futuro, como se trata del riesgo financiero más importante al que se expone </w:t>
      </w:r>
      <w:r w:rsidRPr="003F7316">
        <w:rPr>
          <w:lang w:val="es-ES"/>
        </w:rPr>
        <w:lastRenderedPageBreak/>
        <w:t>la</w:t>
      </w:r>
      <w:r w:rsidR="00C35A96" w:rsidRPr="003F7316">
        <w:rPr>
          <w:lang w:val="es-ES"/>
        </w:rPr>
        <w:t> </w:t>
      </w:r>
      <w:r w:rsidRPr="003F7316">
        <w:rPr>
          <w:lang w:val="es-ES"/>
        </w:rPr>
        <w:t>Unión, debería desarrollarse una política y una estrategia globales para el pasivo del ASHI".</w:t>
      </w:r>
    </w:p>
    <w:p w14:paraId="47D41480" w14:textId="741758CC" w:rsidR="006A6655" w:rsidRPr="003F7316" w:rsidRDefault="006A6655" w:rsidP="00F666F2">
      <w:pPr>
        <w:rPr>
          <w:lang w:val="es-ES"/>
        </w:rPr>
      </w:pPr>
      <w:r w:rsidRPr="003F7316">
        <w:rPr>
          <w:lang w:val="es-ES"/>
        </w:rPr>
        <w:t>3.4</w:t>
      </w:r>
      <w:r w:rsidRPr="003F7316">
        <w:rPr>
          <w:lang w:val="es-ES"/>
        </w:rPr>
        <w:tab/>
        <w:t>Como se muestra en el siguiente gráfico, es evidente que las medidas actuales no permiten a la</w:t>
      </w:r>
      <w:r w:rsidR="00C35A96" w:rsidRPr="003F7316">
        <w:rPr>
          <w:lang w:val="es-ES"/>
        </w:rPr>
        <w:t> </w:t>
      </w:r>
      <w:r w:rsidRPr="003F7316">
        <w:rPr>
          <w:lang w:val="es-ES"/>
        </w:rPr>
        <w:t>UIT alcanzar un objetivo de financiación suficiente en un plazo razonable.</w:t>
      </w:r>
    </w:p>
    <w:p w14:paraId="611F84B9" w14:textId="55ADB6DC" w:rsidR="0044218B" w:rsidRPr="003F7316" w:rsidRDefault="0044218B" w:rsidP="003D02D4">
      <w:pPr>
        <w:pStyle w:val="FigureNoTitle"/>
        <w:rPr>
          <w:b w:val="0"/>
          <w:bCs/>
          <w:sz w:val="18"/>
          <w:szCs w:val="16"/>
          <w:lang w:val="es-ES"/>
        </w:rPr>
      </w:pPr>
      <w:r w:rsidRPr="003F7316">
        <w:rPr>
          <w:lang w:val="es-ES"/>
        </w:rPr>
        <w:t>Previsión de ingresos anuales derivados de las medidas de financiación, 2026-2040</w:t>
      </w:r>
      <w:r w:rsidR="006313F1" w:rsidRPr="003F7316">
        <w:rPr>
          <w:lang w:val="es-ES"/>
        </w:rPr>
        <w:br/>
      </w:r>
      <w:r w:rsidR="006313F1" w:rsidRPr="003F7316">
        <w:rPr>
          <w:b w:val="0"/>
          <w:bCs/>
          <w:sz w:val="18"/>
          <w:szCs w:val="16"/>
          <w:lang w:val="es-ES"/>
        </w:rPr>
        <w:t>Hipótesis: 20</w:t>
      </w:r>
      <w:r w:rsidR="00C35A96" w:rsidRPr="003F7316">
        <w:rPr>
          <w:b w:val="0"/>
          <w:bCs/>
          <w:sz w:val="18"/>
          <w:szCs w:val="16"/>
          <w:lang w:val="es-ES"/>
        </w:rPr>
        <w:t> </w:t>
      </w:r>
      <w:r w:rsidR="006313F1" w:rsidRPr="003F7316">
        <w:rPr>
          <w:b w:val="0"/>
          <w:bCs/>
          <w:sz w:val="18"/>
          <w:szCs w:val="16"/>
          <w:lang w:val="es-ES"/>
        </w:rPr>
        <w:t>nuevas contrataciones al año y una contribución de 1,0</w:t>
      </w:r>
      <w:r w:rsidR="00C35A96" w:rsidRPr="003F7316">
        <w:rPr>
          <w:b w:val="0"/>
          <w:bCs/>
          <w:sz w:val="18"/>
          <w:szCs w:val="16"/>
          <w:lang w:val="es-ES"/>
        </w:rPr>
        <w:t> </w:t>
      </w:r>
      <w:r w:rsidR="006313F1" w:rsidRPr="003F7316">
        <w:rPr>
          <w:b w:val="0"/>
          <w:bCs/>
          <w:sz w:val="18"/>
          <w:szCs w:val="16"/>
          <w:lang w:val="es-ES"/>
        </w:rPr>
        <w:t>millón</w:t>
      </w:r>
      <w:r w:rsidR="00C35A96" w:rsidRPr="003F7316">
        <w:rPr>
          <w:b w:val="0"/>
          <w:bCs/>
          <w:sz w:val="18"/>
          <w:szCs w:val="16"/>
          <w:lang w:val="es-ES"/>
        </w:rPr>
        <w:t> </w:t>
      </w:r>
      <w:r w:rsidR="006313F1" w:rsidRPr="003F7316">
        <w:rPr>
          <w:b w:val="0"/>
          <w:bCs/>
          <w:sz w:val="18"/>
          <w:szCs w:val="16"/>
          <w:lang w:val="es-ES"/>
        </w:rPr>
        <w:t>CHF por bienio | millones</w:t>
      </w:r>
      <w:r w:rsidR="00C35A96" w:rsidRPr="003F7316">
        <w:rPr>
          <w:b w:val="0"/>
          <w:bCs/>
          <w:sz w:val="18"/>
          <w:szCs w:val="16"/>
          <w:lang w:val="es-ES"/>
        </w:rPr>
        <w:t> </w:t>
      </w:r>
      <w:r w:rsidR="006313F1" w:rsidRPr="003F7316">
        <w:rPr>
          <w:b w:val="0"/>
          <w:bCs/>
          <w:sz w:val="18"/>
          <w:szCs w:val="16"/>
          <w:lang w:val="es-ES"/>
        </w:rPr>
        <w:t>CHF</w:t>
      </w:r>
    </w:p>
    <w:p w14:paraId="0D847FC8" w14:textId="658CE4A2" w:rsidR="003D02D4" w:rsidRPr="003F7316" w:rsidRDefault="00682617" w:rsidP="008C32E2">
      <w:pPr>
        <w:pStyle w:val="Figure"/>
      </w:pPr>
      <w:r w:rsidRPr="003F7316">
        <w:drawing>
          <wp:inline distT="0" distB="0" distL="0" distR="0" wp14:anchorId="70A337F1" wp14:editId="55BAFBC2">
            <wp:extent cx="5760085" cy="2810510"/>
            <wp:effectExtent l="0" t="0" r="0" b="8890"/>
            <wp:docPr id="51250202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85" cy="2810510"/>
                    </a:xfrm>
                    <a:prstGeom prst="rect">
                      <a:avLst/>
                    </a:prstGeom>
                    <a:noFill/>
                    <a:ln>
                      <a:noFill/>
                    </a:ln>
                  </pic:spPr>
                </pic:pic>
              </a:graphicData>
            </a:graphic>
          </wp:inline>
        </w:drawing>
      </w:r>
    </w:p>
    <w:p w14:paraId="1D903320" w14:textId="77777777" w:rsidR="006A6655" w:rsidRPr="003F7316" w:rsidRDefault="006A6655" w:rsidP="006A6655">
      <w:pPr>
        <w:pStyle w:val="Heading1"/>
        <w:rPr>
          <w:lang w:val="es-ES"/>
        </w:rPr>
      </w:pPr>
      <w:r w:rsidRPr="003F7316">
        <w:rPr>
          <w:bCs/>
          <w:lang w:val="es-ES"/>
        </w:rPr>
        <w:t>4</w:t>
      </w:r>
      <w:r w:rsidRPr="003F7316">
        <w:rPr>
          <w:lang w:val="es-ES"/>
        </w:rPr>
        <w:tab/>
      </w:r>
      <w:r w:rsidRPr="003F7316">
        <w:rPr>
          <w:bCs/>
          <w:lang w:val="es-ES"/>
        </w:rPr>
        <w:t>Por qué es necesario tomar medidas</w:t>
      </w:r>
    </w:p>
    <w:p w14:paraId="40060D85" w14:textId="77777777" w:rsidR="006A6655" w:rsidRPr="003F7316" w:rsidRDefault="006A6655" w:rsidP="006A6655">
      <w:pPr>
        <w:pStyle w:val="Headingb"/>
        <w:rPr>
          <w:lang w:val="es-ES"/>
        </w:rPr>
      </w:pPr>
      <w:r w:rsidRPr="003F7316">
        <w:rPr>
          <w:lang w:val="es-ES"/>
        </w:rPr>
        <w:t>Sostenibilidad</w:t>
      </w:r>
      <w:r w:rsidRPr="003F7316">
        <w:rPr>
          <w:bCs/>
          <w:lang w:val="es-ES"/>
        </w:rPr>
        <w:t xml:space="preserve"> financiera</w:t>
      </w:r>
    </w:p>
    <w:p w14:paraId="43417850" w14:textId="77777777" w:rsidR="006A6655" w:rsidRPr="003F7316" w:rsidRDefault="006A6655" w:rsidP="00F666F2">
      <w:pPr>
        <w:rPr>
          <w:lang w:val="es-ES"/>
        </w:rPr>
      </w:pPr>
      <w:r w:rsidRPr="003F7316">
        <w:rPr>
          <w:lang w:val="es-ES"/>
        </w:rPr>
        <w:t>4.1</w:t>
      </w:r>
      <w:r w:rsidRPr="003F7316">
        <w:rPr>
          <w:lang w:val="es-ES"/>
        </w:rPr>
        <w:tab/>
        <w:t>La cuestión no es si la Organización puede seguir haciendo frente a los pagos actuales de prestaciones. Puede hacerlo. La cuestión es si la Organización debería seguir manteniendo un considerable pasivo no financiado que debilita su balance, la expone al escrutinio de las partes interesadas externas y aumenta las presiones financieras futuras.</w:t>
      </w:r>
    </w:p>
    <w:p w14:paraId="41B17C77" w14:textId="77777777" w:rsidR="006A6655" w:rsidRPr="003F7316" w:rsidRDefault="006A6655" w:rsidP="00F666F2">
      <w:pPr>
        <w:rPr>
          <w:lang w:val="es-ES"/>
        </w:rPr>
      </w:pPr>
      <w:r w:rsidRPr="003F7316">
        <w:rPr>
          <w:lang w:val="es-ES"/>
        </w:rPr>
        <w:t>4.2</w:t>
      </w:r>
      <w:r w:rsidRPr="003F7316">
        <w:rPr>
          <w:lang w:val="es-ES"/>
        </w:rPr>
        <w:tab/>
        <w:t>Y lo que es más importante, el importe de los pagos con cargo a los ingresos corrientes aumentará y los costes futuros de las prestaciones, así como los intereses, aumentarán aún más, lo que ampliará inevitablemente la brecha entre la estrategia actual y las obligaciones futuras por prestaciones acumuladas, lo que a su vez aumentará aún más el déficit de financiación y la necesidad de recursos futuros.</w:t>
      </w:r>
    </w:p>
    <w:p w14:paraId="5100AE2E" w14:textId="21113416" w:rsidR="006A6655" w:rsidRPr="003F7316" w:rsidRDefault="006A6655" w:rsidP="00F666F2">
      <w:pPr>
        <w:rPr>
          <w:lang w:val="es-ES"/>
        </w:rPr>
        <w:sectPr w:rsidR="006A6655" w:rsidRPr="003F7316" w:rsidSect="006A6655">
          <w:headerReference w:type="default" r:id="rId14"/>
          <w:footerReference w:type="first" r:id="rId15"/>
          <w:type w:val="continuous"/>
          <w:pgSz w:w="11907" w:h="16834"/>
          <w:pgMar w:top="1418" w:right="1418" w:bottom="1418" w:left="1418" w:header="720" w:footer="720" w:gutter="0"/>
          <w:paperSrc w:first="286" w:other="286"/>
          <w:cols w:space="720"/>
          <w:titlePg/>
          <w:docGrid w:linePitch="326"/>
        </w:sectPr>
      </w:pPr>
      <w:r w:rsidRPr="003F7316">
        <w:rPr>
          <w:lang w:val="es-ES"/>
        </w:rPr>
        <w:t>4.3</w:t>
      </w:r>
      <w:r w:rsidRPr="003F7316">
        <w:rPr>
          <w:lang w:val="es-ES"/>
        </w:rPr>
        <w:tab/>
        <w:t>El siguiente gráfico muestra la tendencia prevista en los pagos de prestaciones y el porcentaje correspondiente con respecto a las nóminas anuales. En ausencia de nuevas medidas, los pagos anuales pasarán del actual 3</w:t>
      </w:r>
      <w:r w:rsidR="00132584" w:rsidRPr="003F7316">
        <w:rPr>
          <w:lang w:val="es-ES"/>
        </w:rPr>
        <w:t> </w:t>
      </w:r>
      <w:r w:rsidRPr="003F7316">
        <w:rPr>
          <w:lang w:val="es-ES"/>
        </w:rPr>
        <w:t>% del total de las nóminas anuales a casi el 10</w:t>
      </w:r>
      <w:r w:rsidR="00132584" w:rsidRPr="003F7316">
        <w:rPr>
          <w:lang w:val="es-ES"/>
        </w:rPr>
        <w:t> </w:t>
      </w:r>
      <w:r w:rsidRPr="003F7316">
        <w:rPr>
          <w:lang w:val="es-ES"/>
        </w:rPr>
        <w:t>% en 30</w:t>
      </w:r>
      <w:r w:rsidR="00132584" w:rsidRPr="003F7316">
        <w:rPr>
          <w:lang w:val="es-ES"/>
        </w:rPr>
        <w:t> </w:t>
      </w:r>
      <w:r w:rsidRPr="003F7316">
        <w:rPr>
          <w:lang w:val="es-ES"/>
        </w:rPr>
        <w:t>años, lo que supondrá un aumento aproximado del 9</w:t>
      </w:r>
      <w:r w:rsidR="00132584" w:rsidRPr="003F7316">
        <w:rPr>
          <w:lang w:val="es-ES"/>
        </w:rPr>
        <w:t> </w:t>
      </w:r>
      <w:r w:rsidRPr="003F7316">
        <w:rPr>
          <w:lang w:val="es-ES"/>
        </w:rPr>
        <w:t xml:space="preserve">% del presupuesto, cifra que seguirá aumentando posteriormente. </w:t>
      </w:r>
    </w:p>
    <w:p w14:paraId="5F40305E" w14:textId="382E68BC" w:rsidR="00B15980" w:rsidRPr="003F7316" w:rsidRDefault="00B15980" w:rsidP="00B15980">
      <w:pPr>
        <w:pStyle w:val="FigureNoTitle"/>
        <w:rPr>
          <w:lang w:val="es-ES"/>
        </w:rPr>
      </w:pPr>
      <w:r w:rsidRPr="003F7316">
        <w:rPr>
          <w:lang w:val="es-ES"/>
        </w:rPr>
        <w:lastRenderedPageBreak/>
        <w:t>Importe correspondiente a los pagos con cargo a los ingresos corrientes y porcentaje respecto de las nóminas anuales</w:t>
      </w:r>
      <w:r w:rsidRPr="003F7316">
        <w:rPr>
          <w:lang w:val="es-ES"/>
        </w:rPr>
        <w:br/>
      </w:r>
      <w:r w:rsidRPr="003F7316">
        <w:rPr>
          <w:b w:val="0"/>
          <w:sz w:val="18"/>
          <w:lang w:val="es-ES"/>
        </w:rPr>
        <w:t>Importes anuales correspondientes a los pagos con cargo a los ingresos corrientes, y porcentaje respecto de las nóminas anuales, indicada en cada columna</w:t>
      </w:r>
    </w:p>
    <w:p w14:paraId="22270975" w14:textId="1EAF2630" w:rsidR="00132584" w:rsidRPr="003F7316" w:rsidRDefault="00682617" w:rsidP="008C32E2">
      <w:pPr>
        <w:pStyle w:val="Figure"/>
        <w:sectPr w:rsidR="00132584" w:rsidRPr="003F7316" w:rsidSect="006A6655">
          <w:pgSz w:w="16834" w:h="11907" w:orient="landscape"/>
          <w:pgMar w:top="1418" w:right="1418" w:bottom="1418" w:left="1418" w:header="720" w:footer="720" w:gutter="0"/>
          <w:paperSrc w:first="286" w:other="286"/>
          <w:cols w:space="720"/>
          <w:docGrid w:linePitch="326"/>
        </w:sectPr>
      </w:pPr>
      <w:r w:rsidRPr="003F7316">
        <w:drawing>
          <wp:inline distT="0" distB="0" distL="0" distR="0" wp14:anchorId="3B8D8704" wp14:editId="0A266EA3">
            <wp:extent cx="8888730" cy="3943985"/>
            <wp:effectExtent l="0" t="0" r="7620" b="0"/>
            <wp:docPr id="17822139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88730" cy="3943985"/>
                    </a:xfrm>
                    <a:prstGeom prst="rect">
                      <a:avLst/>
                    </a:prstGeom>
                    <a:noFill/>
                    <a:ln>
                      <a:noFill/>
                    </a:ln>
                  </pic:spPr>
                </pic:pic>
              </a:graphicData>
            </a:graphic>
          </wp:inline>
        </w:drawing>
      </w:r>
    </w:p>
    <w:p w14:paraId="4EA292D0" w14:textId="77777777" w:rsidR="006A6655" w:rsidRPr="003F7316" w:rsidRDefault="006A6655" w:rsidP="006A6655">
      <w:pPr>
        <w:rPr>
          <w:lang w:val="es-ES"/>
        </w:rPr>
      </w:pPr>
      <w:r w:rsidRPr="003F7316">
        <w:rPr>
          <w:lang w:val="es-ES"/>
        </w:rPr>
        <w:lastRenderedPageBreak/>
        <w:t>4.4</w:t>
      </w:r>
      <w:r w:rsidRPr="003F7316">
        <w:rPr>
          <w:lang w:val="es-ES"/>
        </w:rPr>
        <w:tab/>
        <w:t>Una estrategia de financiación más sólida permitiría:</w:t>
      </w:r>
    </w:p>
    <w:p w14:paraId="4DE71013" w14:textId="3EF7E5E4" w:rsidR="006A6655" w:rsidRPr="003F7316" w:rsidRDefault="006A6655" w:rsidP="008C32E2">
      <w:pPr>
        <w:pStyle w:val="enumlev1"/>
        <w:rPr>
          <w:lang w:val="es-ES"/>
        </w:rPr>
      </w:pPr>
      <w:r w:rsidRPr="003F7316">
        <w:rPr>
          <w:lang w:val="es-ES"/>
        </w:rPr>
        <w:t>–</w:t>
      </w:r>
      <w:r w:rsidRPr="003F7316">
        <w:rPr>
          <w:lang w:val="es-ES"/>
        </w:rPr>
        <w:tab/>
        <w:t>mejorar la situación de los activos netos de la</w:t>
      </w:r>
      <w:r w:rsidR="00132584" w:rsidRPr="003F7316">
        <w:rPr>
          <w:lang w:val="es-ES"/>
        </w:rPr>
        <w:t> </w:t>
      </w:r>
      <w:r w:rsidRPr="003F7316">
        <w:rPr>
          <w:lang w:val="es-ES"/>
        </w:rPr>
        <w:t>Organización;</w:t>
      </w:r>
    </w:p>
    <w:p w14:paraId="346092ED" w14:textId="77777777" w:rsidR="006A6655" w:rsidRPr="003F7316" w:rsidRDefault="006A6655" w:rsidP="008C32E2">
      <w:pPr>
        <w:pStyle w:val="enumlev1"/>
        <w:rPr>
          <w:lang w:val="es-ES"/>
        </w:rPr>
      </w:pPr>
      <w:r w:rsidRPr="003F7316">
        <w:rPr>
          <w:lang w:val="es-ES"/>
        </w:rPr>
        <w:t>–</w:t>
      </w:r>
      <w:r w:rsidRPr="003F7316">
        <w:rPr>
          <w:lang w:val="es-ES"/>
        </w:rPr>
        <w:tab/>
        <w:t>reducir el riesgo financiero a largo plazo;</w:t>
      </w:r>
    </w:p>
    <w:p w14:paraId="77F168C2" w14:textId="77777777" w:rsidR="006A6655" w:rsidRPr="003F7316" w:rsidRDefault="006A6655" w:rsidP="008C32E2">
      <w:pPr>
        <w:pStyle w:val="enumlev1"/>
        <w:rPr>
          <w:lang w:val="es-ES"/>
        </w:rPr>
      </w:pPr>
      <w:r w:rsidRPr="003F7316">
        <w:rPr>
          <w:lang w:val="es-ES"/>
        </w:rPr>
        <w:t>–</w:t>
      </w:r>
      <w:r w:rsidRPr="003F7316">
        <w:rPr>
          <w:lang w:val="es-ES"/>
        </w:rPr>
        <w:tab/>
        <w:t>mejorar la resiliencia frente a una evolución actuarial desfavorable;</w:t>
      </w:r>
    </w:p>
    <w:p w14:paraId="034CD271" w14:textId="77777777" w:rsidR="006A6655" w:rsidRPr="003F7316" w:rsidRDefault="006A6655" w:rsidP="008C32E2">
      <w:pPr>
        <w:pStyle w:val="enumlev1"/>
        <w:rPr>
          <w:lang w:val="es-ES"/>
        </w:rPr>
      </w:pPr>
      <w:r w:rsidRPr="003F7316">
        <w:rPr>
          <w:lang w:val="es-ES"/>
        </w:rPr>
        <w:t>–</w:t>
      </w:r>
      <w:r w:rsidRPr="003F7316">
        <w:rPr>
          <w:lang w:val="es-ES"/>
        </w:rPr>
        <w:tab/>
        <w:t xml:space="preserve">mejorar la confianza de los auditores externos y de las partes interesadas externas; </w:t>
      </w:r>
    </w:p>
    <w:p w14:paraId="3531E52F" w14:textId="473B24A9" w:rsidR="006A6655" w:rsidRPr="003F7316" w:rsidRDefault="006A6655" w:rsidP="008C32E2">
      <w:pPr>
        <w:pStyle w:val="enumlev1"/>
        <w:rPr>
          <w:lang w:val="es-ES"/>
        </w:rPr>
      </w:pPr>
      <w:r w:rsidRPr="003F7316">
        <w:rPr>
          <w:lang w:val="es-ES"/>
        </w:rPr>
        <w:t>–</w:t>
      </w:r>
      <w:r w:rsidRPr="003F7316">
        <w:rPr>
          <w:lang w:val="es-ES"/>
        </w:rPr>
        <w:tab/>
        <w:t>demostrar una gestión financiera y una administración prudentes de las contribuciones de los Estados Miembros.</w:t>
      </w:r>
    </w:p>
    <w:p w14:paraId="56321564" w14:textId="77777777" w:rsidR="006A6655" w:rsidRPr="003F7316" w:rsidRDefault="006A6655" w:rsidP="006A6655">
      <w:pPr>
        <w:pStyle w:val="Headingb"/>
        <w:rPr>
          <w:lang w:val="es-ES"/>
        </w:rPr>
      </w:pPr>
      <w:r w:rsidRPr="003F7316">
        <w:rPr>
          <w:lang w:val="es-ES"/>
        </w:rPr>
        <w:t>Equidad</w:t>
      </w:r>
      <w:r w:rsidRPr="003F7316">
        <w:rPr>
          <w:bCs/>
          <w:lang w:val="es-ES"/>
        </w:rPr>
        <w:t xml:space="preserve"> </w:t>
      </w:r>
      <w:r w:rsidRPr="003F7316">
        <w:rPr>
          <w:lang w:val="es-ES"/>
        </w:rPr>
        <w:t>intergeneracional</w:t>
      </w:r>
    </w:p>
    <w:p w14:paraId="5A6B7B96" w14:textId="131609F5" w:rsidR="006A6655" w:rsidRPr="003F7316" w:rsidRDefault="006A6655" w:rsidP="00F666F2">
      <w:pPr>
        <w:rPr>
          <w:lang w:val="es-ES"/>
        </w:rPr>
      </w:pPr>
      <w:r w:rsidRPr="003F7316">
        <w:rPr>
          <w:lang w:val="es-ES"/>
        </w:rPr>
        <w:t>4.5</w:t>
      </w:r>
      <w:r w:rsidRPr="003F7316">
        <w:rPr>
          <w:lang w:val="es-ES"/>
        </w:rPr>
        <w:tab/>
        <w:t>Los derechos a las prestaciones del</w:t>
      </w:r>
      <w:r w:rsidR="00132584" w:rsidRPr="003F7316">
        <w:rPr>
          <w:lang w:val="es-ES"/>
        </w:rPr>
        <w:t> </w:t>
      </w:r>
      <w:r w:rsidRPr="003F7316">
        <w:rPr>
          <w:lang w:val="es-ES"/>
        </w:rPr>
        <w:t>ASHI se adquieren en virtud de los servicios prestados en la actualidad, pero las prestaciones se abonan muchos años después. Un principio fundamental de una buena gobernanza financiera es que las obligaciones deberían financiarse progresivamente a medida que se contraen, en lugar de trasladarlas a las generaciones futuras de los Estados Miembros.</w:t>
      </w:r>
    </w:p>
    <w:p w14:paraId="687116A9" w14:textId="77777777" w:rsidR="006A6655" w:rsidRPr="003F7316" w:rsidRDefault="006A6655" w:rsidP="00F666F2">
      <w:pPr>
        <w:rPr>
          <w:lang w:val="es-ES"/>
        </w:rPr>
      </w:pPr>
      <w:r w:rsidRPr="003F7316">
        <w:rPr>
          <w:lang w:val="es-ES"/>
        </w:rPr>
        <w:t>4.6</w:t>
      </w:r>
      <w:r w:rsidRPr="003F7316">
        <w:rPr>
          <w:lang w:val="es-ES"/>
        </w:rPr>
        <w:tab/>
        <w:t>Un enfoque de financiación estructurado garantizaría un reparto más equitativo de los costes entre generaciones y reduciría el riesgo de que surgieran necesidades de financiación significativas en el futuro. Este enfoque se ajusta a los principios de gestión financiera del sector público reconocidos internacionalmente.</w:t>
      </w:r>
    </w:p>
    <w:p w14:paraId="557F442F" w14:textId="77777777" w:rsidR="006A6655" w:rsidRPr="003F7316" w:rsidRDefault="006A6655" w:rsidP="006A6655">
      <w:pPr>
        <w:pStyle w:val="Headingb"/>
        <w:rPr>
          <w:lang w:val="es-ES"/>
        </w:rPr>
      </w:pPr>
      <w:r w:rsidRPr="003F7316">
        <w:rPr>
          <w:lang w:val="es-ES"/>
        </w:rPr>
        <w:t>Conformidad</w:t>
      </w:r>
      <w:r w:rsidRPr="003F7316">
        <w:rPr>
          <w:bCs/>
          <w:lang w:val="es-ES"/>
        </w:rPr>
        <w:t xml:space="preserve"> con las prácticas internacionales</w:t>
      </w:r>
    </w:p>
    <w:p w14:paraId="0E67A368" w14:textId="56EE5ADA" w:rsidR="006A6655" w:rsidRPr="003F7316" w:rsidRDefault="006A6655" w:rsidP="00F666F2">
      <w:pPr>
        <w:rPr>
          <w:lang w:val="es-ES"/>
        </w:rPr>
      </w:pPr>
      <w:r w:rsidRPr="003F7316">
        <w:rPr>
          <w:lang w:val="es-ES"/>
        </w:rPr>
        <w:t>4.7</w:t>
      </w:r>
      <w:r w:rsidRPr="003F7316">
        <w:rPr>
          <w:lang w:val="es-ES"/>
        </w:rPr>
        <w:tab/>
        <w:t>El reto que supone la financiación de las obligaciones en concepto de prestaciones posteriores al cese en el servicio no es exclusivo de la</w:t>
      </w:r>
      <w:r w:rsidR="00132584" w:rsidRPr="003F7316">
        <w:rPr>
          <w:lang w:val="es-ES"/>
        </w:rPr>
        <w:t> </w:t>
      </w:r>
      <w:r w:rsidRPr="003F7316">
        <w:rPr>
          <w:lang w:val="es-ES"/>
        </w:rPr>
        <w:t>Unión. En el seno del sistema de las</w:t>
      </w:r>
      <w:r w:rsidR="00132584" w:rsidRPr="003F7316">
        <w:rPr>
          <w:lang w:val="es-ES"/>
        </w:rPr>
        <w:t> </w:t>
      </w:r>
      <w:r w:rsidRPr="003F7316">
        <w:rPr>
          <w:lang w:val="es-ES"/>
        </w:rPr>
        <w:t>Naciones Unidas y de otras organizaciones internacionales ya se han adoptado estrategias formales de financiación del</w:t>
      </w:r>
      <w:r w:rsidR="00132584" w:rsidRPr="003F7316">
        <w:rPr>
          <w:lang w:val="es-ES"/>
        </w:rPr>
        <w:t> </w:t>
      </w:r>
      <w:r w:rsidRPr="003F7316">
        <w:rPr>
          <w:lang w:val="es-ES"/>
        </w:rPr>
        <w:t>ASHI. Estas organizaciones han acumulado progresivamente activos específicos mediante una combinación de contribuciones presupuestarias, mecanismos de financiación basados en las nóminas, rendimiento de las inversiones y transferencias de reservas.</w:t>
      </w:r>
    </w:p>
    <w:p w14:paraId="38F48893" w14:textId="1C944471" w:rsidR="006A6655" w:rsidRPr="003F7316" w:rsidRDefault="006A6655" w:rsidP="00F666F2">
      <w:pPr>
        <w:rPr>
          <w:lang w:val="es-ES"/>
        </w:rPr>
      </w:pPr>
      <w:r w:rsidRPr="003F7316">
        <w:rPr>
          <w:lang w:val="es-ES"/>
        </w:rPr>
        <w:t>4.8</w:t>
      </w:r>
      <w:r w:rsidRPr="003F7316">
        <w:rPr>
          <w:lang w:val="es-ES"/>
        </w:rPr>
        <w:tab/>
        <w:t>La evaluación comparativa entre organizaciones y organismos de las</w:t>
      </w:r>
      <w:r w:rsidR="001316A4" w:rsidRPr="003F7316">
        <w:rPr>
          <w:lang w:val="es-ES"/>
        </w:rPr>
        <w:t> </w:t>
      </w:r>
      <w:r w:rsidRPr="003F7316">
        <w:rPr>
          <w:lang w:val="es-ES"/>
        </w:rPr>
        <w:t>Naciones Unidas muestra ejemplos de entidades que tienen como objetivo alcanzar distintos niveles de financiación, desde una cobertura parcial hasta una financiación total, y algunas de ellas ya han alcanzado niveles elevados o completos de cobertura de sus obligaciones.</w:t>
      </w:r>
    </w:p>
    <w:p w14:paraId="1828474C" w14:textId="4959C53F" w:rsidR="006A6655" w:rsidRPr="003F7316" w:rsidRDefault="006A6655" w:rsidP="00F666F2">
      <w:pPr>
        <w:rPr>
          <w:lang w:val="es-ES"/>
        </w:rPr>
      </w:pPr>
      <w:r w:rsidRPr="003F7316">
        <w:rPr>
          <w:lang w:val="es-ES"/>
        </w:rPr>
        <w:t>4.9</w:t>
      </w:r>
      <w:r w:rsidRPr="003F7316">
        <w:rPr>
          <w:lang w:val="es-ES"/>
        </w:rPr>
        <w:tab/>
        <w:t>Por lo tanto, el establecimiento de una estrategia estructurada también representaría una convergencia positiva de la</w:t>
      </w:r>
      <w:r w:rsidR="001316A4" w:rsidRPr="003F7316">
        <w:rPr>
          <w:lang w:val="es-ES"/>
        </w:rPr>
        <w:t> </w:t>
      </w:r>
      <w:r w:rsidRPr="003F7316">
        <w:rPr>
          <w:lang w:val="es-ES"/>
        </w:rPr>
        <w:t>UIT con la tendencia creciente en el seno de las</w:t>
      </w:r>
      <w:r w:rsidR="001316A4" w:rsidRPr="003F7316">
        <w:rPr>
          <w:lang w:val="es-ES"/>
        </w:rPr>
        <w:t> </w:t>
      </w:r>
      <w:r w:rsidRPr="003F7316">
        <w:rPr>
          <w:lang w:val="es-ES"/>
        </w:rPr>
        <w:t xml:space="preserve">Naciones Unidas de abordar las obligaciones posteriores al cese en el servicio mecanismos de financiación estructurados y sostenibles. </w:t>
      </w:r>
    </w:p>
    <w:p w14:paraId="5C43E48E" w14:textId="4DF8CD50" w:rsidR="006A6655" w:rsidRPr="003F7316" w:rsidRDefault="006A6655" w:rsidP="00682617">
      <w:pPr>
        <w:keepNext/>
        <w:keepLines/>
        <w:rPr>
          <w:lang w:val="es-ES"/>
        </w:rPr>
      </w:pPr>
      <w:r w:rsidRPr="003F7316">
        <w:rPr>
          <w:lang w:val="es-ES"/>
        </w:rPr>
        <w:t>4.10</w:t>
      </w:r>
      <w:r w:rsidRPr="003F7316">
        <w:rPr>
          <w:lang w:val="es-ES"/>
        </w:rPr>
        <w:tab/>
        <w:t>Como se muestra en el siguiente gráfico, el nivel de financiación del</w:t>
      </w:r>
      <w:r w:rsidR="003F7316" w:rsidRPr="003F7316">
        <w:rPr>
          <w:lang w:val="es-ES"/>
        </w:rPr>
        <w:t> </w:t>
      </w:r>
      <w:r w:rsidRPr="003F7316">
        <w:rPr>
          <w:lang w:val="es-ES"/>
        </w:rPr>
        <w:t>ASHI de la</w:t>
      </w:r>
      <w:r w:rsidR="003F7316" w:rsidRPr="003F7316">
        <w:rPr>
          <w:lang w:val="es-ES"/>
        </w:rPr>
        <w:t> </w:t>
      </w:r>
      <w:r w:rsidRPr="003F7316">
        <w:rPr>
          <w:lang w:val="es-ES"/>
        </w:rPr>
        <w:t>UIT sigue siendo considerablemente inferior al de las principales organizaciones con pasivos comparables. En lo que respecta a las organizaciones del ecosistema de las</w:t>
      </w:r>
      <w:r w:rsidR="003F7316" w:rsidRPr="003F7316">
        <w:rPr>
          <w:lang w:val="es-ES"/>
        </w:rPr>
        <w:t> </w:t>
      </w:r>
      <w:r w:rsidRPr="003F7316">
        <w:rPr>
          <w:lang w:val="es-ES"/>
        </w:rPr>
        <w:t>Naciones Unidas que, a finales de</w:t>
      </w:r>
      <w:r w:rsidR="003F7316" w:rsidRPr="003F7316">
        <w:rPr>
          <w:lang w:val="es-ES"/>
        </w:rPr>
        <w:t> </w:t>
      </w:r>
      <w:r w:rsidRPr="003F7316">
        <w:rPr>
          <w:lang w:val="es-ES"/>
        </w:rPr>
        <w:t>2025, registraban un pasivo del</w:t>
      </w:r>
      <w:r w:rsidR="003F7316" w:rsidRPr="003F7316">
        <w:rPr>
          <w:lang w:val="es-ES"/>
        </w:rPr>
        <w:t> </w:t>
      </w:r>
      <w:r w:rsidRPr="003F7316">
        <w:rPr>
          <w:lang w:val="es-ES"/>
        </w:rPr>
        <w:t>ASHI superior a 50</w:t>
      </w:r>
      <w:r w:rsidR="003F7316" w:rsidRPr="003F7316">
        <w:rPr>
          <w:lang w:val="es-ES"/>
        </w:rPr>
        <w:t> </w:t>
      </w:r>
      <w:r w:rsidRPr="003F7316">
        <w:rPr>
          <w:lang w:val="es-ES"/>
        </w:rPr>
        <w:t>millones en sus respectivas divisas de referencia, cabe señalar los siguientes aspectos:</w:t>
      </w:r>
    </w:p>
    <w:p w14:paraId="33A41366" w14:textId="33473964" w:rsidR="006A6655" w:rsidRPr="003F7316" w:rsidRDefault="006A6655" w:rsidP="008C32E2">
      <w:pPr>
        <w:pStyle w:val="enumlev1"/>
        <w:rPr>
          <w:lang w:val="es-ES"/>
        </w:rPr>
      </w:pPr>
      <w:r w:rsidRPr="003F7316">
        <w:rPr>
          <w:lang w:val="es-ES"/>
        </w:rPr>
        <w:t>–</w:t>
      </w:r>
      <w:r w:rsidRPr="003F7316">
        <w:rPr>
          <w:lang w:val="es-ES"/>
        </w:rPr>
        <w:tab/>
        <w:t>la cobertura media se sitúa en el 64</w:t>
      </w:r>
      <w:r w:rsidR="003F7316" w:rsidRPr="003F7316">
        <w:rPr>
          <w:lang w:val="es-ES"/>
        </w:rPr>
        <w:t> </w:t>
      </w:r>
      <w:r w:rsidRPr="003F7316">
        <w:rPr>
          <w:lang w:val="es-ES"/>
        </w:rPr>
        <w:t>%, mientras que la de la</w:t>
      </w:r>
      <w:r w:rsidR="003F7316" w:rsidRPr="003F7316">
        <w:rPr>
          <w:lang w:val="es-ES"/>
        </w:rPr>
        <w:t> </w:t>
      </w:r>
      <w:r w:rsidRPr="003F7316">
        <w:rPr>
          <w:lang w:val="es-ES"/>
        </w:rPr>
        <w:t>UIT es del 4</w:t>
      </w:r>
      <w:r w:rsidR="003F7316" w:rsidRPr="003F7316">
        <w:rPr>
          <w:lang w:val="es-ES"/>
        </w:rPr>
        <w:t> </w:t>
      </w:r>
      <w:r w:rsidRPr="003F7316">
        <w:rPr>
          <w:lang w:val="es-ES"/>
        </w:rPr>
        <w:t>%</w:t>
      </w:r>
      <w:r w:rsidR="003F7316" w:rsidRPr="003F7316">
        <w:rPr>
          <w:lang w:val="es-ES"/>
        </w:rPr>
        <w:t>;</w:t>
      </w:r>
    </w:p>
    <w:p w14:paraId="3888F48A" w14:textId="4FF0A79B" w:rsidR="006A6655" w:rsidRPr="003F7316" w:rsidRDefault="006A6655" w:rsidP="008C32E2">
      <w:pPr>
        <w:pStyle w:val="enumlev1"/>
        <w:rPr>
          <w:lang w:val="es-ES"/>
        </w:rPr>
      </w:pPr>
      <w:r w:rsidRPr="003F7316">
        <w:rPr>
          <w:lang w:val="es-ES"/>
        </w:rPr>
        <w:t>–</w:t>
      </w:r>
      <w:r w:rsidRPr="003F7316">
        <w:rPr>
          <w:lang w:val="es-ES"/>
        </w:rPr>
        <w:tab/>
        <w:t>las organizaciones con un pasivo del</w:t>
      </w:r>
      <w:r w:rsidR="003F7316" w:rsidRPr="003F7316">
        <w:rPr>
          <w:lang w:val="es-ES"/>
        </w:rPr>
        <w:t> </w:t>
      </w:r>
      <w:r w:rsidRPr="003F7316">
        <w:rPr>
          <w:lang w:val="es-ES"/>
        </w:rPr>
        <w:t>ASHI superior al de la</w:t>
      </w:r>
      <w:r w:rsidR="003F7316" w:rsidRPr="003F7316">
        <w:rPr>
          <w:lang w:val="es-ES"/>
        </w:rPr>
        <w:t> </w:t>
      </w:r>
      <w:r w:rsidRPr="003F7316">
        <w:rPr>
          <w:lang w:val="es-ES"/>
        </w:rPr>
        <w:t>UIT tienen una cobertura media del 68</w:t>
      </w:r>
      <w:r w:rsidR="003F7316" w:rsidRPr="003F7316">
        <w:rPr>
          <w:lang w:val="es-ES"/>
        </w:rPr>
        <w:t> </w:t>
      </w:r>
      <w:r w:rsidRPr="003F7316">
        <w:rPr>
          <w:lang w:val="es-ES"/>
        </w:rPr>
        <w:t>%</w:t>
      </w:r>
      <w:r w:rsidR="003F7316" w:rsidRPr="003F7316">
        <w:rPr>
          <w:lang w:val="es-ES"/>
        </w:rPr>
        <w:t>;</w:t>
      </w:r>
    </w:p>
    <w:p w14:paraId="35530545" w14:textId="4A361063" w:rsidR="001316A4" w:rsidRPr="003F7316" w:rsidRDefault="006A6655" w:rsidP="008C32E2">
      <w:pPr>
        <w:pStyle w:val="enumlev1"/>
        <w:rPr>
          <w:lang w:val="es-ES"/>
        </w:rPr>
      </w:pPr>
      <w:r w:rsidRPr="003F7316">
        <w:rPr>
          <w:lang w:val="es-ES"/>
        </w:rPr>
        <w:t>–</w:t>
      </w:r>
      <w:r w:rsidRPr="003F7316">
        <w:rPr>
          <w:lang w:val="es-ES"/>
        </w:rPr>
        <w:tab/>
        <w:t xml:space="preserve">solo </w:t>
      </w:r>
      <w:r w:rsidR="003F7316" w:rsidRPr="003F7316">
        <w:rPr>
          <w:lang w:val="es-ES"/>
        </w:rPr>
        <w:t>seis</w:t>
      </w:r>
      <w:r w:rsidRPr="003F7316">
        <w:rPr>
          <w:lang w:val="es-ES"/>
        </w:rPr>
        <w:t xml:space="preserve"> organizaciones tienen una cobertura de financiación inferior a la de la</w:t>
      </w:r>
      <w:r w:rsidR="003F7316">
        <w:rPr>
          <w:lang w:val="es-ES"/>
        </w:rPr>
        <w:t> </w:t>
      </w:r>
      <w:r w:rsidRPr="003F7316">
        <w:rPr>
          <w:lang w:val="es-ES"/>
        </w:rPr>
        <w:t>UIT.</w:t>
      </w:r>
    </w:p>
    <w:p w14:paraId="7C327FD5" w14:textId="1B860A95" w:rsidR="001316A4" w:rsidRPr="003F7316" w:rsidRDefault="001316A4" w:rsidP="008C32E2">
      <w:pPr>
        <w:pStyle w:val="enumlev1"/>
        <w:rPr>
          <w:lang w:val="es-ES"/>
        </w:rPr>
        <w:sectPr w:rsidR="001316A4" w:rsidRPr="003F7316" w:rsidSect="006A6655">
          <w:pgSz w:w="11907" w:h="16834"/>
          <w:pgMar w:top="1418" w:right="1418" w:bottom="1418" w:left="1418" w:header="720" w:footer="720" w:gutter="0"/>
          <w:paperSrc w:first="286" w:other="286"/>
          <w:cols w:space="720"/>
          <w:docGrid w:linePitch="326"/>
        </w:sectPr>
      </w:pPr>
    </w:p>
    <w:p w14:paraId="5FFF6985" w14:textId="64E2A9DE" w:rsidR="00751531" w:rsidRPr="003F7316" w:rsidRDefault="00751531" w:rsidP="00C33625">
      <w:pPr>
        <w:pStyle w:val="FigureNoTitle"/>
        <w:rPr>
          <w:b w:val="0"/>
          <w:sz w:val="18"/>
          <w:lang w:val="es-ES"/>
        </w:rPr>
      </w:pPr>
      <w:r w:rsidRPr="003F7316">
        <w:rPr>
          <w:lang w:val="es-ES"/>
        </w:rPr>
        <w:lastRenderedPageBreak/>
        <w:t>Pasivo del ASHI y cobertura de financiación por entidad</w:t>
      </w:r>
      <w:r w:rsidRPr="003F7316">
        <w:rPr>
          <w:lang w:val="es-ES"/>
        </w:rPr>
        <w:br/>
      </w:r>
      <w:r w:rsidRPr="003F7316">
        <w:rPr>
          <w:b w:val="0"/>
          <w:sz w:val="18"/>
          <w:lang w:val="es-ES"/>
        </w:rPr>
        <w:t>Organizaciones con un pasivo del ASHI superior a 50</w:t>
      </w:r>
      <w:r w:rsidR="003F7316">
        <w:rPr>
          <w:b w:val="0"/>
          <w:sz w:val="18"/>
          <w:lang w:val="es-ES"/>
        </w:rPr>
        <w:t> </w:t>
      </w:r>
      <w:r w:rsidRPr="003F7316">
        <w:rPr>
          <w:b w:val="0"/>
          <w:sz w:val="18"/>
          <w:lang w:val="es-ES"/>
        </w:rPr>
        <w:t>millones</w:t>
      </w:r>
      <w:r w:rsidR="003F7316">
        <w:rPr>
          <w:b w:val="0"/>
          <w:sz w:val="18"/>
          <w:lang w:val="es-ES"/>
        </w:rPr>
        <w:t xml:space="preserve"> </w:t>
      </w:r>
      <w:r w:rsidRPr="003F7316">
        <w:rPr>
          <w:b w:val="0"/>
          <w:sz w:val="18"/>
          <w:lang w:val="es-ES"/>
        </w:rPr>
        <w:t>| Las divisas distintas del USD se indican debajo de los nombres de las entidades</w:t>
      </w:r>
    </w:p>
    <w:p w14:paraId="385F0B49" w14:textId="6ACC5EAB" w:rsidR="00751531" w:rsidRPr="003F7316" w:rsidRDefault="009717A1" w:rsidP="008C32E2">
      <w:pPr>
        <w:pStyle w:val="Figure"/>
        <w:sectPr w:rsidR="00751531" w:rsidRPr="003F7316" w:rsidSect="006A6655">
          <w:pgSz w:w="16834" w:h="11907" w:orient="landscape"/>
          <w:pgMar w:top="1418" w:right="1418" w:bottom="1418" w:left="1418" w:header="720" w:footer="720" w:gutter="0"/>
          <w:paperSrc w:first="286" w:other="286"/>
          <w:cols w:space="720"/>
          <w:docGrid w:linePitch="326"/>
        </w:sectPr>
      </w:pPr>
      <w:r w:rsidRPr="003F7316">
        <w:drawing>
          <wp:inline distT="0" distB="0" distL="0" distR="0" wp14:anchorId="46F1BF37" wp14:editId="6448C35A">
            <wp:extent cx="8888730" cy="4262755"/>
            <wp:effectExtent l="0" t="0" r="0" b="4445"/>
            <wp:docPr id="46324659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88730" cy="4262755"/>
                    </a:xfrm>
                    <a:prstGeom prst="rect">
                      <a:avLst/>
                    </a:prstGeom>
                    <a:noFill/>
                    <a:ln>
                      <a:noFill/>
                    </a:ln>
                  </pic:spPr>
                </pic:pic>
              </a:graphicData>
            </a:graphic>
          </wp:inline>
        </w:drawing>
      </w:r>
    </w:p>
    <w:p w14:paraId="3140C191" w14:textId="466D6598" w:rsidR="006A6655" w:rsidRPr="003F7316" w:rsidRDefault="006A6655" w:rsidP="006A6655">
      <w:pPr>
        <w:pStyle w:val="Heading1"/>
        <w:rPr>
          <w:lang w:val="es-ES"/>
        </w:rPr>
      </w:pPr>
      <w:r w:rsidRPr="003F7316">
        <w:rPr>
          <w:bCs/>
          <w:lang w:val="es-ES"/>
        </w:rPr>
        <w:lastRenderedPageBreak/>
        <w:t>5</w:t>
      </w:r>
      <w:r w:rsidRPr="003F7316">
        <w:rPr>
          <w:lang w:val="es-ES"/>
        </w:rPr>
        <w:tab/>
      </w:r>
      <w:r w:rsidRPr="003F7316">
        <w:rPr>
          <w:bCs/>
          <w:lang w:val="es-ES"/>
        </w:rPr>
        <w:t>Propuesta de estrategia y marco de financiación</w:t>
      </w:r>
    </w:p>
    <w:p w14:paraId="1C4EAD8C" w14:textId="77777777" w:rsidR="006A6655" w:rsidRPr="003F7316" w:rsidRDefault="006A6655" w:rsidP="00F666F2">
      <w:pPr>
        <w:rPr>
          <w:lang w:val="es-ES"/>
        </w:rPr>
      </w:pPr>
      <w:r w:rsidRPr="003F7316">
        <w:rPr>
          <w:lang w:val="es-ES"/>
        </w:rPr>
        <w:t>5.1</w:t>
      </w:r>
      <w:r w:rsidRPr="003F7316">
        <w:rPr>
          <w:lang w:val="es-ES"/>
        </w:rPr>
        <w:tab/>
        <w:t>Teniendo en cuenta las actuales limitaciones presupuestarias, el objetivo debería fijarse siguiendo una hoja de ruta a largo plazo que sea realista y cuantificable.</w:t>
      </w:r>
    </w:p>
    <w:p w14:paraId="11648D7B" w14:textId="77777777" w:rsidR="006A6655" w:rsidRPr="003F7316" w:rsidRDefault="006A6655" w:rsidP="003F7316">
      <w:pPr>
        <w:pStyle w:val="Headingb"/>
        <w:rPr>
          <w:lang w:val="es-ES"/>
        </w:rPr>
      </w:pPr>
      <w:r w:rsidRPr="003F7316">
        <w:rPr>
          <w:lang w:val="es-ES"/>
        </w:rPr>
        <w:t>Establecer objetivos de financiación y escenarios ilustrativos</w:t>
      </w:r>
    </w:p>
    <w:p w14:paraId="5994754F" w14:textId="77777777" w:rsidR="006A6655" w:rsidRPr="003F7316" w:rsidRDefault="006A6655" w:rsidP="00F666F2">
      <w:pPr>
        <w:rPr>
          <w:lang w:val="es-ES"/>
        </w:rPr>
      </w:pPr>
      <w:r w:rsidRPr="003F7316">
        <w:rPr>
          <w:lang w:val="es-ES"/>
        </w:rPr>
        <w:t>5.2</w:t>
      </w:r>
      <w:r w:rsidRPr="003F7316">
        <w:rPr>
          <w:lang w:val="es-ES"/>
        </w:rPr>
        <w:tab/>
        <w:t>Los Estados Miembros deberían considerar la posibilidad de adoptar un objetivo de financiación formal, respaldado por hitos intermedios y un seguimiento periódico.</w:t>
      </w:r>
    </w:p>
    <w:p w14:paraId="2F65386F" w14:textId="77777777" w:rsidR="006A6655" w:rsidRPr="003F7316" w:rsidRDefault="006A6655" w:rsidP="006A6655">
      <w:pPr>
        <w:rPr>
          <w:lang w:val="es-ES"/>
        </w:rPr>
      </w:pPr>
      <w:r w:rsidRPr="003F7316">
        <w:rPr>
          <w:lang w:val="es-ES"/>
        </w:rPr>
        <w:t>Entre los objetivos ilustrativos podrían figurar los siguientes:</w:t>
      </w:r>
    </w:p>
    <w:p w14:paraId="5932C0E8" w14:textId="798B0160" w:rsidR="006A6655" w:rsidRPr="003F7316" w:rsidRDefault="006A6655" w:rsidP="008C32E2">
      <w:pPr>
        <w:pStyle w:val="enumlev1"/>
        <w:rPr>
          <w:lang w:val="es-ES"/>
        </w:rPr>
      </w:pPr>
      <w:r w:rsidRPr="003F7316">
        <w:rPr>
          <w:lang w:val="es-ES"/>
        </w:rPr>
        <w:t>–</w:t>
      </w:r>
      <w:r w:rsidRPr="003F7316">
        <w:rPr>
          <w:lang w:val="es-ES"/>
        </w:rPr>
        <w:tab/>
        <w:t>lograr un coeficiente de financiación del 25</w:t>
      </w:r>
      <w:r w:rsidR="003F7316">
        <w:rPr>
          <w:lang w:val="es-ES"/>
        </w:rPr>
        <w:t> </w:t>
      </w:r>
      <w:r w:rsidRPr="003F7316">
        <w:rPr>
          <w:lang w:val="es-ES"/>
        </w:rPr>
        <w:t xml:space="preserve">% en un plazo de </w:t>
      </w:r>
      <w:r w:rsidR="002E3648">
        <w:rPr>
          <w:lang w:val="es-ES"/>
        </w:rPr>
        <w:t>15</w:t>
      </w:r>
      <w:r w:rsidRPr="003F7316">
        <w:rPr>
          <w:lang w:val="es-ES"/>
        </w:rPr>
        <w:t xml:space="preserve"> años;</w:t>
      </w:r>
    </w:p>
    <w:p w14:paraId="0B1F622C" w14:textId="63DE155B" w:rsidR="006A6655" w:rsidRPr="003F7316" w:rsidRDefault="006A6655" w:rsidP="008C32E2">
      <w:pPr>
        <w:pStyle w:val="enumlev1"/>
        <w:rPr>
          <w:lang w:val="es-ES"/>
        </w:rPr>
      </w:pPr>
      <w:r w:rsidRPr="003F7316">
        <w:rPr>
          <w:lang w:val="es-ES"/>
        </w:rPr>
        <w:t>–</w:t>
      </w:r>
      <w:r w:rsidRPr="003F7316">
        <w:rPr>
          <w:lang w:val="es-ES"/>
        </w:rPr>
        <w:tab/>
        <w:t>lograr un coeficiente de financiación del 50</w:t>
      </w:r>
      <w:r w:rsidR="003F7316">
        <w:rPr>
          <w:lang w:val="es-ES"/>
        </w:rPr>
        <w:t> </w:t>
      </w:r>
      <w:r w:rsidRPr="003F7316">
        <w:rPr>
          <w:lang w:val="es-ES"/>
        </w:rPr>
        <w:t xml:space="preserve">% en un plazo de </w:t>
      </w:r>
      <w:r w:rsidR="002E3648">
        <w:rPr>
          <w:lang w:val="es-ES"/>
        </w:rPr>
        <w:t>30</w:t>
      </w:r>
      <w:r w:rsidRPr="003F7316">
        <w:rPr>
          <w:lang w:val="es-ES"/>
        </w:rPr>
        <w:t xml:space="preserve"> años;</w:t>
      </w:r>
    </w:p>
    <w:p w14:paraId="4E05D5F3" w14:textId="60355FFA" w:rsidR="006A6655" w:rsidRPr="003F7316" w:rsidRDefault="006A6655" w:rsidP="008C32E2">
      <w:pPr>
        <w:pStyle w:val="enumlev1"/>
        <w:rPr>
          <w:lang w:val="es-ES"/>
        </w:rPr>
      </w:pPr>
      <w:r w:rsidRPr="003F7316">
        <w:rPr>
          <w:lang w:val="es-ES"/>
        </w:rPr>
        <w:t>–</w:t>
      </w:r>
      <w:r w:rsidRPr="003F7316">
        <w:rPr>
          <w:lang w:val="es-ES"/>
        </w:rPr>
        <w:tab/>
        <w:t>lograr un coeficiente de financiación del 75</w:t>
      </w:r>
      <w:r w:rsidR="003F7316">
        <w:rPr>
          <w:lang w:val="es-ES"/>
        </w:rPr>
        <w:t> </w:t>
      </w:r>
      <w:r w:rsidRPr="003F7316">
        <w:rPr>
          <w:lang w:val="es-ES"/>
        </w:rPr>
        <w:t xml:space="preserve">% en un plazo de </w:t>
      </w:r>
      <w:r w:rsidR="002E3648">
        <w:rPr>
          <w:lang w:val="es-ES"/>
        </w:rPr>
        <w:t>45</w:t>
      </w:r>
      <w:r w:rsidRPr="003F7316">
        <w:rPr>
          <w:lang w:val="es-ES"/>
        </w:rPr>
        <w:t xml:space="preserve"> años;</w:t>
      </w:r>
    </w:p>
    <w:p w14:paraId="50EDAC4F" w14:textId="77777777" w:rsidR="006A6655" w:rsidRPr="003F7316" w:rsidRDefault="006A6655" w:rsidP="008C32E2">
      <w:pPr>
        <w:pStyle w:val="enumlev1"/>
        <w:rPr>
          <w:lang w:val="es-ES"/>
        </w:rPr>
      </w:pPr>
      <w:r w:rsidRPr="003F7316">
        <w:rPr>
          <w:lang w:val="es-ES"/>
        </w:rPr>
        <w:t>–</w:t>
      </w:r>
      <w:r w:rsidRPr="003F7316">
        <w:rPr>
          <w:lang w:val="es-ES"/>
        </w:rPr>
        <w:tab/>
        <w:t>aumentar progresivamente la cobertura hasta superar esos niveles y alcanzar el objetivo a largo plazo.</w:t>
      </w:r>
    </w:p>
    <w:p w14:paraId="48F83528" w14:textId="6B160291" w:rsidR="006A6655" w:rsidRPr="003F7316" w:rsidRDefault="006A6655" w:rsidP="00EC4CA1">
      <w:pPr>
        <w:spacing w:after="240"/>
        <w:rPr>
          <w:lang w:val="es-ES"/>
        </w:rPr>
      </w:pPr>
      <w:r w:rsidRPr="003F7316">
        <w:rPr>
          <w:lang w:val="es-ES"/>
        </w:rPr>
        <w:t>5.3</w:t>
      </w:r>
      <w:r w:rsidRPr="003F7316">
        <w:rPr>
          <w:lang w:val="es-ES"/>
        </w:rPr>
        <w:tab/>
        <w:t>Entre los escenarios ilustrativos podrían figurar:</w:t>
      </w:r>
    </w:p>
    <w:tbl>
      <w:tblPr>
        <w:tblStyle w:val="TableGrid"/>
        <w:tblW w:w="5000" w:type="pct"/>
        <w:jc w:val="center"/>
        <w:tblLayout w:type="fixed"/>
        <w:tblLook w:val="04A0" w:firstRow="1" w:lastRow="0" w:firstColumn="1" w:lastColumn="0" w:noHBand="0" w:noVBand="1"/>
      </w:tblPr>
      <w:tblGrid>
        <w:gridCol w:w="3064"/>
        <w:gridCol w:w="3295"/>
        <w:gridCol w:w="3276"/>
      </w:tblGrid>
      <w:tr w:rsidR="006A6655" w:rsidRPr="003F7316" w14:paraId="018E9702" w14:textId="77777777" w:rsidTr="00EC4CA1">
        <w:trPr>
          <w:jc w:val="center"/>
        </w:trPr>
        <w:tc>
          <w:tcPr>
            <w:tcW w:w="3064" w:type="dxa"/>
            <w:vAlign w:val="center"/>
            <w:hideMark/>
          </w:tcPr>
          <w:p w14:paraId="5028F8A7" w14:textId="77777777" w:rsidR="006A6655" w:rsidRPr="003F7316" w:rsidRDefault="006A6655" w:rsidP="00F666F2">
            <w:pPr>
              <w:pStyle w:val="Tablehead"/>
              <w:rPr>
                <w:lang w:val="es-ES"/>
              </w:rPr>
            </w:pPr>
            <w:r w:rsidRPr="003F7316">
              <w:rPr>
                <w:lang w:val="es-ES"/>
              </w:rPr>
              <w:t>Periodo de amortización</w:t>
            </w:r>
          </w:p>
        </w:tc>
        <w:tc>
          <w:tcPr>
            <w:tcW w:w="3295" w:type="dxa"/>
            <w:hideMark/>
          </w:tcPr>
          <w:p w14:paraId="4ED7F19D" w14:textId="3E146201" w:rsidR="006A6655" w:rsidRPr="003F7316" w:rsidRDefault="006A6655" w:rsidP="00F666F2">
            <w:pPr>
              <w:pStyle w:val="Tablehead"/>
              <w:rPr>
                <w:lang w:val="es-ES"/>
              </w:rPr>
            </w:pPr>
            <w:r w:rsidRPr="003F7316">
              <w:rPr>
                <w:lang w:val="es-ES"/>
              </w:rPr>
              <w:t>Contribución anual</w:t>
            </w:r>
            <w:r w:rsidR="00F666F2" w:rsidRPr="003F7316">
              <w:rPr>
                <w:lang w:val="es-ES"/>
              </w:rPr>
              <w:br/>
            </w:r>
            <w:r w:rsidRPr="003F7316">
              <w:rPr>
                <w:lang w:val="es-ES"/>
              </w:rPr>
              <w:t>(millones CHF)</w:t>
            </w:r>
          </w:p>
        </w:tc>
        <w:tc>
          <w:tcPr>
            <w:tcW w:w="3276" w:type="dxa"/>
            <w:hideMark/>
          </w:tcPr>
          <w:p w14:paraId="4D5CF0CC" w14:textId="79DED4E3" w:rsidR="006A6655" w:rsidRPr="003F7316" w:rsidRDefault="006A6655" w:rsidP="00F666F2">
            <w:pPr>
              <w:pStyle w:val="Tablehead"/>
              <w:rPr>
                <w:lang w:val="es-ES"/>
              </w:rPr>
            </w:pPr>
            <w:r w:rsidRPr="003F7316">
              <w:rPr>
                <w:lang w:val="es-ES"/>
              </w:rPr>
              <w:t xml:space="preserve">Contribución en porcentaje </w:t>
            </w:r>
            <w:r w:rsidR="00F666F2" w:rsidRPr="003F7316">
              <w:rPr>
                <w:lang w:val="es-ES"/>
              </w:rPr>
              <w:br/>
            </w:r>
            <w:r w:rsidRPr="003F7316">
              <w:rPr>
                <w:lang w:val="es-ES"/>
              </w:rPr>
              <w:t>de los sueldos</w:t>
            </w:r>
          </w:p>
        </w:tc>
      </w:tr>
      <w:tr w:rsidR="006A6655" w:rsidRPr="003F7316" w14:paraId="52A0AAF2" w14:textId="77777777" w:rsidTr="00EC4CA1">
        <w:trPr>
          <w:jc w:val="center"/>
        </w:trPr>
        <w:tc>
          <w:tcPr>
            <w:tcW w:w="3064" w:type="dxa"/>
            <w:hideMark/>
          </w:tcPr>
          <w:p w14:paraId="5643D37C" w14:textId="77777777" w:rsidR="006A6655" w:rsidRPr="003F7316" w:rsidRDefault="006A6655" w:rsidP="00F666F2">
            <w:pPr>
              <w:pStyle w:val="Tabletext"/>
              <w:jc w:val="center"/>
              <w:rPr>
                <w:lang w:val="es-ES"/>
              </w:rPr>
            </w:pPr>
            <w:r w:rsidRPr="003F7316">
              <w:rPr>
                <w:lang w:val="es-ES"/>
              </w:rPr>
              <w:t>5 años</w:t>
            </w:r>
          </w:p>
        </w:tc>
        <w:tc>
          <w:tcPr>
            <w:tcW w:w="3295" w:type="dxa"/>
          </w:tcPr>
          <w:p w14:paraId="031518E3" w14:textId="77777777" w:rsidR="006A6655" w:rsidRPr="003F7316" w:rsidRDefault="006A6655" w:rsidP="00F666F2">
            <w:pPr>
              <w:pStyle w:val="Tabletext"/>
              <w:jc w:val="center"/>
              <w:rPr>
                <w:lang w:val="es-ES"/>
              </w:rPr>
            </w:pPr>
            <w:r w:rsidRPr="003F7316">
              <w:rPr>
                <w:lang w:val="es-ES"/>
              </w:rPr>
              <w:t>21 a 23 millones</w:t>
            </w:r>
          </w:p>
        </w:tc>
        <w:tc>
          <w:tcPr>
            <w:tcW w:w="3276" w:type="dxa"/>
          </w:tcPr>
          <w:p w14:paraId="5B687D6D" w14:textId="0C71EE50" w:rsidR="006A6655" w:rsidRPr="003F7316" w:rsidRDefault="006A6655" w:rsidP="00F666F2">
            <w:pPr>
              <w:pStyle w:val="Tabletext"/>
              <w:jc w:val="center"/>
              <w:rPr>
                <w:lang w:val="es-ES"/>
              </w:rPr>
            </w:pPr>
            <w:r w:rsidRPr="003F7316">
              <w:rPr>
                <w:lang w:val="es-ES"/>
              </w:rPr>
              <w:t>15</w:t>
            </w:r>
            <w:r w:rsidR="00EC4CA1">
              <w:rPr>
                <w:lang w:val="es-ES"/>
              </w:rPr>
              <w:t> </w:t>
            </w:r>
            <w:r w:rsidRPr="003F7316">
              <w:rPr>
                <w:lang w:val="es-ES"/>
              </w:rPr>
              <w:t>%</w:t>
            </w:r>
            <w:r w:rsidR="00A87459">
              <w:rPr>
                <w:lang w:val="es-ES"/>
              </w:rPr>
              <w:t>-</w:t>
            </w:r>
            <w:r w:rsidRPr="003F7316">
              <w:rPr>
                <w:lang w:val="es-ES"/>
              </w:rPr>
              <w:t>16</w:t>
            </w:r>
            <w:r w:rsidR="00EC4CA1">
              <w:rPr>
                <w:lang w:val="es-ES"/>
              </w:rPr>
              <w:t> </w:t>
            </w:r>
            <w:r w:rsidRPr="003F7316">
              <w:rPr>
                <w:lang w:val="es-ES"/>
              </w:rPr>
              <w:t>%</w:t>
            </w:r>
          </w:p>
        </w:tc>
      </w:tr>
      <w:tr w:rsidR="006A6655" w:rsidRPr="003F7316" w14:paraId="527CAC65" w14:textId="77777777" w:rsidTr="00EC4CA1">
        <w:trPr>
          <w:jc w:val="center"/>
        </w:trPr>
        <w:tc>
          <w:tcPr>
            <w:tcW w:w="3064" w:type="dxa"/>
            <w:hideMark/>
          </w:tcPr>
          <w:p w14:paraId="78CAE96A" w14:textId="77777777" w:rsidR="006A6655" w:rsidRPr="003F7316" w:rsidRDefault="006A6655" w:rsidP="00F666F2">
            <w:pPr>
              <w:pStyle w:val="Tabletext"/>
              <w:jc w:val="center"/>
              <w:rPr>
                <w:lang w:val="es-ES"/>
              </w:rPr>
            </w:pPr>
            <w:r w:rsidRPr="003F7316">
              <w:rPr>
                <w:lang w:val="es-ES"/>
              </w:rPr>
              <w:t>10 años</w:t>
            </w:r>
          </w:p>
        </w:tc>
        <w:tc>
          <w:tcPr>
            <w:tcW w:w="3295" w:type="dxa"/>
          </w:tcPr>
          <w:p w14:paraId="1B69901B" w14:textId="77777777" w:rsidR="006A6655" w:rsidRPr="003F7316" w:rsidRDefault="006A6655" w:rsidP="00F666F2">
            <w:pPr>
              <w:pStyle w:val="Tabletext"/>
              <w:jc w:val="center"/>
              <w:rPr>
                <w:lang w:val="es-ES"/>
              </w:rPr>
            </w:pPr>
            <w:r w:rsidRPr="003F7316">
              <w:rPr>
                <w:lang w:val="es-ES"/>
              </w:rPr>
              <w:t>11 a 14 millones</w:t>
            </w:r>
          </w:p>
        </w:tc>
        <w:tc>
          <w:tcPr>
            <w:tcW w:w="3276" w:type="dxa"/>
          </w:tcPr>
          <w:p w14:paraId="3BCA1461" w14:textId="5F0BEBE8" w:rsidR="006A6655" w:rsidRPr="003F7316" w:rsidRDefault="006A6655" w:rsidP="00F666F2">
            <w:pPr>
              <w:pStyle w:val="Tabletext"/>
              <w:jc w:val="center"/>
              <w:rPr>
                <w:lang w:val="es-ES"/>
              </w:rPr>
            </w:pPr>
            <w:r w:rsidRPr="003F7316">
              <w:rPr>
                <w:lang w:val="es-ES"/>
              </w:rPr>
              <w:t>8</w:t>
            </w:r>
            <w:r w:rsidR="00EC4CA1">
              <w:rPr>
                <w:lang w:val="es-ES"/>
              </w:rPr>
              <w:t> </w:t>
            </w:r>
            <w:r w:rsidRPr="003F7316">
              <w:rPr>
                <w:lang w:val="es-ES"/>
              </w:rPr>
              <w:t>%</w:t>
            </w:r>
            <w:r w:rsidR="00A87459">
              <w:rPr>
                <w:lang w:val="es-ES"/>
              </w:rPr>
              <w:t>-</w:t>
            </w:r>
            <w:r w:rsidRPr="003F7316">
              <w:rPr>
                <w:lang w:val="es-ES"/>
              </w:rPr>
              <w:t>10</w:t>
            </w:r>
            <w:r w:rsidR="00EC4CA1">
              <w:rPr>
                <w:lang w:val="es-ES"/>
              </w:rPr>
              <w:t> </w:t>
            </w:r>
            <w:r w:rsidRPr="003F7316">
              <w:rPr>
                <w:lang w:val="es-ES"/>
              </w:rPr>
              <w:t>%</w:t>
            </w:r>
          </w:p>
        </w:tc>
      </w:tr>
      <w:tr w:rsidR="006A6655" w:rsidRPr="003F7316" w14:paraId="426D7D3A" w14:textId="77777777" w:rsidTr="00EC4CA1">
        <w:trPr>
          <w:jc w:val="center"/>
        </w:trPr>
        <w:tc>
          <w:tcPr>
            <w:tcW w:w="3064" w:type="dxa"/>
            <w:hideMark/>
          </w:tcPr>
          <w:p w14:paraId="13EE92C2" w14:textId="77777777" w:rsidR="006A6655" w:rsidRPr="003F7316" w:rsidRDefault="006A6655" w:rsidP="00F666F2">
            <w:pPr>
              <w:pStyle w:val="Tabletext"/>
              <w:jc w:val="center"/>
              <w:rPr>
                <w:lang w:val="es-ES"/>
              </w:rPr>
            </w:pPr>
            <w:r w:rsidRPr="003F7316">
              <w:rPr>
                <w:lang w:val="es-ES"/>
              </w:rPr>
              <w:t>20 años</w:t>
            </w:r>
          </w:p>
        </w:tc>
        <w:tc>
          <w:tcPr>
            <w:tcW w:w="3295" w:type="dxa"/>
          </w:tcPr>
          <w:p w14:paraId="4280DDD0" w14:textId="77777777" w:rsidR="006A6655" w:rsidRPr="003F7316" w:rsidRDefault="006A6655" w:rsidP="00F666F2">
            <w:pPr>
              <w:pStyle w:val="Tabletext"/>
              <w:jc w:val="center"/>
              <w:rPr>
                <w:lang w:val="es-ES"/>
              </w:rPr>
            </w:pPr>
            <w:r w:rsidRPr="003F7316">
              <w:rPr>
                <w:lang w:val="es-ES"/>
              </w:rPr>
              <w:t>7 a 11 millones</w:t>
            </w:r>
          </w:p>
        </w:tc>
        <w:tc>
          <w:tcPr>
            <w:tcW w:w="3276" w:type="dxa"/>
          </w:tcPr>
          <w:p w14:paraId="64CA5D63" w14:textId="569EEFCE" w:rsidR="006A6655" w:rsidRPr="003F7316" w:rsidRDefault="006A6655" w:rsidP="00F666F2">
            <w:pPr>
              <w:pStyle w:val="Tabletext"/>
              <w:jc w:val="center"/>
              <w:rPr>
                <w:lang w:val="es-ES"/>
              </w:rPr>
            </w:pPr>
            <w:r w:rsidRPr="003F7316">
              <w:rPr>
                <w:lang w:val="es-ES"/>
              </w:rPr>
              <w:t>5</w:t>
            </w:r>
            <w:r w:rsidR="00EC4CA1">
              <w:rPr>
                <w:lang w:val="es-ES"/>
              </w:rPr>
              <w:t> </w:t>
            </w:r>
            <w:r w:rsidRPr="003F7316">
              <w:rPr>
                <w:lang w:val="es-ES"/>
              </w:rPr>
              <w:t>%</w:t>
            </w:r>
            <w:r w:rsidR="00A87459">
              <w:rPr>
                <w:lang w:val="es-ES"/>
              </w:rPr>
              <w:t>-</w:t>
            </w:r>
            <w:r w:rsidRPr="003F7316">
              <w:rPr>
                <w:lang w:val="es-ES"/>
              </w:rPr>
              <w:t>8</w:t>
            </w:r>
            <w:r w:rsidR="00EC4CA1">
              <w:rPr>
                <w:lang w:val="es-ES"/>
              </w:rPr>
              <w:t> </w:t>
            </w:r>
            <w:r w:rsidRPr="003F7316">
              <w:rPr>
                <w:lang w:val="es-ES"/>
              </w:rPr>
              <w:t>%</w:t>
            </w:r>
          </w:p>
        </w:tc>
      </w:tr>
      <w:tr w:rsidR="006A6655" w:rsidRPr="003F7316" w14:paraId="3F2073A6" w14:textId="77777777" w:rsidTr="00EC4CA1">
        <w:trPr>
          <w:jc w:val="center"/>
        </w:trPr>
        <w:tc>
          <w:tcPr>
            <w:tcW w:w="3064" w:type="dxa"/>
            <w:hideMark/>
          </w:tcPr>
          <w:p w14:paraId="7D69E0E0" w14:textId="77777777" w:rsidR="006A6655" w:rsidRPr="003F7316" w:rsidRDefault="006A6655" w:rsidP="00F666F2">
            <w:pPr>
              <w:pStyle w:val="Tabletext"/>
              <w:jc w:val="center"/>
              <w:rPr>
                <w:lang w:val="es-ES"/>
              </w:rPr>
            </w:pPr>
            <w:r w:rsidRPr="003F7316">
              <w:rPr>
                <w:lang w:val="es-ES"/>
              </w:rPr>
              <w:t>30 años</w:t>
            </w:r>
          </w:p>
        </w:tc>
        <w:tc>
          <w:tcPr>
            <w:tcW w:w="3295" w:type="dxa"/>
          </w:tcPr>
          <w:p w14:paraId="61E4E42A" w14:textId="77777777" w:rsidR="006A6655" w:rsidRPr="003F7316" w:rsidRDefault="006A6655" w:rsidP="00F666F2">
            <w:pPr>
              <w:pStyle w:val="Tabletext"/>
              <w:jc w:val="center"/>
              <w:rPr>
                <w:lang w:val="es-ES"/>
              </w:rPr>
            </w:pPr>
            <w:r w:rsidRPr="003F7316">
              <w:rPr>
                <w:lang w:val="es-ES"/>
              </w:rPr>
              <w:t>5 a 10 millones</w:t>
            </w:r>
          </w:p>
        </w:tc>
        <w:tc>
          <w:tcPr>
            <w:tcW w:w="3276" w:type="dxa"/>
          </w:tcPr>
          <w:p w14:paraId="25120397" w14:textId="119CB8BB" w:rsidR="006A6655" w:rsidRPr="003F7316" w:rsidRDefault="006A6655" w:rsidP="00F666F2">
            <w:pPr>
              <w:pStyle w:val="Tabletext"/>
              <w:jc w:val="center"/>
              <w:rPr>
                <w:lang w:val="es-ES"/>
              </w:rPr>
            </w:pPr>
            <w:r w:rsidRPr="003F7316">
              <w:rPr>
                <w:lang w:val="es-ES"/>
              </w:rPr>
              <w:t>4</w:t>
            </w:r>
            <w:r w:rsidR="00EC4CA1">
              <w:rPr>
                <w:lang w:val="es-ES"/>
              </w:rPr>
              <w:t> </w:t>
            </w:r>
            <w:r w:rsidRPr="003F7316">
              <w:rPr>
                <w:lang w:val="es-ES"/>
              </w:rPr>
              <w:t>%</w:t>
            </w:r>
            <w:r w:rsidR="00A87459">
              <w:rPr>
                <w:lang w:val="es-ES"/>
              </w:rPr>
              <w:t>-</w:t>
            </w:r>
            <w:r w:rsidRPr="003F7316">
              <w:rPr>
                <w:lang w:val="es-ES"/>
              </w:rPr>
              <w:t>7</w:t>
            </w:r>
            <w:r w:rsidR="00EC4CA1">
              <w:rPr>
                <w:lang w:val="es-ES"/>
              </w:rPr>
              <w:t> </w:t>
            </w:r>
            <w:r w:rsidRPr="003F7316">
              <w:rPr>
                <w:lang w:val="es-ES"/>
              </w:rPr>
              <w:t>%</w:t>
            </w:r>
          </w:p>
        </w:tc>
      </w:tr>
    </w:tbl>
    <w:p w14:paraId="63797D79" w14:textId="77777777" w:rsidR="006A6655" w:rsidRPr="003F7316" w:rsidRDefault="006A6655" w:rsidP="006A6655">
      <w:pPr>
        <w:tabs>
          <w:tab w:val="clear" w:pos="567"/>
          <w:tab w:val="clear" w:pos="1134"/>
          <w:tab w:val="clear" w:pos="1701"/>
          <w:tab w:val="clear" w:pos="2268"/>
          <w:tab w:val="clear" w:pos="2835"/>
        </w:tabs>
        <w:overflowPunct/>
        <w:autoSpaceDE/>
        <w:autoSpaceDN/>
        <w:adjustRightInd/>
        <w:spacing w:before="0"/>
        <w:textAlignment w:val="auto"/>
        <w:rPr>
          <w:b/>
          <w:sz w:val="28"/>
          <w:lang w:val="es-ES"/>
        </w:rPr>
      </w:pPr>
    </w:p>
    <w:p w14:paraId="46CF82C4" w14:textId="77777777" w:rsidR="006A6655" w:rsidRPr="003F7316" w:rsidRDefault="006A6655" w:rsidP="006A6655">
      <w:pPr>
        <w:tabs>
          <w:tab w:val="clear" w:pos="567"/>
          <w:tab w:val="clear" w:pos="1134"/>
          <w:tab w:val="clear" w:pos="1701"/>
          <w:tab w:val="clear" w:pos="2268"/>
          <w:tab w:val="clear" w:pos="2835"/>
        </w:tabs>
        <w:overflowPunct/>
        <w:autoSpaceDE/>
        <w:autoSpaceDN/>
        <w:adjustRightInd/>
        <w:spacing w:before="0"/>
        <w:textAlignment w:val="auto"/>
        <w:rPr>
          <w:b/>
          <w:sz w:val="28"/>
          <w:lang w:val="es-ES"/>
        </w:rPr>
        <w:sectPr w:rsidR="006A6655" w:rsidRPr="003F7316" w:rsidSect="006A6655">
          <w:footerReference w:type="first" r:id="rId18"/>
          <w:pgSz w:w="11913" w:h="16834"/>
          <w:pgMar w:top="1418" w:right="1134" w:bottom="1418" w:left="1134" w:header="720" w:footer="720" w:gutter="0"/>
          <w:paperSrc w:first="15" w:other="15"/>
          <w:cols w:space="720"/>
          <w:docGrid w:linePitch="326"/>
        </w:sectPr>
      </w:pPr>
    </w:p>
    <w:p w14:paraId="07D3DE59" w14:textId="0DD5C9C7" w:rsidR="00C33625" w:rsidRPr="003F7316" w:rsidRDefault="00C33625" w:rsidP="00682617">
      <w:pPr>
        <w:pStyle w:val="FigureNoTitle"/>
        <w:rPr>
          <w:lang w:val="es-ES"/>
        </w:rPr>
      </w:pPr>
      <w:r w:rsidRPr="003F7316">
        <w:rPr>
          <w:lang w:val="es-ES"/>
        </w:rPr>
        <w:lastRenderedPageBreak/>
        <w:t>Objetivo de financiación: 50 % de las obligaciones por prestaciones definidas conforme a las NICSP</w:t>
      </w:r>
      <w:r w:rsidR="009717A1" w:rsidRPr="003F7316">
        <w:rPr>
          <w:lang w:val="es-ES"/>
        </w:rPr>
        <w:br/>
      </w:r>
      <w:r w:rsidRPr="003F7316">
        <w:rPr>
          <w:lang w:val="es-ES"/>
        </w:rPr>
        <w:t>Comparación de los niveles de pago anuales según el plazo de amortización</w:t>
      </w:r>
    </w:p>
    <w:p w14:paraId="0A4EC151" w14:textId="4B16DE7A" w:rsidR="006A6655" w:rsidRPr="008C32E2" w:rsidRDefault="00C33625" w:rsidP="008C32E2">
      <w:pPr>
        <w:pStyle w:val="Figure"/>
        <w:sectPr w:rsidR="006A6655" w:rsidRPr="008C32E2" w:rsidSect="006A6655">
          <w:pgSz w:w="16834" w:h="11913" w:orient="landscape"/>
          <w:pgMar w:top="1134" w:right="1418" w:bottom="1134" w:left="1418" w:header="720" w:footer="720" w:gutter="0"/>
          <w:paperSrc w:first="15" w:other="15"/>
          <w:cols w:space="720"/>
          <w:docGrid w:linePitch="326"/>
        </w:sectPr>
      </w:pPr>
      <w:r w:rsidRPr="008C32E2">
        <w:drawing>
          <wp:inline distT="0" distB="0" distL="0" distR="0" wp14:anchorId="5220D044" wp14:editId="086243F2">
            <wp:extent cx="8888730" cy="4137025"/>
            <wp:effectExtent l="0" t="0" r="7620" b="0"/>
            <wp:docPr id="125939530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88730" cy="4137025"/>
                    </a:xfrm>
                    <a:prstGeom prst="rect">
                      <a:avLst/>
                    </a:prstGeom>
                    <a:noFill/>
                    <a:ln>
                      <a:noFill/>
                    </a:ln>
                  </pic:spPr>
                </pic:pic>
              </a:graphicData>
            </a:graphic>
          </wp:inline>
        </w:drawing>
      </w:r>
    </w:p>
    <w:p w14:paraId="0A5AE4B2" w14:textId="076BCCD1" w:rsidR="006A6655" w:rsidRPr="003F7316" w:rsidRDefault="006A6655" w:rsidP="006A6655">
      <w:pPr>
        <w:rPr>
          <w:lang w:val="es-ES"/>
        </w:rPr>
      </w:pPr>
      <w:r w:rsidRPr="003F7316">
        <w:rPr>
          <w:lang w:val="es-ES"/>
        </w:rPr>
        <w:lastRenderedPageBreak/>
        <w:t>5.4</w:t>
      </w:r>
      <w:r w:rsidRPr="003F7316">
        <w:rPr>
          <w:lang w:val="es-ES"/>
        </w:rPr>
        <w:tab/>
        <w:t>Estos escenarios ponen de manifiesto la relación entre la rapidez con la que se alcanzan los objetivos de financiación y el nivel de contribuciones anuales necesarias. Una financiación más rápida se traduce en mayores contribuciones a corto plazo, mientras que los plazos de amortización más largos reducen las necesidades de financiación anuales, pero alargan el per</w:t>
      </w:r>
      <w:r w:rsidR="009C3B93">
        <w:rPr>
          <w:lang w:val="es-ES"/>
        </w:rPr>
        <w:t>i</w:t>
      </w:r>
      <w:r w:rsidRPr="003F7316">
        <w:rPr>
          <w:lang w:val="es-ES"/>
        </w:rPr>
        <w:t>odo durante el cual la</w:t>
      </w:r>
      <w:r w:rsidR="00097596">
        <w:rPr>
          <w:lang w:val="es-ES"/>
        </w:rPr>
        <w:t> </w:t>
      </w:r>
      <w:r w:rsidRPr="003F7316">
        <w:rPr>
          <w:lang w:val="es-ES"/>
        </w:rPr>
        <w:t>Organización permanece sin cobertura.</w:t>
      </w:r>
    </w:p>
    <w:p w14:paraId="5C0430D7" w14:textId="79765303" w:rsidR="006A6655" w:rsidRPr="003F7316" w:rsidRDefault="006A6655" w:rsidP="006A6655">
      <w:pPr>
        <w:rPr>
          <w:lang w:val="es-ES"/>
        </w:rPr>
      </w:pPr>
      <w:r w:rsidRPr="003F7316">
        <w:rPr>
          <w:lang w:val="es-ES"/>
        </w:rPr>
        <w:t>5.5</w:t>
      </w:r>
      <w:r w:rsidRPr="003F7316">
        <w:rPr>
          <w:lang w:val="es-ES"/>
        </w:rPr>
        <w:tab/>
        <w:t>Dado que los mecanismos de financiación actuales no son suficientes, se necesitarían, por lo tanto, medidas de financiación adicionales para situar a la Organización en una senda sostenible hacia la consecución de sus objetivos de financiación.</w:t>
      </w:r>
    </w:p>
    <w:p w14:paraId="27D2A071" w14:textId="77777777" w:rsidR="006A6655" w:rsidRPr="003F7316" w:rsidRDefault="006A6655" w:rsidP="006A6655">
      <w:pPr>
        <w:rPr>
          <w:lang w:val="es-ES"/>
        </w:rPr>
      </w:pPr>
      <w:r w:rsidRPr="003F7316">
        <w:rPr>
          <w:lang w:val="es-ES"/>
        </w:rPr>
        <w:t>5.6</w:t>
      </w:r>
      <w:r w:rsidRPr="003F7316">
        <w:rPr>
          <w:lang w:val="es-ES"/>
        </w:rPr>
        <w:tab/>
        <w:t>Estos escenarios tienen como único objetivo ilustrar la variedad de posibles enfoques de financiación disponibles. El objetivo no es establecer un nivel concreto de contribución, sino demostrar que el reto de la financiación puede abordarse de manera progresiva a lo largo del tiempo mediante una estrategia de financiación estructurada y previsible. El objetivo de financiación final y los niveles de contribución correspondientes seguirían dependiendo de la tolerancia al riesgo, la capacidad financiera y del plazo deseado para mejorar el nivel de financiación de las obligaciones del ASHI.</w:t>
      </w:r>
    </w:p>
    <w:p w14:paraId="5661DDF3" w14:textId="77777777" w:rsidR="006A6655" w:rsidRPr="003F7316" w:rsidRDefault="006A6655" w:rsidP="006A6655">
      <w:pPr>
        <w:rPr>
          <w:lang w:val="es-ES"/>
        </w:rPr>
      </w:pPr>
      <w:r w:rsidRPr="003F7316">
        <w:rPr>
          <w:lang w:val="es-ES"/>
        </w:rPr>
        <w:t>5.7</w:t>
      </w:r>
      <w:r w:rsidRPr="003F7316">
        <w:rPr>
          <w:lang w:val="es-ES"/>
        </w:rPr>
        <w:tab/>
        <w:t>Los objetivos concretos serían objeto de exámenes y análisis actuariales y financieros periódicos. El objetivo principal es establecer una orientación clara y transparente a largo plazo.</w:t>
      </w:r>
    </w:p>
    <w:p w14:paraId="038C9763" w14:textId="77777777" w:rsidR="006A6655" w:rsidRPr="003F7316" w:rsidRDefault="006A6655" w:rsidP="006A6655">
      <w:pPr>
        <w:pStyle w:val="Headingb"/>
        <w:rPr>
          <w:lang w:val="es-ES"/>
        </w:rPr>
      </w:pPr>
      <w:r w:rsidRPr="003F7316">
        <w:rPr>
          <w:bCs/>
          <w:lang w:val="es-ES"/>
        </w:rPr>
        <w:t>Revisar las reservas destinadas al personal</w:t>
      </w:r>
    </w:p>
    <w:p w14:paraId="439857DA" w14:textId="77777777" w:rsidR="006A6655" w:rsidRPr="003F7316" w:rsidRDefault="006A6655" w:rsidP="006A6655">
      <w:pPr>
        <w:rPr>
          <w:lang w:val="es-ES"/>
        </w:rPr>
      </w:pPr>
      <w:r w:rsidRPr="003F7316">
        <w:rPr>
          <w:lang w:val="es-ES"/>
        </w:rPr>
        <w:t>5.8</w:t>
      </w:r>
      <w:r w:rsidRPr="003F7316">
        <w:rPr>
          <w:lang w:val="es-ES"/>
        </w:rPr>
        <w:tab/>
        <w:t>Debería llevarse a cabo una revisión exhaustiva de las reservas y los fondos heredados destinados al personal cuya actividad actual sea limitada o cuyo número de beneficiarios se haya reducido.</w:t>
      </w:r>
    </w:p>
    <w:p w14:paraId="466F2A73" w14:textId="3128FFED" w:rsidR="006A6655" w:rsidRPr="003F7316" w:rsidRDefault="006A6655" w:rsidP="006A6655">
      <w:pPr>
        <w:rPr>
          <w:lang w:val="es-ES"/>
        </w:rPr>
      </w:pPr>
      <w:r w:rsidRPr="003F7316">
        <w:rPr>
          <w:lang w:val="es-ES"/>
        </w:rPr>
        <w:t>5.9</w:t>
      </w:r>
      <w:r w:rsidRPr="003F7316">
        <w:rPr>
          <w:lang w:val="es-ES"/>
        </w:rPr>
        <w:tab/>
      </w:r>
      <w:r w:rsidR="0044218B" w:rsidRPr="003F7316">
        <w:rPr>
          <w:lang w:val="es-ES"/>
        </w:rPr>
        <w:t>El Auditor Externo ya había señalado anteriormente la existencia de dichos saldos, incluida la</w:t>
      </w:r>
      <w:r w:rsidR="00097596">
        <w:rPr>
          <w:lang w:val="es-ES"/>
        </w:rPr>
        <w:t> </w:t>
      </w:r>
      <w:r w:rsidR="0044218B" w:rsidRPr="003F7316">
        <w:rPr>
          <w:lang w:val="es-ES"/>
        </w:rPr>
        <w:t>Caja de Seguros del Personal, cuyo importe asciende a aproximadamente 7,2</w:t>
      </w:r>
      <w:r w:rsidR="00097596">
        <w:rPr>
          <w:lang w:val="es-ES"/>
        </w:rPr>
        <w:t> </w:t>
      </w:r>
      <w:r w:rsidR="0044218B" w:rsidRPr="003F7316">
        <w:rPr>
          <w:lang w:val="es-ES"/>
        </w:rPr>
        <w:t>millones</w:t>
      </w:r>
      <w:r w:rsidR="00097596">
        <w:rPr>
          <w:lang w:val="es-ES"/>
        </w:rPr>
        <w:t> </w:t>
      </w:r>
      <w:r w:rsidR="0044218B" w:rsidRPr="003F7316">
        <w:rPr>
          <w:lang w:val="es-ES"/>
        </w:rPr>
        <w:t>CHF. Con sujeción a consideraciones jurídicas, de gobernanza y operativas, el Consejo podría reasignar cualquier excedente para contribuir a la financiación de las obligaciones del</w:t>
      </w:r>
      <w:r w:rsidR="00097596">
        <w:rPr>
          <w:lang w:val="es-ES"/>
        </w:rPr>
        <w:t> </w:t>
      </w:r>
      <w:r w:rsidR="0044218B" w:rsidRPr="003F7316">
        <w:rPr>
          <w:lang w:val="es-ES"/>
        </w:rPr>
        <w:t>ASHI.</w:t>
      </w:r>
    </w:p>
    <w:p w14:paraId="31BC58F7" w14:textId="77777777" w:rsidR="006A6655" w:rsidRPr="003F7316" w:rsidRDefault="006A6655" w:rsidP="006A6655">
      <w:pPr>
        <w:rPr>
          <w:lang w:val="es-ES"/>
        </w:rPr>
      </w:pPr>
      <w:r w:rsidRPr="003F7316">
        <w:rPr>
          <w:lang w:val="es-ES"/>
        </w:rPr>
        <w:t>5.10</w:t>
      </w:r>
      <w:r w:rsidRPr="003F7316">
        <w:rPr>
          <w:lang w:val="es-ES"/>
        </w:rPr>
        <w:tab/>
        <w:t>Esta medida podría brindar una oportunidad importante para aumentar los niveles de financiación sin imponer una carga inmediata a los Estados Miembros.</w:t>
      </w:r>
    </w:p>
    <w:p w14:paraId="21ADD7BF" w14:textId="77777777" w:rsidR="006A6655" w:rsidRPr="003F7316" w:rsidRDefault="006A6655" w:rsidP="006A6655">
      <w:pPr>
        <w:pStyle w:val="Headingb"/>
        <w:rPr>
          <w:lang w:val="es-ES"/>
        </w:rPr>
      </w:pPr>
      <w:r w:rsidRPr="003F7316">
        <w:rPr>
          <w:bCs/>
          <w:lang w:val="es-ES"/>
        </w:rPr>
        <w:t>Contribuciones anuales adicionales</w:t>
      </w:r>
    </w:p>
    <w:p w14:paraId="253A6FF6" w14:textId="77777777" w:rsidR="006A6655" w:rsidRPr="003F7316" w:rsidRDefault="006A6655" w:rsidP="006A6655">
      <w:pPr>
        <w:rPr>
          <w:lang w:val="es-ES"/>
        </w:rPr>
      </w:pPr>
      <w:r w:rsidRPr="003F7316">
        <w:rPr>
          <w:lang w:val="es-ES"/>
        </w:rPr>
        <w:t>5.11</w:t>
      </w:r>
      <w:r w:rsidRPr="003F7316">
        <w:rPr>
          <w:lang w:val="es-ES"/>
        </w:rPr>
        <w:tab/>
        <w:t>La Organización debería considerar la posibilidad de aumentar el nivel actual aprobado para las contribuciones bienales, con el fin de complementar los flujos de financiación existentes.</w:t>
      </w:r>
    </w:p>
    <w:p w14:paraId="4DE60556" w14:textId="77777777" w:rsidR="006A6655" w:rsidRPr="003F7316" w:rsidRDefault="006A6655" w:rsidP="006A6655">
      <w:pPr>
        <w:rPr>
          <w:lang w:val="es-ES"/>
        </w:rPr>
      </w:pPr>
      <w:r w:rsidRPr="003F7316">
        <w:rPr>
          <w:lang w:val="es-ES"/>
        </w:rPr>
        <w:t>5.12</w:t>
      </w:r>
      <w:r w:rsidRPr="003F7316">
        <w:rPr>
          <w:lang w:val="es-ES"/>
        </w:rPr>
        <w:tab/>
        <w:t>Estas contribuciones podrían adoptar diversas formas, entre ellas:</w:t>
      </w:r>
    </w:p>
    <w:p w14:paraId="0C678D56" w14:textId="77777777" w:rsidR="006A6655" w:rsidRPr="003F7316" w:rsidRDefault="006A6655" w:rsidP="008C32E2">
      <w:pPr>
        <w:pStyle w:val="enumlev1"/>
        <w:rPr>
          <w:lang w:val="es-ES"/>
        </w:rPr>
      </w:pPr>
      <w:r w:rsidRPr="003F7316">
        <w:rPr>
          <w:lang w:val="es-ES"/>
        </w:rPr>
        <w:t>–</w:t>
      </w:r>
      <w:r w:rsidRPr="003F7316">
        <w:rPr>
          <w:lang w:val="es-ES"/>
        </w:rPr>
        <w:tab/>
        <w:t>consignaciones anuales fijas;</w:t>
      </w:r>
    </w:p>
    <w:p w14:paraId="7BA5CE97" w14:textId="4A0FADE2" w:rsidR="006A6655" w:rsidRPr="003F7316" w:rsidRDefault="006A6655" w:rsidP="008C32E2">
      <w:pPr>
        <w:pStyle w:val="enumlev1"/>
        <w:rPr>
          <w:lang w:val="es-ES"/>
        </w:rPr>
      </w:pPr>
      <w:r w:rsidRPr="003F7316">
        <w:rPr>
          <w:lang w:val="es-ES"/>
        </w:rPr>
        <w:t>–</w:t>
      </w:r>
      <w:r w:rsidRPr="003F7316">
        <w:rPr>
          <w:lang w:val="es-ES"/>
        </w:rPr>
        <w:tab/>
        <w:t>asignaciones de futuros superávit</w:t>
      </w:r>
      <w:r w:rsidR="002E3648">
        <w:rPr>
          <w:lang w:val="es-ES"/>
        </w:rPr>
        <w:t>s</w:t>
      </w:r>
      <w:r w:rsidRPr="003F7316">
        <w:rPr>
          <w:lang w:val="es-ES"/>
        </w:rPr>
        <w:t xml:space="preserve"> presupuestarios;</w:t>
      </w:r>
    </w:p>
    <w:p w14:paraId="22F37975" w14:textId="77777777" w:rsidR="006A6655" w:rsidRPr="003F7316" w:rsidRDefault="006A6655" w:rsidP="008C32E2">
      <w:pPr>
        <w:pStyle w:val="enumlev1"/>
        <w:rPr>
          <w:lang w:val="es-ES"/>
        </w:rPr>
      </w:pPr>
      <w:r w:rsidRPr="003F7316">
        <w:rPr>
          <w:lang w:val="es-ES"/>
        </w:rPr>
        <w:t>–</w:t>
      </w:r>
      <w:r w:rsidRPr="003F7316">
        <w:rPr>
          <w:lang w:val="es-ES"/>
        </w:rPr>
        <w:tab/>
        <w:t>financiación específica aprobada mediante el proceso presupuestario.</w:t>
      </w:r>
    </w:p>
    <w:p w14:paraId="7187480E" w14:textId="77777777" w:rsidR="006A6655" w:rsidRPr="003F7316" w:rsidRDefault="006A6655" w:rsidP="006A6655">
      <w:pPr>
        <w:rPr>
          <w:lang w:val="es-ES"/>
        </w:rPr>
      </w:pPr>
      <w:r w:rsidRPr="003F7316">
        <w:rPr>
          <w:lang w:val="es-ES"/>
        </w:rPr>
        <w:t>5.13</w:t>
      </w:r>
      <w:r w:rsidRPr="003F7316">
        <w:rPr>
          <w:lang w:val="es-ES"/>
        </w:rPr>
        <w:tab/>
        <w:t>Las contribuciones periódicas acelerarían el avance hacia los objetivos de financiación aprobados y proporcionarían una mayor previsibilidad.</w:t>
      </w:r>
    </w:p>
    <w:p w14:paraId="6DE43705" w14:textId="77777777" w:rsidR="006A6655" w:rsidRPr="003F7316" w:rsidRDefault="006A6655" w:rsidP="006A6655">
      <w:pPr>
        <w:pStyle w:val="Headingb"/>
        <w:rPr>
          <w:lang w:val="es-ES"/>
        </w:rPr>
      </w:pPr>
      <w:r w:rsidRPr="003F7316">
        <w:rPr>
          <w:bCs/>
          <w:lang w:val="es-ES"/>
        </w:rPr>
        <w:t>Revisar el mecanismo de financiación basado en las nóminas</w:t>
      </w:r>
    </w:p>
    <w:p w14:paraId="671FB76C" w14:textId="77777777" w:rsidR="006A6655" w:rsidRPr="003F7316" w:rsidRDefault="006A6655" w:rsidP="006A6655">
      <w:pPr>
        <w:rPr>
          <w:lang w:val="es-ES"/>
        </w:rPr>
      </w:pPr>
      <w:r w:rsidRPr="003F7316">
        <w:rPr>
          <w:lang w:val="es-ES"/>
        </w:rPr>
        <w:t>5.14</w:t>
      </w:r>
      <w:r w:rsidRPr="003F7316">
        <w:rPr>
          <w:lang w:val="es-ES"/>
        </w:rPr>
        <w:tab/>
        <w:t>La medida de financiación basada en las nóminas, introducida recientemente, debería mantenerse y revisarse periódicamente para considerar:</w:t>
      </w:r>
    </w:p>
    <w:p w14:paraId="46CC86C5" w14:textId="77777777" w:rsidR="006A6655" w:rsidRPr="003F7316" w:rsidRDefault="006A6655" w:rsidP="008C32E2">
      <w:pPr>
        <w:pStyle w:val="enumlev1"/>
        <w:rPr>
          <w:lang w:val="es-ES"/>
        </w:rPr>
      </w:pPr>
      <w:r w:rsidRPr="003F7316">
        <w:rPr>
          <w:lang w:val="es-ES"/>
        </w:rPr>
        <w:t>–</w:t>
      </w:r>
      <w:r w:rsidRPr="003F7316">
        <w:rPr>
          <w:lang w:val="es-ES"/>
        </w:rPr>
        <w:tab/>
        <w:t>si se debe aumentar el porcentaje actual;</w:t>
      </w:r>
    </w:p>
    <w:p w14:paraId="2F5B19EB" w14:textId="77777777" w:rsidR="006A6655" w:rsidRPr="003F7316" w:rsidRDefault="006A6655" w:rsidP="008C32E2">
      <w:pPr>
        <w:pStyle w:val="enumlev1"/>
        <w:rPr>
          <w:lang w:val="es-ES"/>
        </w:rPr>
      </w:pPr>
      <w:r w:rsidRPr="003F7316">
        <w:rPr>
          <w:lang w:val="es-ES"/>
        </w:rPr>
        <w:lastRenderedPageBreak/>
        <w:t>–</w:t>
      </w:r>
      <w:r w:rsidRPr="003F7316">
        <w:rPr>
          <w:lang w:val="es-ES"/>
        </w:rPr>
        <w:tab/>
        <w:t xml:space="preserve">si se </w:t>
      </w:r>
      <w:proofErr w:type="gramStart"/>
      <w:r w:rsidRPr="003F7316">
        <w:rPr>
          <w:lang w:val="es-ES"/>
        </w:rPr>
        <w:t>debería</w:t>
      </w:r>
      <w:proofErr w:type="gramEnd"/>
      <w:r w:rsidRPr="003F7316">
        <w:rPr>
          <w:lang w:val="es-ES"/>
        </w:rPr>
        <w:t xml:space="preserve"> estudiar la posibilidad de ampliar la aplicación de dicho mecanismo.</w:t>
      </w:r>
    </w:p>
    <w:p w14:paraId="54FE2ADB" w14:textId="5CA3628F" w:rsidR="006A6655" w:rsidRPr="003F7316" w:rsidRDefault="006A6655" w:rsidP="006A6655">
      <w:pPr>
        <w:rPr>
          <w:lang w:val="es-ES"/>
        </w:rPr>
      </w:pPr>
      <w:r w:rsidRPr="003F7316">
        <w:rPr>
          <w:lang w:val="es-ES"/>
        </w:rPr>
        <w:t>5.15</w:t>
      </w:r>
      <w:r w:rsidRPr="003F7316">
        <w:rPr>
          <w:lang w:val="es-ES"/>
        </w:rPr>
        <w:tab/>
        <w:t>La financiación basada en las nóminas tiene la ventaja de vincular la financiación de las prestaciones al per</w:t>
      </w:r>
      <w:r w:rsidR="009C3B93">
        <w:rPr>
          <w:lang w:val="es-ES"/>
        </w:rPr>
        <w:t>i</w:t>
      </w:r>
      <w:r w:rsidRPr="003F7316">
        <w:rPr>
          <w:lang w:val="es-ES"/>
        </w:rPr>
        <w:t>odo en el que se generan los derechos correspondientes y constituye el mecanismo que han adoptado ampliamente las demás organizaciones de las Naciones Unidas en sus estrategias de financiación.</w:t>
      </w:r>
    </w:p>
    <w:p w14:paraId="35BEEF46" w14:textId="77777777" w:rsidR="006A6655" w:rsidRPr="003F7316" w:rsidRDefault="006A6655" w:rsidP="006A6655">
      <w:pPr>
        <w:pStyle w:val="Headingb"/>
        <w:rPr>
          <w:lang w:val="es-ES"/>
        </w:rPr>
      </w:pPr>
      <w:r w:rsidRPr="003F7316">
        <w:rPr>
          <w:bCs/>
          <w:lang w:val="es-ES"/>
        </w:rPr>
        <w:t>Establecer una estrategia de inversión específica para el ASHI</w:t>
      </w:r>
    </w:p>
    <w:p w14:paraId="78EE107D" w14:textId="20BC0C56" w:rsidR="006A6655" w:rsidRPr="003F7316" w:rsidRDefault="006A6655" w:rsidP="00F666F2">
      <w:pPr>
        <w:rPr>
          <w:lang w:val="es-ES"/>
        </w:rPr>
      </w:pPr>
      <w:r w:rsidRPr="003F7316">
        <w:rPr>
          <w:lang w:val="es-ES"/>
        </w:rPr>
        <w:t>5.16</w:t>
      </w:r>
      <w:r w:rsidRPr="003F7316">
        <w:rPr>
          <w:lang w:val="es-ES"/>
        </w:rPr>
        <w:tab/>
        <w:t>A medida que aumenten progresivamente los activos destinados a la financiación del</w:t>
      </w:r>
      <w:r w:rsidR="007477AE">
        <w:rPr>
          <w:lang w:val="es-ES"/>
        </w:rPr>
        <w:t> </w:t>
      </w:r>
      <w:r w:rsidRPr="003F7316">
        <w:rPr>
          <w:lang w:val="es-ES"/>
        </w:rPr>
        <w:t>ASHI, será importante garantizar que dichos recursos se gestionen dentro de un marco de inversión diseñado específicamente para respaldar la naturaleza a largo plazo de esta obligación.</w:t>
      </w:r>
    </w:p>
    <w:p w14:paraId="5FFB973A" w14:textId="40E7F896" w:rsidR="006A6655" w:rsidRPr="003F7316" w:rsidRDefault="006A6655" w:rsidP="006A6655">
      <w:pPr>
        <w:rPr>
          <w:lang w:val="es-ES"/>
        </w:rPr>
      </w:pPr>
      <w:r w:rsidRPr="003F7316">
        <w:rPr>
          <w:lang w:val="es-ES"/>
        </w:rPr>
        <w:t>5.17</w:t>
      </w:r>
      <w:r w:rsidRPr="003F7316">
        <w:rPr>
          <w:lang w:val="es-ES"/>
        </w:rPr>
        <w:tab/>
        <w:t>El pasivo del</w:t>
      </w:r>
      <w:r w:rsidR="007477AE">
        <w:rPr>
          <w:lang w:val="es-ES"/>
        </w:rPr>
        <w:t> </w:t>
      </w:r>
      <w:r w:rsidRPr="003F7316">
        <w:rPr>
          <w:lang w:val="es-ES"/>
        </w:rPr>
        <w:t>ASHI abarca varias décadas y presenta características que difieren de las necesidades de tesorería operativa a corto plazo de la Organización. Por consiguiente, los activos de financiación deberían gestionarse mediante una estrategia de inversión específica destinada a preservar el capital, generar rendimientos de las inversiones a largo plazo y contribuir a la consecución gradual de los objetivos de financiación aprobados.</w:t>
      </w:r>
    </w:p>
    <w:p w14:paraId="51E563D0" w14:textId="77777777" w:rsidR="006A6655" w:rsidRPr="003F7316" w:rsidRDefault="006A6655" w:rsidP="006A6655">
      <w:pPr>
        <w:rPr>
          <w:lang w:val="es-ES"/>
        </w:rPr>
      </w:pPr>
      <w:r w:rsidRPr="003F7316">
        <w:rPr>
          <w:lang w:val="es-ES"/>
        </w:rPr>
        <w:t>5.18</w:t>
      </w:r>
      <w:r w:rsidRPr="003F7316">
        <w:rPr>
          <w:lang w:val="es-ES"/>
        </w:rPr>
        <w:tab/>
        <w:t>El rendimiento de las inversiones puede desempeñar un papel importante a la hora de reducir el nivel de futuras financiaciones adicionales. Por lo tanto, un enfoque de inversión estructurado constituiría un elemento fundamental de cualquier marco de financiación sostenible y permitiría que los activos de financiación contribuyeran directamente a la reducción del pasivo no financiado.</w:t>
      </w:r>
    </w:p>
    <w:p w14:paraId="6832F0EF" w14:textId="76BD5DBF" w:rsidR="006A6655" w:rsidRPr="003F7316" w:rsidRDefault="006A6655" w:rsidP="006A6655">
      <w:pPr>
        <w:rPr>
          <w:lang w:val="es-ES"/>
        </w:rPr>
      </w:pPr>
      <w:r w:rsidRPr="003F7316">
        <w:rPr>
          <w:lang w:val="es-ES"/>
        </w:rPr>
        <w:t>5.19</w:t>
      </w:r>
      <w:r w:rsidRPr="003F7316">
        <w:rPr>
          <w:lang w:val="es-ES"/>
        </w:rPr>
        <w:tab/>
        <w:t>En consecuencia, los Estados Miembros podrían considerar la posibilidad de adoptar un marco de inversión específico para el</w:t>
      </w:r>
      <w:r w:rsidR="007477AE">
        <w:rPr>
          <w:lang w:val="es-ES"/>
        </w:rPr>
        <w:t> </w:t>
      </w:r>
      <w:r w:rsidRPr="003F7316">
        <w:rPr>
          <w:lang w:val="es-ES"/>
        </w:rPr>
        <w:t>ASHI que aborde, entre otras cosas:</w:t>
      </w:r>
    </w:p>
    <w:p w14:paraId="055200E1" w14:textId="77777777" w:rsidR="006A6655" w:rsidRPr="003F7316" w:rsidRDefault="006A6655" w:rsidP="008C32E2">
      <w:pPr>
        <w:pStyle w:val="enumlev1"/>
        <w:rPr>
          <w:lang w:val="es-ES"/>
        </w:rPr>
      </w:pPr>
      <w:r w:rsidRPr="003F7316">
        <w:rPr>
          <w:lang w:val="es-ES"/>
        </w:rPr>
        <w:t>–</w:t>
      </w:r>
      <w:r w:rsidRPr="003F7316">
        <w:rPr>
          <w:lang w:val="es-ES"/>
        </w:rPr>
        <w:tab/>
        <w:t>objetivos de inversión y tolerancia al riesgo;</w:t>
      </w:r>
    </w:p>
    <w:p w14:paraId="35F87B79" w14:textId="77777777" w:rsidR="006A6655" w:rsidRPr="003F7316" w:rsidRDefault="006A6655" w:rsidP="008C32E2">
      <w:pPr>
        <w:pStyle w:val="enumlev1"/>
        <w:rPr>
          <w:lang w:val="es-ES"/>
        </w:rPr>
      </w:pPr>
      <w:r w:rsidRPr="003F7316">
        <w:rPr>
          <w:lang w:val="es-ES"/>
        </w:rPr>
        <w:t>–</w:t>
      </w:r>
      <w:r w:rsidRPr="003F7316">
        <w:rPr>
          <w:lang w:val="es-ES"/>
        </w:rPr>
        <w:tab/>
        <w:t>atribución estratégica de activos;</w:t>
      </w:r>
    </w:p>
    <w:p w14:paraId="18A5B297" w14:textId="77777777" w:rsidR="006A6655" w:rsidRPr="003F7316" w:rsidRDefault="006A6655" w:rsidP="008C32E2">
      <w:pPr>
        <w:pStyle w:val="enumlev1"/>
        <w:rPr>
          <w:lang w:val="es-ES"/>
        </w:rPr>
      </w:pPr>
      <w:r w:rsidRPr="003F7316">
        <w:rPr>
          <w:lang w:val="es-ES"/>
        </w:rPr>
        <w:t>–</w:t>
      </w:r>
      <w:r w:rsidRPr="003F7316">
        <w:rPr>
          <w:lang w:val="es-ES"/>
        </w:rPr>
        <w:tab/>
        <w:t>requisitos de liquidez para futuros pagos de prestaciones;</w:t>
      </w:r>
    </w:p>
    <w:p w14:paraId="27C11855" w14:textId="77777777" w:rsidR="006A6655" w:rsidRPr="003F7316" w:rsidRDefault="006A6655" w:rsidP="008C32E2">
      <w:pPr>
        <w:pStyle w:val="enumlev1"/>
        <w:rPr>
          <w:lang w:val="es-ES"/>
        </w:rPr>
      </w:pPr>
      <w:r w:rsidRPr="003F7316">
        <w:rPr>
          <w:lang w:val="es-ES"/>
        </w:rPr>
        <w:t>–</w:t>
      </w:r>
      <w:r w:rsidRPr="003F7316">
        <w:rPr>
          <w:lang w:val="es-ES"/>
        </w:rPr>
        <w:tab/>
        <w:t>mecanismos de gobernanza y supervisión;</w:t>
      </w:r>
    </w:p>
    <w:p w14:paraId="35CF47AD" w14:textId="77777777" w:rsidR="006A6655" w:rsidRPr="003F7316" w:rsidRDefault="006A6655" w:rsidP="008C32E2">
      <w:pPr>
        <w:pStyle w:val="enumlev1"/>
        <w:rPr>
          <w:lang w:val="es-ES"/>
        </w:rPr>
      </w:pPr>
      <w:r w:rsidRPr="003F7316">
        <w:rPr>
          <w:lang w:val="es-ES"/>
        </w:rPr>
        <w:t>–</w:t>
      </w:r>
      <w:r w:rsidRPr="003F7316">
        <w:rPr>
          <w:lang w:val="es-ES"/>
        </w:rPr>
        <w:tab/>
        <w:t>seguimiento y comunicación del desempeño;</w:t>
      </w:r>
    </w:p>
    <w:p w14:paraId="6BFD86AB" w14:textId="77777777" w:rsidR="006A6655" w:rsidRPr="003F7316" w:rsidRDefault="006A6655" w:rsidP="008C32E2">
      <w:pPr>
        <w:pStyle w:val="enumlev1"/>
        <w:rPr>
          <w:lang w:val="es-ES"/>
        </w:rPr>
      </w:pPr>
      <w:r w:rsidRPr="003F7316">
        <w:rPr>
          <w:lang w:val="es-ES"/>
        </w:rPr>
        <w:t>–</w:t>
      </w:r>
      <w:r w:rsidRPr="003F7316">
        <w:rPr>
          <w:lang w:val="es-ES"/>
        </w:rPr>
        <w:tab/>
        <w:t>armonización entre la estrategia de inversión y los objetivos de financiación a largo plazo.</w:t>
      </w:r>
    </w:p>
    <w:p w14:paraId="7824519E" w14:textId="77777777" w:rsidR="006A6655" w:rsidRPr="003F7316" w:rsidRDefault="006A6655" w:rsidP="006A6655">
      <w:pPr>
        <w:pStyle w:val="Headingb"/>
        <w:rPr>
          <w:lang w:val="es-ES"/>
        </w:rPr>
      </w:pPr>
      <w:r w:rsidRPr="003F7316">
        <w:rPr>
          <w:bCs/>
          <w:lang w:val="es-ES"/>
        </w:rPr>
        <w:t>Adoptar un enfoque combinado</w:t>
      </w:r>
    </w:p>
    <w:p w14:paraId="245C1236" w14:textId="77777777" w:rsidR="006A6655" w:rsidRPr="003F7316" w:rsidRDefault="006A6655" w:rsidP="006A6655">
      <w:pPr>
        <w:rPr>
          <w:lang w:val="es-ES"/>
        </w:rPr>
      </w:pPr>
      <w:r w:rsidRPr="003F7316">
        <w:rPr>
          <w:lang w:val="es-ES"/>
        </w:rPr>
        <w:t>5.20</w:t>
      </w:r>
      <w:r w:rsidRPr="003F7316">
        <w:rPr>
          <w:lang w:val="es-ES"/>
        </w:rPr>
        <w:tab/>
        <w:t>Es poco probable que una sola medida, por sí sola, permita lograr avances suficientes. Por lo tanto, una estrategia equilibrada debería combinar:</w:t>
      </w:r>
    </w:p>
    <w:p w14:paraId="7B33662C" w14:textId="77777777" w:rsidR="006A6655" w:rsidRPr="003F7316" w:rsidRDefault="006A6655" w:rsidP="008C32E2">
      <w:pPr>
        <w:pStyle w:val="enumlev1"/>
        <w:rPr>
          <w:lang w:val="es-ES"/>
        </w:rPr>
      </w:pPr>
      <w:r w:rsidRPr="003F7316">
        <w:rPr>
          <w:lang w:val="es-ES"/>
        </w:rPr>
        <w:t>–</w:t>
      </w:r>
      <w:r w:rsidRPr="003F7316">
        <w:rPr>
          <w:lang w:val="es-ES"/>
        </w:rPr>
        <w:tab/>
        <w:t>reasignación de las reservas disponibles destinadas al personal;</w:t>
      </w:r>
    </w:p>
    <w:p w14:paraId="7DE3ADE7" w14:textId="77777777" w:rsidR="006A6655" w:rsidRPr="003F7316" w:rsidRDefault="006A6655" w:rsidP="008C32E2">
      <w:pPr>
        <w:pStyle w:val="enumlev1"/>
        <w:rPr>
          <w:lang w:val="es-ES"/>
        </w:rPr>
      </w:pPr>
      <w:r w:rsidRPr="003F7316">
        <w:rPr>
          <w:lang w:val="es-ES"/>
        </w:rPr>
        <w:t>–</w:t>
      </w:r>
      <w:r w:rsidRPr="003F7316">
        <w:rPr>
          <w:lang w:val="es-ES"/>
        </w:rPr>
        <w:tab/>
        <w:t>contribuciones anuales específicas;</w:t>
      </w:r>
    </w:p>
    <w:p w14:paraId="229363F1" w14:textId="77777777" w:rsidR="006A6655" w:rsidRPr="003F7316" w:rsidRDefault="006A6655" w:rsidP="008C32E2">
      <w:pPr>
        <w:pStyle w:val="enumlev1"/>
        <w:rPr>
          <w:lang w:val="es-ES"/>
        </w:rPr>
      </w:pPr>
      <w:r w:rsidRPr="003F7316">
        <w:rPr>
          <w:lang w:val="es-ES"/>
        </w:rPr>
        <w:t>–</w:t>
      </w:r>
      <w:r w:rsidRPr="003F7316">
        <w:rPr>
          <w:lang w:val="es-ES"/>
        </w:rPr>
        <w:tab/>
        <w:t>financiación basada en las nóminas;</w:t>
      </w:r>
    </w:p>
    <w:p w14:paraId="0B6DD31F" w14:textId="77777777" w:rsidR="006A6655" w:rsidRPr="003F7316" w:rsidRDefault="006A6655" w:rsidP="008C32E2">
      <w:pPr>
        <w:pStyle w:val="enumlev1"/>
        <w:rPr>
          <w:lang w:val="es-ES"/>
        </w:rPr>
      </w:pPr>
      <w:r w:rsidRPr="003F7316">
        <w:rPr>
          <w:lang w:val="es-ES"/>
        </w:rPr>
        <w:t>–</w:t>
      </w:r>
      <w:r w:rsidRPr="003F7316">
        <w:rPr>
          <w:lang w:val="es-ES"/>
        </w:rPr>
        <w:tab/>
        <w:t>rendimiento de las inversiones generado por la acumulación de activos.</w:t>
      </w:r>
    </w:p>
    <w:p w14:paraId="0F48F314" w14:textId="77777777" w:rsidR="006A6655" w:rsidRPr="003F7316" w:rsidRDefault="006A6655" w:rsidP="006A6655">
      <w:pPr>
        <w:rPr>
          <w:lang w:val="es-ES"/>
        </w:rPr>
      </w:pPr>
      <w:r w:rsidRPr="003F7316">
        <w:rPr>
          <w:lang w:val="es-ES"/>
        </w:rPr>
        <w:t>5.21</w:t>
      </w:r>
      <w:r w:rsidRPr="003F7316">
        <w:rPr>
          <w:lang w:val="es-ES"/>
        </w:rPr>
        <w:tab/>
        <w:t>Este enfoque permitiría diversificar las fuentes de financiación, reducir la presión sobre un único mecanismo y aumentar las posibilidades de alcanzar los objetivos a largo plazo.</w:t>
      </w:r>
    </w:p>
    <w:p w14:paraId="7CA1FD2F" w14:textId="77777777" w:rsidR="006A6655" w:rsidRPr="003F7316" w:rsidRDefault="006A6655" w:rsidP="003428C2">
      <w:pPr>
        <w:pStyle w:val="Headingb"/>
        <w:rPr>
          <w:lang w:val="es-ES"/>
        </w:rPr>
      </w:pPr>
      <w:r w:rsidRPr="003F7316">
        <w:rPr>
          <w:bCs/>
          <w:lang w:val="es-ES"/>
        </w:rPr>
        <w:lastRenderedPageBreak/>
        <w:t>Gobernanza y seguimiento</w:t>
      </w:r>
    </w:p>
    <w:p w14:paraId="6D7AF9BE" w14:textId="77777777" w:rsidR="006A6655" w:rsidRPr="003F7316" w:rsidRDefault="006A6655" w:rsidP="003428C2">
      <w:pPr>
        <w:keepNext/>
        <w:keepLines/>
        <w:rPr>
          <w:lang w:val="es-ES"/>
        </w:rPr>
      </w:pPr>
      <w:r w:rsidRPr="003F7316">
        <w:rPr>
          <w:lang w:val="es-ES"/>
        </w:rPr>
        <w:t>5.22</w:t>
      </w:r>
      <w:r w:rsidRPr="003F7316">
        <w:rPr>
          <w:lang w:val="es-ES"/>
        </w:rPr>
        <w:tab/>
        <w:t>Para garantizar la rendición de cuentas y la transparencia, se debería evaluar el progreso cada dos años. Dichas evaluaciones deberían abarcar lo siguiente:</w:t>
      </w:r>
    </w:p>
    <w:p w14:paraId="21CBF007" w14:textId="77777777" w:rsidR="006A6655" w:rsidRPr="008C32E2" w:rsidRDefault="006A6655" w:rsidP="008C32E2">
      <w:pPr>
        <w:pStyle w:val="enumlev1"/>
      </w:pPr>
      <w:r w:rsidRPr="008C32E2">
        <w:t>–</w:t>
      </w:r>
      <w:r w:rsidRPr="008C32E2">
        <w:tab/>
        <w:t>los avances respecto a los objetivos de financiación aprobados;</w:t>
      </w:r>
    </w:p>
    <w:p w14:paraId="27C3F5B7" w14:textId="77777777" w:rsidR="006A6655" w:rsidRPr="008C32E2" w:rsidRDefault="006A6655" w:rsidP="008C32E2">
      <w:pPr>
        <w:pStyle w:val="enumlev1"/>
      </w:pPr>
      <w:r w:rsidRPr="008C32E2">
        <w:t>–</w:t>
      </w:r>
      <w:r w:rsidRPr="008C32E2">
        <w:tab/>
        <w:t>la evolución del coeficiente de financiación;</w:t>
      </w:r>
    </w:p>
    <w:p w14:paraId="23B637A9" w14:textId="3E37E350" w:rsidR="006A6655" w:rsidRPr="008C32E2" w:rsidRDefault="006A6655" w:rsidP="008C32E2">
      <w:pPr>
        <w:pStyle w:val="enumlev1"/>
      </w:pPr>
      <w:r w:rsidRPr="008C32E2">
        <w:t>–</w:t>
      </w:r>
      <w:r w:rsidRPr="008C32E2">
        <w:tab/>
        <w:t>el rendimiento de los activos específicos del</w:t>
      </w:r>
      <w:r w:rsidR="00B037BA" w:rsidRPr="008C32E2">
        <w:t> </w:t>
      </w:r>
      <w:r w:rsidRPr="008C32E2">
        <w:t>ASHI;</w:t>
      </w:r>
    </w:p>
    <w:p w14:paraId="2082217E" w14:textId="77777777" w:rsidR="006A6655" w:rsidRPr="008C32E2" w:rsidRDefault="006A6655" w:rsidP="008C32E2">
      <w:pPr>
        <w:pStyle w:val="enumlev1"/>
      </w:pPr>
      <w:r w:rsidRPr="008C32E2">
        <w:t>–</w:t>
      </w:r>
      <w:r w:rsidRPr="008C32E2">
        <w:tab/>
        <w:t>la situación de las revisiones y transferencias de reservas;</w:t>
      </w:r>
    </w:p>
    <w:p w14:paraId="3B4BA31C" w14:textId="77777777" w:rsidR="006A6655" w:rsidRPr="008C32E2" w:rsidRDefault="006A6655" w:rsidP="008C32E2">
      <w:pPr>
        <w:pStyle w:val="enumlev1"/>
      </w:pPr>
      <w:r w:rsidRPr="008C32E2">
        <w:t>–</w:t>
      </w:r>
      <w:r w:rsidRPr="008C32E2">
        <w:tab/>
        <w:t>las previsiones actuariales actualizadas;</w:t>
      </w:r>
    </w:p>
    <w:p w14:paraId="5FBD35D2" w14:textId="77777777" w:rsidR="006A6655" w:rsidRPr="008C32E2" w:rsidRDefault="006A6655" w:rsidP="008C32E2">
      <w:pPr>
        <w:pStyle w:val="enumlev1"/>
      </w:pPr>
      <w:r w:rsidRPr="008C32E2">
        <w:t>–</w:t>
      </w:r>
      <w:r w:rsidRPr="008C32E2">
        <w:tab/>
        <w:t>las recomendaciones de ajustes, de ser necesario.</w:t>
      </w:r>
    </w:p>
    <w:p w14:paraId="78C6B285" w14:textId="77777777" w:rsidR="006A6655" w:rsidRPr="003F7316" w:rsidRDefault="006A6655" w:rsidP="006A6655">
      <w:pPr>
        <w:rPr>
          <w:lang w:val="es-ES"/>
        </w:rPr>
      </w:pPr>
      <w:r w:rsidRPr="003F7316">
        <w:rPr>
          <w:lang w:val="es-ES"/>
        </w:rPr>
        <w:t>5.23</w:t>
      </w:r>
      <w:r w:rsidRPr="003F7316">
        <w:rPr>
          <w:lang w:val="es-ES"/>
        </w:rPr>
        <w:tab/>
        <w:t>Un seguimiento periódico permitirá a los Estados Miembros adaptar la estrategia a medida que cambien las circunstancias, sin perder de vista el objetivo a largo plazo.</w:t>
      </w:r>
    </w:p>
    <w:p w14:paraId="79BB9478" w14:textId="77777777" w:rsidR="006A6655" w:rsidRPr="003F7316" w:rsidRDefault="006A6655" w:rsidP="006A6655">
      <w:pPr>
        <w:pStyle w:val="Headingb"/>
        <w:rPr>
          <w:lang w:val="es-ES"/>
        </w:rPr>
      </w:pPr>
      <w:r w:rsidRPr="003F7316">
        <w:rPr>
          <w:bCs/>
          <w:lang w:val="es-ES"/>
        </w:rPr>
        <w:t>Conclusión</w:t>
      </w:r>
    </w:p>
    <w:p w14:paraId="2C3BBF0C" w14:textId="564F41DF" w:rsidR="006A6655" w:rsidRPr="003F7316" w:rsidRDefault="006A6655" w:rsidP="00F666F2">
      <w:pPr>
        <w:rPr>
          <w:lang w:val="es-ES"/>
        </w:rPr>
      </w:pPr>
      <w:r w:rsidRPr="003F7316">
        <w:rPr>
          <w:lang w:val="es-ES"/>
        </w:rPr>
        <w:t xml:space="preserve">Se pide a la Conferencia de Plenipotenciarios que </w:t>
      </w:r>
      <w:r w:rsidRPr="003F7316">
        <w:rPr>
          <w:b/>
          <w:bCs/>
          <w:lang w:val="es-ES"/>
        </w:rPr>
        <w:t>tome nota</w:t>
      </w:r>
      <w:r w:rsidRPr="003F7316">
        <w:rPr>
          <w:lang w:val="es-ES"/>
        </w:rPr>
        <w:t xml:space="preserve"> del presente informe.</w:t>
      </w:r>
    </w:p>
    <w:p w14:paraId="5FFC26CA" w14:textId="77777777" w:rsidR="006A6655" w:rsidRPr="003F7316" w:rsidRDefault="006A6655" w:rsidP="00411C49">
      <w:pPr>
        <w:pStyle w:val="Reasons"/>
        <w:rPr>
          <w:lang w:val="es-ES"/>
        </w:rPr>
      </w:pPr>
    </w:p>
    <w:p w14:paraId="6768EEF1" w14:textId="77777777" w:rsidR="006A6655" w:rsidRPr="003F7316" w:rsidRDefault="006A6655">
      <w:pPr>
        <w:jc w:val="center"/>
        <w:rPr>
          <w:lang w:val="es-ES"/>
        </w:rPr>
      </w:pPr>
      <w:r w:rsidRPr="003F7316">
        <w:rPr>
          <w:lang w:val="es-ES"/>
        </w:rPr>
        <w:t>______________</w:t>
      </w:r>
    </w:p>
    <w:sectPr w:rsidR="006A6655" w:rsidRPr="003F7316" w:rsidSect="002D1951">
      <w:footerReference w:type="first" r:id="rId20"/>
      <w:pgSz w:w="11913" w:h="16834"/>
      <w:pgMar w:top="1418" w:right="1134" w:bottom="1418" w:left="1134" w:header="720" w:footer="720"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D9403" w14:textId="77777777" w:rsidR="00D56279" w:rsidRDefault="00D56279">
      <w:r>
        <w:separator/>
      </w:r>
    </w:p>
  </w:endnote>
  <w:endnote w:type="continuationSeparator" w:id="0">
    <w:p w14:paraId="004E45DF" w14:textId="77777777" w:rsidR="00D56279" w:rsidRDefault="00D56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DF97" w14:textId="63A49321" w:rsidR="00A924CF" w:rsidRPr="00A73990" w:rsidRDefault="00A924CF" w:rsidP="00A924C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EEE17" w14:textId="77777777" w:rsidR="006A6655" w:rsidRPr="003F2E54" w:rsidRDefault="006A6655" w:rsidP="003F2E54">
    <w:pPr>
      <w:pStyle w:val="firstfooter0"/>
      <w:spacing w:before="0" w:beforeAutospacing="0" w:after="0" w:afterAutospacing="0"/>
      <w:jc w:val="center"/>
      <w:rPr>
        <w:rFonts w:asciiTheme="minorHAnsi" w:hAnsiTheme="minorHAnsi"/>
        <w:sz w:val="18"/>
        <w:szCs w:val="18"/>
      </w:rPr>
    </w:pPr>
    <w:r>
      <w:rPr>
        <w:rFonts w:ascii="Symbol" w:hAnsi="Symbol"/>
        <w:sz w:val="22"/>
        <w:szCs w:val="20"/>
        <w:lang w:val="es-ES"/>
      </w:rPr>
      <w:t xml:space="preserve"> www.itu.int/plenipotentiary/ </w:t>
    </w:r>
    <w:hyperlink r:id="rId1" w:history="1"/>
    <w:r>
      <w:rPr>
        <w:rFonts w:ascii="Symbol" w:hAnsi="Symbol"/>
        <w:sz w:val="22"/>
        <w:szCs w:val="20"/>
        <w:lang w:val="es-E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C8C7E"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D7D18" w14:textId="77777777" w:rsidR="00D56279" w:rsidRDefault="00D56279">
      <w:r>
        <w:t>____________________</w:t>
      </w:r>
    </w:p>
  </w:footnote>
  <w:footnote w:type="continuationSeparator" w:id="0">
    <w:p w14:paraId="314A5339" w14:textId="77777777" w:rsidR="00D56279" w:rsidRDefault="00D56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DB414" w14:textId="77777777" w:rsidR="006A6655" w:rsidRDefault="006A6655" w:rsidP="00A73990">
    <w:pPr>
      <w:pStyle w:val="Header"/>
    </w:pPr>
    <w:r>
      <w:fldChar w:fldCharType="begin"/>
    </w:r>
    <w:r>
      <w:instrText xml:space="preserve"> PAGE   \* MERGEFORMAT </w:instrText>
    </w:r>
    <w:r>
      <w:fldChar w:fldCharType="separate"/>
    </w:r>
    <w:r>
      <w:t>2</w:t>
    </w:r>
    <w:r>
      <w:fldChar w:fldCharType="end"/>
    </w:r>
  </w:p>
  <w:p w14:paraId="4A723A55" w14:textId="77777777" w:rsidR="006A6655" w:rsidRDefault="006A6655" w:rsidP="00A73990">
    <w:pPr>
      <w:pStyle w:val="Header"/>
    </w:pPr>
    <w:proofErr w:type="spellStart"/>
    <w:r>
      <w:rPr>
        <w:lang w:val="es-ES"/>
      </w:rPr>
      <w:t>PP26</w:t>
    </w:r>
    <w:proofErr w:type="spellEnd"/>
    <w:r>
      <w:rPr>
        <w:lang w:val="es-ES"/>
      </w:rPr>
      <w:t>/72-S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75113"/>
    <w:rsid w:val="000863AB"/>
    <w:rsid w:val="00097596"/>
    <w:rsid w:val="000A1523"/>
    <w:rsid w:val="000B1752"/>
    <w:rsid w:val="000D68C8"/>
    <w:rsid w:val="0010546D"/>
    <w:rsid w:val="001316A4"/>
    <w:rsid w:val="00132584"/>
    <w:rsid w:val="00135F93"/>
    <w:rsid w:val="001632E3"/>
    <w:rsid w:val="00163BFD"/>
    <w:rsid w:val="00164DBC"/>
    <w:rsid w:val="00190A57"/>
    <w:rsid w:val="001D4983"/>
    <w:rsid w:val="001D6EC3"/>
    <w:rsid w:val="001D787B"/>
    <w:rsid w:val="001E0447"/>
    <w:rsid w:val="001E3D06"/>
    <w:rsid w:val="001F0B24"/>
    <w:rsid w:val="001F5B03"/>
    <w:rsid w:val="00225F6B"/>
    <w:rsid w:val="00237C17"/>
    <w:rsid w:val="00242376"/>
    <w:rsid w:val="00255FA1"/>
    <w:rsid w:val="00262FF4"/>
    <w:rsid w:val="00277985"/>
    <w:rsid w:val="00281660"/>
    <w:rsid w:val="002A4BF7"/>
    <w:rsid w:val="002C6527"/>
    <w:rsid w:val="002D1951"/>
    <w:rsid w:val="002E3648"/>
    <w:rsid w:val="002E44FC"/>
    <w:rsid w:val="003428C2"/>
    <w:rsid w:val="003537B5"/>
    <w:rsid w:val="003707E5"/>
    <w:rsid w:val="00375610"/>
    <w:rsid w:val="00391611"/>
    <w:rsid w:val="003B0292"/>
    <w:rsid w:val="003B5DC9"/>
    <w:rsid w:val="003D0027"/>
    <w:rsid w:val="003D02D4"/>
    <w:rsid w:val="003E6E73"/>
    <w:rsid w:val="003F7316"/>
    <w:rsid w:val="00415AE3"/>
    <w:rsid w:val="0044218B"/>
    <w:rsid w:val="00484B72"/>
    <w:rsid w:val="00491A25"/>
    <w:rsid w:val="004A346E"/>
    <w:rsid w:val="004A63A9"/>
    <w:rsid w:val="004B07DB"/>
    <w:rsid w:val="004B09D4"/>
    <w:rsid w:val="004B0BCB"/>
    <w:rsid w:val="004B2635"/>
    <w:rsid w:val="004C27F5"/>
    <w:rsid w:val="004C3191"/>
    <w:rsid w:val="004C39C6"/>
    <w:rsid w:val="004D23BA"/>
    <w:rsid w:val="004E069C"/>
    <w:rsid w:val="004E08E0"/>
    <w:rsid w:val="004E28FB"/>
    <w:rsid w:val="004F4BB1"/>
    <w:rsid w:val="00504FD4"/>
    <w:rsid w:val="005062AB"/>
    <w:rsid w:val="00507662"/>
    <w:rsid w:val="00523448"/>
    <w:rsid w:val="005359B6"/>
    <w:rsid w:val="005470E8"/>
    <w:rsid w:val="00550FCF"/>
    <w:rsid w:val="00556958"/>
    <w:rsid w:val="00567ED5"/>
    <w:rsid w:val="005A329F"/>
    <w:rsid w:val="005A6490"/>
    <w:rsid w:val="005D1164"/>
    <w:rsid w:val="005D6488"/>
    <w:rsid w:val="005F6278"/>
    <w:rsid w:val="00601280"/>
    <w:rsid w:val="006313F1"/>
    <w:rsid w:val="00641DBD"/>
    <w:rsid w:val="006426C0"/>
    <w:rsid w:val="006455D2"/>
    <w:rsid w:val="006537F3"/>
    <w:rsid w:val="00682617"/>
    <w:rsid w:val="006A6655"/>
    <w:rsid w:val="006B5512"/>
    <w:rsid w:val="006C190D"/>
    <w:rsid w:val="006F7202"/>
    <w:rsid w:val="00720686"/>
    <w:rsid w:val="00737EFF"/>
    <w:rsid w:val="007477AE"/>
    <w:rsid w:val="00750806"/>
    <w:rsid w:val="00751531"/>
    <w:rsid w:val="007875D2"/>
    <w:rsid w:val="007D61E2"/>
    <w:rsid w:val="007E2611"/>
    <w:rsid w:val="007F5FFC"/>
    <w:rsid w:val="007F6EBC"/>
    <w:rsid w:val="00810D8B"/>
    <w:rsid w:val="00882773"/>
    <w:rsid w:val="008B4706"/>
    <w:rsid w:val="008B64E5"/>
    <w:rsid w:val="008B6676"/>
    <w:rsid w:val="008C32E2"/>
    <w:rsid w:val="008C3FA8"/>
    <w:rsid w:val="008E51C5"/>
    <w:rsid w:val="008F7109"/>
    <w:rsid w:val="009107B0"/>
    <w:rsid w:val="009220DE"/>
    <w:rsid w:val="00930E84"/>
    <w:rsid w:val="009415B6"/>
    <w:rsid w:val="00956FE6"/>
    <w:rsid w:val="009717A1"/>
    <w:rsid w:val="0099270D"/>
    <w:rsid w:val="0099551E"/>
    <w:rsid w:val="009A1A86"/>
    <w:rsid w:val="009C3B93"/>
    <w:rsid w:val="009D1BE0"/>
    <w:rsid w:val="009E0C42"/>
    <w:rsid w:val="00A3002B"/>
    <w:rsid w:val="00A50BE3"/>
    <w:rsid w:val="00A70E95"/>
    <w:rsid w:val="00A87459"/>
    <w:rsid w:val="00A924CF"/>
    <w:rsid w:val="00AA1F73"/>
    <w:rsid w:val="00AB190D"/>
    <w:rsid w:val="00AB34CA"/>
    <w:rsid w:val="00AD400E"/>
    <w:rsid w:val="00AF0DC5"/>
    <w:rsid w:val="00B012B7"/>
    <w:rsid w:val="00B037BA"/>
    <w:rsid w:val="00B15980"/>
    <w:rsid w:val="00B30C52"/>
    <w:rsid w:val="00B501AB"/>
    <w:rsid w:val="00B73978"/>
    <w:rsid w:val="00B77C4D"/>
    <w:rsid w:val="00BA3B38"/>
    <w:rsid w:val="00BB13FE"/>
    <w:rsid w:val="00BC7EE2"/>
    <w:rsid w:val="00BE7B16"/>
    <w:rsid w:val="00BF32F2"/>
    <w:rsid w:val="00BF5475"/>
    <w:rsid w:val="00C20ED7"/>
    <w:rsid w:val="00C33625"/>
    <w:rsid w:val="00C35A96"/>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6279"/>
    <w:rsid w:val="00D57D70"/>
    <w:rsid w:val="00DE3E41"/>
    <w:rsid w:val="00E05D81"/>
    <w:rsid w:val="00E53DFC"/>
    <w:rsid w:val="00E64FD6"/>
    <w:rsid w:val="00E66FC3"/>
    <w:rsid w:val="00E677DD"/>
    <w:rsid w:val="00E77F17"/>
    <w:rsid w:val="00E809D8"/>
    <w:rsid w:val="00E921EC"/>
    <w:rsid w:val="00EB23D0"/>
    <w:rsid w:val="00EC395A"/>
    <w:rsid w:val="00EC4CA1"/>
    <w:rsid w:val="00F01632"/>
    <w:rsid w:val="00F04858"/>
    <w:rsid w:val="00F13AA4"/>
    <w:rsid w:val="00F3510D"/>
    <w:rsid w:val="00F43C07"/>
    <w:rsid w:val="00F43D44"/>
    <w:rsid w:val="00F62F2D"/>
    <w:rsid w:val="00F666F2"/>
    <w:rsid w:val="00F80E6E"/>
    <w:rsid w:val="00FD19EF"/>
    <w:rsid w:val="00FD4441"/>
    <w:rsid w:val="00FD7A16"/>
    <w:rsid w:val="00FE6F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B79CC"/>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uiPriority w:val="99"/>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8C32E2"/>
    <w:pPr>
      <w:spacing w:before="80"/>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uiPriority w:val="99"/>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table" w:styleId="TableGrid">
    <w:name w:val="Table Grid"/>
    <w:basedOn w:val="TableNormal"/>
    <w:uiPriority w:val="39"/>
    <w:rsid w:val="006A66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in">
    <w:name w:val="Table_fin"/>
    <w:basedOn w:val="Tabletext"/>
    <w:rsid w:val="006A6655"/>
    <w:pPr>
      <w:spacing w:before="0" w:after="0"/>
    </w:pPr>
    <w:rPr>
      <w:rFonts w:asciiTheme="minorHAnsi" w:hAnsiTheme="minorHAnsi" w:cstheme="minorHAnsi"/>
      <w:lang w:val="en-GB" w:eastAsia="en-GB"/>
    </w:rPr>
  </w:style>
  <w:style w:type="paragraph" w:customStyle="1" w:styleId="Figurelegend">
    <w:name w:val="Figure_legend"/>
    <w:basedOn w:val="Normal"/>
    <w:rsid w:val="003D02D4"/>
    <w:pPr>
      <w:keepNext/>
      <w:keepLines/>
      <w:tabs>
        <w:tab w:val="clear" w:pos="567"/>
        <w:tab w:val="clear" w:pos="1134"/>
        <w:tab w:val="clear" w:pos="1701"/>
        <w:tab w:val="clear" w:pos="2268"/>
        <w:tab w:val="clear" w:pos="2835"/>
      </w:tabs>
      <w:spacing w:before="20" w:after="20" w:line="280" w:lineRule="exact"/>
    </w:pPr>
    <w:rPr>
      <w:rFonts w:cs="Calibri"/>
      <w:sz w:val="18"/>
      <w:szCs w:val="22"/>
    </w:rPr>
  </w:style>
  <w:style w:type="paragraph" w:customStyle="1" w:styleId="Figure">
    <w:name w:val="Figure"/>
    <w:basedOn w:val="Normal"/>
    <w:next w:val="FigureNoTitle"/>
    <w:rsid w:val="008C32E2"/>
    <w:pPr>
      <w:tabs>
        <w:tab w:val="clear" w:pos="567"/>
        <w:tab w:val="clear" w:pos="1134"/>
        <w:tab w:val="clear" w:pos="1701"/>
        <w:tab w:val="clear" w:pos="2268"/>
        <w:tab w:val="clear" w:pos="2835"/>
        <w:tab w:val="left" w:pos="794"/>
        <w:tab w:val="left" w:pos="1191"/>
        <w:tab w:val="left" w:pos="1588"/>
        <w:tab w:val="left" w:pos="1985"/>
      </w:tabs>
      <w:spacing w:after="240"/>
      <w:jc w:val="center"/>
    </w:pPr>
    <w:rPr>
      <w:rFonts w:cs="Calibri"/>
      <w:noProof/>
      <w:sz w:val="22"/>
      <w:szCs w:val="22"/>
      <w:lang w:val="es-ES"/>
    </w:rPr>
  </w:style>
  <w:style w:type="paragraph" w:customStyle="1" w:styleId="FigureNoTitle">
    <w:name w:val="Figure_NoTitle"/>
    <w:basedOn w:val="Normal"/>
    <w:next w:val="Normal"/>
    <w:rsid w:val="003D02D4"/>
    <w:pPr>
      <w:keepLines/>
      <w:tabs>
        <w:tab w:val="clear" w:pos="567"/>
        <w:tab w:val="clear" w:pos="1134"/>
        <w:tab w:val="clear" w:pos="1701"/>
        <w:tab w:val="clear" w:pos="2268"/>
        <w:tab w:val="clear" w:pos="2835"/>
        <w:tab w:val="left" w:pos="794"/>
        <w:tab w:val="left" w:pos="1191"/>
        <w:tab w:val="left" w:pos="1588"/>
        <w:tab w:val="left" w:pos="1985"/>
      </w:tabs>
      <w:spacing w:before="240" w:after="120" w:line="280" w:lineRule="exact"/>
      <w:jc w:val="center"/>
    </w:pPr>
    <w:rPr>
      <w:rFonts w:cs="Calibri"/>
      <w:b/>
      <w:szCs w:val="22"/>
    </w:rPr>
  </w:style>
  <w:style w:type="paragraph" w:customStyle="1" w:styleId="Figurewithouttitle">
    <w:name w:val="Figure_without_title"/>
    <w:basedOn w:val="Normal"/>
    <w:next w:val="Normal"/>
    <w:rsid w:val="003D02D4"/>
    <w:pPr>
      <w:keepLines/>
      <w:tabs>
        <w:tab w:val="clear" w:pos="567"/>
        <w:tab w:val="clear" w:pos="1134"/>
        <w:tab w:val="clear" w:pos="1701"/>
        <w:tab w:val="clear" w:pos="2268"/>
        <w:tab w:val="clear" w:pos="2835"/>
        <w:tab w:val="left" w:pos="794"/>
        <w:tab w:val="left" w:pos="1191"/>
        <w:tab w:val="left" w:pos="1588"/>
        <w:tab w:val="left" w:pos="1985"/>
      </w:tabs>
      <w:spacing w:before="240" w:after="120" w:line="280" w:lineRule="exact"/>
      <w:jc w:val="center"/>
    </w:pPr>
    <w:rPr>
      <w:rFonts w:cs="Calibri"/>
      <w:sz w:val="22"/>
      <w:szCs w:val="22"/>
    </w:rPr>
  </w:style>
  <w:style w:type="character" w:styleId="CommentReference">
    <w:name w:val="annotation reference"/>
    <w:basedOn w:val="DefaultParagraphFont"/>
    <w:semiHidden/>
    <w:unhideWhenUsed/>
    <w:rsid w:val="00EC4CA1"/>
    <w:rPr>
      <w:sz w:val="16"/>
      <w:szCs w:val="16"/>
    </w:rPr>
  </w:style>
  <w:style w:type="paragraph" w:styleId="CommentText">
    <w:name w:val="annotation text"/>
    <w:basedOn w:val="Normal"/>
    <w:link w:val="CommentTextChar"/>
    <w:unhideWhenUsed/>
    <w:rsid w:val="00EC4CA1"/>
    <w:rPr>
      <w:sz w:val="20"/>
    </w:rPr>
  </w:style>
  <w:style w:type="character" w:customStyle="1" w:styleId="CommentTextChar">
    <w:name w:val="Comment Text Char"/>
    <w:basedOn w:val="DefaultParagraphFont"/>
    <w:link w:val="CommentText"/>
    <w:rsid w:val="00EC4CA1"/>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EC4CA1"/>
    <w:rPr>
      <w:b/>
      <w:bCs/>
    </w:rPr>
  </w:style>
  <w:style w:type="character" w:customStyle="1" w:styleId="CommentSubjectChar">
    <w:name w:val="Comment Subject Char"/>
    <w:basedOn w:val="CommentTextChar"/>
    <w:link w:val="CommentSubject"/>
    <w:semiHidden/>
    <w:rsid w:val="00EC4CA1"/>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L-C-0046/es" TargetMode="External"/><Relationship Id="rId13" Type="http://schemas.openxmlformats.org/officeDocument/2006/relationships/image" Target="media/image2.emf"/><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itu.int/md/S26-CL-C-0116/es" TargetMode="External"/><Relationship Id="rId12" Type="http://schemas.openxmlformats.org/officeDocument/2006/relationships/hyperlink" Target="https://www.itu.int/md/S26-CL-C-0041/en" TargetMode="External"/><Relationship Id="rId17" Type="http://schemas.openxmlformats.org/officeDocument/2006/relationships/image" Target="media/image4.emf"/><Relationship Id="rId2" Type="http://schemas.openxmlformats.org/officeDocument/2006/relationships/settings" Target="settings.xml"/><Relationship Id="rId16" Type="http://schemas.openxmlformats.org/officeDocument/2006/relationships/image" Target="media/image3.emf"/><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md/S26-CL-C-0046/en"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itu.int/md/S26-CL-C-0116/en" TargetMode="External"/><Relationship Id="rId19"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hyperlink" Target="https://www.itu.int/md/S26-CL-C-0041/es" TargetMode="External"/><Relationship Id="rId14" Type="http://schemas.openxmlformats.org/officeDocument/2006/relationships/header" Target="header1.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2986</Words>
  <Characters>16607</Characters>
  <Application>Microsoft Office Word</Application>
  <DocSecurity>0</DocSecurity>
  <Lines>361</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19368</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actualizada sobre el pasivo del seguro médico después del servicio (ASHI)</dc:title>
  <dc:subject>ITU Plenipotentiary Conference (PP-26)</dc:subject>
  <cp:keywords>PP-26, PP26, ITU</cp:keywords>
  <dc:description/>
  <dcterms:created xsi:type="dcterms:W3CDTF">2026-10-22T16:03:00Z</dcterms:created>
  <dcterms:modified xsi:type="dcterms:W3CDTF">2026-10-22T16:06:00Z</dcterms:modified>
  <cp:category>Conference document</cp:category>
</cp:coreProperties>
</file>