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4A389847" w14:textId="77777777" w:rsidTr="00B947D2">
        <w:trPr>
          <w:cantSplit/>
          <w:trHeight w:val="20"/>
        </w:trPr>
        <w:tc>
          <w:tcPr>
            <w:tcW w:w="9672" w:type="dxa"/>
            <w:gridSpan w:val="2"/>
            <w:vAlign w:val="center"/>
          </w:tcPr>
          <w:p w14:paraId="38CA76B4"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2B4452F" wp14:editId="78CED8B0">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679D859B" w14:textId="77777777" w:rsidTr="00EB3ADA">
        <w:trPr>
          <w:cantSplit/>
          <w:trHeight w:val="283"/>
        </w:trPr>
        <w:tc>
          <w:tcPr>
            <w:tcW w:w="9672" w:type="dxa"/>
            <w:gridSpan w:val="2"/>
            <w:tcBorders>
              <w:bottom w:val="single" w:sz="12" w:space="0" w:color="71716F"/>
            </w:tcBorders>
          </w:tcPr>
          <w:p w14:paraId="7836C12B"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A1454C7" w14:textId="77777777" w:rsidTr="00EB3ADA">
        <w:trPr>
          <w:cantSplit/>
          <w:trHeight w:val="255"/>
        </w:trPr>
        <w:tc>
          <w:tcPr>
            <w:tcW w:w="6620" w:type="dxa"/>
            <w:tcBorders>
              <w:top w:val="single" w:sz="12" w:space="0" w:color="71716F"/>
            </w:tcBorders>
          </w:tcPr>
          <w:p w14:paraId="211B763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359396FE"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2E817EF" w14:textId="77777777" w:rsidTr="00EB3ADA">
        <w:trPr>
          <w:cantSplit/>
        </w:trPr>
        <w:tc>
          <w:tcPr>
            <w:tcW w:w="6620" w:type="dxa"/>
          </w:tcPr>
          <w:p w14:paraId="79055392"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5C63FCDA" w14:textId="441A71BA"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096B8A">
              <w:rPr>
                <w:rStyle w:val="DocNo"/>
              </w:rPr>
              <w:t>72</w:t>
            </w:r>
            <w:r w:rsidR="00515E95" w:rsidRPr="00F37276">
              <w:rPr>
                <w:b/>
                <w:bCs/>
              </w:rPr>
              <w:t>-A</w:t>
            </w:r>
          </w:p>
        </w:tc>
      </w:tr>
      <w:tr w:rsidR="00F27DBC" w:rsidRPr="003A0ECA" w14:paraId="57DC826F" w14:textId="77777777" w:rsidTr="00EB3ADA">
        <w:trPr>
          <w:cantSplit/>
        </w:trPr>
        <w:tc>
          <w:tcPr>
            <w:tcW w:w="6620" w:type="dxa"/>
          </w:tcPr>
          <w:p w14:paraId="1CEACC0C"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76A29FE1" w14:textId="78251E1C" w:rsidR="00F27DBC" w:rsidRPr="003A0ECA" w:rsidRDefault="00096B8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5</w:t>
            </w:r>
            <w:r w:rsidR="00515E95" w:rsidRPr="00F37276">
              <w:rPr>
                <w:b/>
                <w:bCs/>
                <w:rtl/>
                <w:lang w:val="en-US"/>
              </w:rPr>
              <w:t xml:space="preserve"> </w:t>
            </w:r>
            <w:r>
              <w:rPr>
                <w:rFonts w:hint="cs"/>
                <w:b/>
                <w:bCs/>
                <w:rtl/>
                <w:lang w:val="en-US"/>
              </w:rPr>
              <w:t>أكتوبر</w:t>
            </w:r>
            <w:r w:rsidR="00515E95" w:rsidRPr="00F37276">
              <w:rPr>
                <w:b/>
                <w:bCs/>
                <w:rtl/>
              </w:rPr>
              <w:t> </w:t>
            </w:r>
            <w:r w:rsidR="00515E95" w:rsidRPr="00F37276">
              <w:rPr>
                <w:b/>
                <w:bCs/>
              </w:rPr>
              <w:t>20</w:t>
            </w:r>
            <w:r w:rsidR="00515E95">
              <w:rPr>
                <w:b/>
                <w:bCs/>
              </w:rPr>
              <w:t>2</w:t>
            </w:r>
            <w:r w:rsidR="003039A5">
              <w:rPr>
                <w:b/>
                <w:bCs/>
              </w:rPr>
              <w:t>6</w:t>
            </w:r>
          </w:p>
        </w:tc>
      </w:tr>
      <w:tr w:rsidR="00F27DBC" w:rsidRPr="003A0ECA" w14:paraId="2640A87A" w14:textId="77777777" w:rsidTr="00EB3ADA">
        <w:trPr>
          <w:cantSplit/>
        </w:trPr>
        <w:tc>
          <w:tcPr>
            <w:tcW w:w="6620" w:type="dxa"/>
          </w:tcPr>
          <w:p w14:paraId="4184B45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B083E09"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2BF52C22" w14:textId="77777777" w:rsidTr="00EB3ADA">
        <w:trPr>
          <w:cantSplit/>
        </w:trPr>
        <w:tc>
          <w:tcPr>
            <w:tcW w:w="6620" w:type="dxa"/>
          </w:tcPr>
          <w:p w14:paraId="198C158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E23BC22"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391DEB2" w14:textId="77777777" w:rsidTr="00EB3ADA">
        <w:trPr>
          <w:cantSplit/>
        </w:trPr>
        <w:tc>
          <w:tcPr>
            <w:tcW w:w="9672" w:type="dxa"/>
            <w:gridSpan w:val="2"/>
          </w:tcPr>
          <w:p w14:paraId="77AAEEA3" w14:textId="31374F75" w:rsidR="003A0ECA" w:rsidRPr="003A0ECA" w:rsidRDefault="00096B8A" w:rsidP="00096B8A">
            <w:pPr>
              <w:pStyle w:val="Source"/>
              <w:rPr>
                <w:lang w:eastAsia="zh-CN"/>
              </w:rPr>
            </w:pPr>
            <w:r w:rsidRPr="00096B8A">
              <w:rPr>
                <w:rtl/>
                <w:lang w:eastAsia="zh-CN" w:bidi="ar-EG"/>
              </w:rPr>
              <w:t>تقرير الأمينة العامة</w:t>
            </w:r>
          </w:p>
        </w:tc>
      </w:tr>
      <w:tr w:rsidR="003A0ECA" w:rsidRPr="003A0ECA" w14:paraId="68C70BD9" w14:textId="77777777" w:rsidTr="00EB3ADA">
        <w:trPr>
          <w:cantSplit/>
        </w:trPr>
        <w:tc>
          <w:tcPr>
            <w:tcW w:w="9672" w:type="dxa"/>
            <w:gridSpan w:val="2"/>
          </w:tcPr>
          <w:p w14:paraId="3E1939B1" w14:textId="44503859" w:rsidR="003A0ECA" w:rsidRPr="003A0ECA" w:rsidRDefault="00096B8A" w:rsidP="00096B8A">
            <w:pPr>
              <w:pStyle w:val="Title1"/>
              <w:rPr>
                <w:lang w:eastAsia="zh-CN" w:bidi="ar-SY"/>
              </w:rPr>
            </w:pPr>
            <w:r w:rsidRPr="00096B8A">
              <w:rPr>
                <w:rtl/>
                <w:lang w:eastAsia="zh-CN" w:bidi="ar-SA"/>
              </w:rPr>
              <w:t xml:space="preserve">مستجدات الخصوم المتعلقة بالتأمين الصحي بعد انتهاء الخدمة </w:t>
            </w:r>
            <w:r w:rsidRPr="00096B8A">
              <w:rPr>
                <w:lang w:val="en-GB" w:eastAsia="zh-CN" w:bidi="ar-SY"/>
              </w:rPr>
              <w:t>(ASHI)</w:t>
            </w:r>
          </w:p>
        </w:tc>
      </w:tr>
      <w:tr w:rsidR="003A0ECA" w:rsidRPr="003A0ECA" w14:paraId="24F5BB56" w14:textId="77777777" w:rsidTr="00EB3ADA">
        <w:trPr>
          <w:cantSplit/>
        </w:trPr>
        <w:tc>
          <w:tcPr>
            <w:tcW w:w="9672" w:type="dxa"/>
            <w:gridSpan w:val="2"/>
          </w:tcPr>
          <w:p w14:paraId="6E49EC28" w14:textId="77777777" w:rsidR="003A0ECA" w:rsidRPr="003A0ECA" w:rsidRDefault="003A0ECA" w:rsidP="002A71E6">
            <w:pPr>
              <w:pStyle w:val="Title2"/>
              <w:rPr>
                <w:lang w:eastAsia="zh-CN"/>
              </w:rPr>
            </w:pPr>
          </w:p>
        </w:tc>
      </w:tr>
    </w:tbl>
    <w:p w14:paraId="02208F03" w14:textId="616ACF8D" w:rsidR="00716FEB" w:rsidRDefault="00716FEB" w:rsidP="00537938">
      <w:pPr>
        <w:rPr>
          <w:rtl/>
        </w:rPr>
      </w:pPr>
    </w:p>
    <w:tbl>
      <w:tblPr>
        <w:tblStyle w:val="TableGrid"/>
        <w:bidiVisual/>
        <w:tblW w:w="0" w:type="auto"/>
        <w:jc w:val="center"/>
        <w:tblLayout w:type="fixed"/>
        <w:tblLook w:val="04A0" w:firstRow="1" w:lastRow="0" w:firstColumn="1" w:lastColumn="0" w:noHBand="0" w:noVBand="1"/>
      </w:tblPr>
      <w:tblGrid>
        <w:gridCol w:w="7937"/>
      </w:tblGrid>
      <w:tr w:rsidR="00096B8A" w14:paraId="68F9CC19" w14:textId="77777777" w:rsidTr="00AD7EF8">
        <w:trPr>
          <w:trHeight w:val="3402"/>
          <w:jc w:val="center"/>
        </w:trPr>
        <w:tc>
          <w:tcPr>
            <w:tcW w:w="7937" w:type="dxa"/>
          </w:tcPr>
          <w:p w14:paraId="7A3B9CDA" w14:textId="77777777" w:rsidR="00096B8A" w:rsidRPr="00A61DCD" w:rsidRDefault="00096B8A" w:rsidP="00A61DCD">
            <w:pPr>
              <w:pStyle w:val="Headingb"/>
            </w:pPr>
            <w:r w:rsidRPr="00A61DCD">
              <w:rPr>
                <w:rtl/>
              </w:rPr>
              <w:t>ملخص</w:t>
            </w:r>
          </w:p>
          <w:p w14:paraId="5BFD3DD9" w14:textId="071E58FF" w:rsidR="00096B8A" w:rsidRPr="002A71E6" w:rsidRDefault="00096B8A" w:rsidP="00D462D0">
            <w:pPr>
              <w:rPr>
                <w:spacing w:val="-2"/>
                <w:szCs w:val="20"/>
                <w:lang w:val="ar-SA" w:eastAsia="zh-TW" w:bidi="en-GB"/>
              </w:rPr>
            </w:pPr>
            <w:r w:rsidRPr="002A71E6">
              <w:rPr>
                <w:spacing w:val="-2"/>
                <w:rtl/>
              </w:rPr>
              <w:t xml:space="preserve">تحديث بشأن حالة الخصوم المتعلقة بالتأمين الصحي بعد انتهاء الخدمة </w:t>
            </w:r>
            <w:r w:rsidRPr="002A71E6">
              <w:rPr>
                <w:rFonts w:ascii="Simplified Arabic"/>
                <w:spacing w:val="-2"/>
                <w:szCs w:val="20"/>
              </w:rPr>
              <w:t>(</w:t>
            </w:r>
            <w:r w:rsidRPr="002A71E6">
              <w:rPr>
                <w:rFonts w:cs="Times New Roman"/>
                <w:spacing w:val="-2"/>
                <w:sz w:val="20"/>
                <w:szCs w:val="20"/>
              </w:rPr>
              <w:t>ASHI</w:t>
            </w:r>
            <w:r w:rsidRPr="002A71E6">
              <w:rPr>
                <w:rFonts w:ascii="Simplified Arabic"/>
                <w:spacing w:val="-2"/>
                <w:szCs w:val="20"/>
              </w:rPr>
              <w:t>)</w:t>
            </w:r>
            <w:r w:rsidRPr="002A71E6">
              <w:rPr>
                <w:spacing w:val="-2"/>
                <w:rtl/>
              </w:rPr>
              <w:t xml:space="preserve">، بما في ذلك تنفيذ التوصيات ذات الصلة الصادرة عن مراجع الحسابات الخارجي، للاسترشاد به في المناقشات المتعلقة بالخطة المالية للفترة </w:t>
            </w:r>
            <w:r w:rsidR="00D462D0" w:rsidRPr="002A71E6">
              <w:rPr>
                <w:spacing w:val="-2"/>
              </w:rPr>
              <w:t>2031-2028</w:t>
            </w:r>
            <w:r w:rsidRPr="002A71E6">
              <w:rPr>
                <w:spacing w:val="-2"/>
                <w:rtl/>
              </w:rPr>
              <w:t xml:space="preserve"> في مؤتمر المندوبين المفوضين (الدوحة، </w:t>
            </w:r>
            <w:r w:rsidRPr="002A71E6">
              <w:rPr>
                <w:spacing w:val="-2"/>
              </w:rPr>
              <w:t>2026</w:t>
            </w:r>
            <w:r w:rsidRPr="002A71E6">
              <w:rPr>
                <w:rFonts w:ascii="Simplified Arabic"/>
                <w:spacing w:val="-2"/>
                <w:szCs w:val="20"/>
                <w:rtl/>
              </w:rPr>
              <w:t>)</w:t>
            </w:r>
            <w:r w:rsidRPr="002A71E6">
              <w:rPr>
                <w:spacing w:val="-2"/>
                <w:rtl/>
              </w:rPr>
              <w:t>. أوصى مراجع الحسابات الخارجي بأن يضع الاتحاد، بالتشاور مع أعضائه، سياسة واستراتيجية شاملتين لمعالجة الخصوم المتعلقة بالتأمين الصحي بعد انتهاء الخدمة. وينبغي أن يشمل ذلك تحديد مستوى مستهدف لاحتياطي ممول.</w:t>
            </w:r>
          </w:p>
          <w:p w14:paraId="1D3A81FB" w14:textId="77777777" w:rsidR="00096B8A" w:rsidRPr="00D462D0" w:rsidRDefault="00096B8A" w:rsidP="00AD7EF8">
            <w:pPr>
              <w:pStyle w:val="Headingb"/>
              <w:textDirection w:val="tbRlV"/>
            </w:pPr>
            <w:r w:rsidRPr="00D462D0">
              <w:rPr>
                <w:rtl/>
              </w:rPr>
              <w:t>الإجراء المطلوب</w:t>
            </w:r>
          </w:p>
          <w:p w14:paraId="68992CFC" w14:textId="77777777" w:rsidR="00096B8A" w:rsidRDefault="00096B8A" w:rsidP="00AD7EF8">
            <w:pPr>
              <w:spacing w:line="259" w:lineRule="auto"/>
              <w:textDirection w:val="tbRlV"/>
              <w:rPr>
                <w:szCs w:val="20"/>
                <w:lang w:val="ar-SA" w:eastAsia="zh-TW" w:bidi="en-GB"/>
              </w:rPr>
            </w:pPr>
            <w:r>
              <w:rPr>
                <w:color w:val="000000"/>
                <w:rtl/>
              </w:rPr>
              <w:t xml:space="preserve">يُدعى مؤتمر المندوبين المفوضين إلى </w:t>
            </w:r>
            <w:r w:rsidRPr="00201A93">
              <w:rPr>
                <w:b/>
                <w:bCs/>
                <w:color w:val="000000"/>
                <w:rtl/>
              </w:rPr>
              <w:t>الإحاطة علماً</w:t>
            </w:r>
            <w:r>
              <w:rPr>
                <w:color w:val="000000"/>
                <w:rtl/>
              </w:rPr>
              <w:t xml:space="preserve"> بهذا التقرير.</w:t>
            </w:r>
          </w:p>
          <w:p w14:paraId="575F9F3B" w14:textId="77777777" w:rsidR="00096B8A" w:rsidRPr="00D462D0" w:rsidRDefault="00096B8A" w:rsidP="00D462D0">
            <w:pPr>
              <w:pStyle w:val="Headingb"/>
              <w:textDirection w:val="tbRlV"/>
            </w:pPr>
            <w:r w:rsidRPr="00D462D0">
              <w:rPr>
                <w:rtl/>
              </w:rPr>
              <w:t>الآثار المالية</w:t>
            </w:r>
          </w:p>
          <w:p w14:paraId="0A6C728E" w14:textId="1DB7CA7C" w:rsidR="00096B8A" w:rsidRPr="00B64995" w:rsidRDefault="00096B8A" w:rsidP="00482265">
            <w:pPr>
              <w:tabs>
                <w:tab w:val="clear" w:pos="1134"/>
                <w:tab w:val="clear" w:pos="1701"/>
                <w:tab w:val="clear" w:pos="2835"/>
              </w:tabs>
              <w:textDirection w:val="tbRlV"/>
              <w:rPr>
                <w:szCs w:val="20"/>
                <w:lang w:val="ar-SA" w:eastAsia="zh-TW" w:bidi="en-GB"/>
              </w:rPr>
            </w:pPr>
            <w:r>
              <w:rPr>
                <w:color w:val="000000"/>
                <w:rtl/>
              </w:rPr>
              <w:t xml:space="preserve">لا </w:t>
            </w:r>
            <w:r w:rsidR="002A71E6">
              <w:rPr>
                <w:rFonts w:hint="cs"/>
                <w:color w:val="000000"/>
                <w:rtl/>
              </w:rPr>
              <w:t>يوجد</w:t>
            </w:r>
          </w:p>
          <w:p w14:paraId="7D735613" w14:textId="77777777" w:rsidR="00096B8A" w:rsidRDefault="00096B8A" w:rsidP="00AD7EF8">
            <w:pPr>
              <w:jc w:val="center"/>
              <w:textDirection w:val="tbRlV"/>
              <w:rPr>
                <w:szCs w:val="20"/>
                <w:lang w:val="ar-SA" w:eastAsia="zh-TW" w:bidi="en-GB"/>
              </w:rPr>
            </w:pPr>
            <w:r>
              <w:rPr>
                <w:rFonts w:ascii="Simplified Arabic"/>
                <w:color w:val="000000"/>
                <w:szCs w:val="20"/>
              </w:rPr>
              <w:t>______________</w:t>
            </w:r>
          </w:p>
          <w:p w14:paraId="4CBA0259" w14:textId="77777777" w:rsidR="00096B8A" w:rsidRPr="00D462D0" w:rsidRDefault="00096B8A" w:rsidP="00AD7EF8">
            <w:pPr>
              <w:pStyle w:val="Headingb"/>
              <w:textDirection w:val="tbRlV"/>
            </w:pPr>
            <w:r w:rsidRPr="00D462D0">
              <w:rPr>
                <w:rtl/>
              </w:rPr>
              <w:t>المراجع</w:t>
            </w:r>
          </w:p>
          <w:p w14:paraId="16F8FC75" w14:textId="7C8D263E" w:rsidR="00096B8A" w:rsidRPr="008A665D" w:rsidRDefault="00096B8A" w:rsidP="00482265">
            <w:pPr>
              <w:rPr>
                <w:i/>
                <w:iCs/>
                <w:lang w:val="ar-SA" w:eastAsia="zh-TW" w:bidi="en-GB"/>
              </w:rPr>
            </w:pPr>
            <w:r w:rsidRPr="008A665D">
              <w:rPr>
                <w:i/>
                <w:iCs/>
                <w:rtl/>
              </w:rPr>
              <w:t xml:space="preserve">وثائق المجلس </w:t>
            </w:r>
            <w:hyperlink r:id="rId8" w:history="1">
              <w:r w:rsidRPr="008A665D">
                <w:rPr>
                  <w:rStyle w:val="Hyperlink"/>
                  <w:i/>
                  <w:iCs/>
                </w:rPr>
                <w:t>C26/116</w:t>
              </w:r>
            </w:hyperlink>
            <w:r w:rsidRPr="008A665D">
              <w:rPr>
                <w:i/>
                <w:iCs/>
                <w:rtl/>
              </w:rPr>
              <w:t xml:space="preserve"> (الفقرة </w:t>
            </w:r>
            <w:r w:rsidRPr="008A665D">
              <w:rPr>
                <w:i/>
                <w:iCs/>
              </w:rPr>
              <w:t>14</w:t>
            </w:r>
            <w:r w:rsidRPr="008A665D">
              <w:rPr>
                <w:i/>
                <w:iCs/>
                <w:rtl/>
              </w:rPr>
              <w:t>) و</w:t>
            </w:r>
            <w:hyperlink r:id="rId9" w:history="1">
              <w:r w:rsidRPr="008A665D">
                <w:rPr>
                  <w:rStyle w:val="Hyperlink"/>
                  <w:i/>
                  <w:iCs/>
                </w:rPr>
                <w:t>C26/46</w:t>
              </w:r>
            </w:hyperlink>
            <w:r w:rsidRPr="008A665D">
              <w:rPr>
                <w:i/>
                <w:iCs/>
                <w:rtl/>
              </w:rPr>
              <w:t xml:space="preserve"> و</w:t>
            </w:r>
            <w:hyperlink r:id="rId10" w:history="1">
              <w:proofErr w:type="spellStart"/>
              <w:r w:rsidRPr="008A665D">
                <w:rPr>
                  <w:rStyle w:val="Hyperlink"/>
                  <w:i/>
                  <w:iCs/>
                </w:rPr>
                <w:t>C26</w:t>
              </w:r>
              <w:proofErr w:type="spellEnd"/>
              <w:r w:rsidRPr="008A665D">
                <w:rPr>
                  <w:rStyle w:val="Hyperlink"/>
                  <w:i/>
                  <w:iCs/>
                </w:rPr>
                <w:t>/41</w:t>
              </w:r>
            </w:hyperlink>
            <w:hyperlink r:id="rId11" w:history="1"/>
          </w:p>
        </w:tc>
      </w:tr>
    </w:tbl>
    <w:p w14:paraId="59A93F5E" w14:textId="77777777" w:rsidR="00096B8A" w:rsidRPr="00096B8A" w:rsidRDefault="00096B8A" w:rsidP="002A71E6">
      <w:pPr>
        <w:rPr>
          <w:rtl/>
        </w:rPr>
      </w:pPr>
    </w:p>
    <w:p w14:paraId="361B257B" w14:textId="77777777" w:rsidR="00202773" w:rsidRDefault="00716FEB" w:rsidP="002A71E6">
      <w:r>
        <w:rPr>
          <w:rtl/>
        </w:rPr>
        <w:br w:type="page"/>
      </w:r>
    </w:p>
    <w:p w14:paraId="017D31AF" w14:textId="1EB9952D" w:rsidR="00CF64D3" w:rsidRPr="00CF64D3" w:rsidRDefault="009A005F" w:rsidP="001E40A8">
      <w:pPr>
        <w:pStyle w:val="Heading1"/>
        <w:rPr>
          <w:lang w:val="ar-SA"/>
        </w:rPr>
      </w:pPr>
      <w:r>
        <w:rPr>
          <w:lang w:bidi="ar-SA"/>
        </w:rPr>
        <w:lastRenderedPageBreak/>
        <w:t>1</w:t>
      </w:r>
      <w:r w:rsidR="00CF64D3" w:rsidRPr="00CF64D3">
        <w:rPr>
          <w:rtl/>
          <w:lang w:bidi="ar-SA"/>
        </w:rPr>
        <w:tab/>
        <w:t>ملخص تنفيذي</w:t>
      </w:r>
    </w:p>
    <w:p w14:paraId="3AE7C990" w14:textId="7325754E" w:rsidR="00CF64D3" w:rsidRPr="00CF64D3" w:rsidRDefault="009A005F" w:rsidP="00CF64D3">
      <w:pPr>
        <w:rPr>
          <w:lang w:val="ar-SA"/>
        </w:rPr>
      </w:pPr>
      <w:r>
        <w:rPr>
          <w:lang w:bidi="ar-SA"/>
        </w:rPr>
        <w:t>1.1</w:t>
      </w:r>
      <w:r w:rsidR="00CF64D3" w:rsidRPr="00CF64D3">
        <w:rPr>
          <w:rtl/>
          <w:lang w:bidi="ar-SA"/>
        </w:rPr>
        <w:tab/>
        <w:t xml:space="preserve">في </w:t>
      </w:r>
      <w:r>
        <w:rPr>
          <w:lang w:bidi="ar-SA"/>
        </w:rPr>
        <w:t>31</w:t>
      </w:r>
      <w:r w:rsidR="00CF64D3" w:rsidRPr="00CF64D3">
        <w:rPr>
          <w:rtl/>
          <w:lang w:bidi="ar-SA"/>
        </w:rPr>
        <w:t xml:space="preserve"> ديسمبر </w:t>
      </w:r>
      <w:r w:rsidR="00CF64D3" w:rsidRPr="00CF64D3">
        <w:rPr>
          <w:lang w:bidi="ar-SA"/>
        </w:rPr>
        <w:t>2025</w:t>
      </w:r>
      <w:r w:rsidR="00CF64D3" w:rsidRPr="00CF64D3">
        <w:rPr>
          <w:rtl/>
          <w:lang w:bidi="ar-SA"/>
        </w:rPr>
        <w:t xml:space="preserve">، بلغت الخصوم المتعلقة بالتأمين الصحي بعد انتهاء الخدمة </w:t>
      </w:r>
      <w:r w:rsidR="00CF64D3" w:rsidRPr="00CF64D3">
        <w:rPr>
          <w:lang w:bidi="ar-SA"/>
        </w:rPr>
        <w:t>378,8</w:t>
      </w:r>
      <w:r w:rsidR="00CF64D3" w:rsidRPr="00CF64D3">
        <w:rPr>
          <w:rtl/>
          <w:lang w:bidi="ar-SA"/>
        </w:rPr>
        <w:t xml:space="preserve"> مليون فرنك سويسري، في</w:t>
      </w:r>
      <w:r w:rsidR="005E2B39">
        <w:rPr>
          <w:rFonts w:hint="cs"/>
          <w:rtl/>
          <w:lang w:bidi="ar-SA"/>
        </w:rPr>
        <w:t> </w:t>
      </w:r>
      <w:r w:rsidR="00CF64D3" w:rsidRPr="00CF64D3">
        <w:rPr>
          <w:rtl/>
          <w:lang w:bidi="ar-SA"/>
        </w:rPr>
        <w:t xml:space="preserve">حين لم تتجاوز الأصول المخصصة لتمويل هذه الالتزامات </w:t>
      </w:r>
      <w:r w:rsidR="00CF64D3" w:rsidRPr="00CF64D3">
        <w:rPr>
          <w:lang w:bidi="ar-SA"/>
        </w:rPr>
        <w:t>15</w:t>
      </w:r>
      <w:r w:rsidR="00CF64D3" w:rsidRPr="00CF64D3">
        <w:rPr>
          <w:rtl/>
          <w:lang w:bidi="ar-SA"/>
        </w:rPr>
        <w:t xml:space="preserve"> مليون فرنك سويسري، وسجّل صافي أصول الاتحاد رصيداً سالباً قدره </w:t>
      </w:r>
      <w:r w:rsidR="00CF64D3" w:rsidRPr="00CF64D3">
        <w:rPr>
          <w:lang w:bidi="ar-SA"/>
        </w:rPr>
        <w:t>279,8</w:t>
      </w:r>
      <w:r w:rsidR="00CF64D3" w:rsidRPr="00CF64D3">
        <w:rPr>
          <w:rtl/>
          <w:lang w:bidi="ar-SA"/>
        </w:rPr>
        <w:t xml:space="preserve"> مليون فرنك سويسري. ولا يزال أكثر من </w:t>
      </w:r>
      <w:r w:rsidR="00CF64D3" w:rsidRPr="00CF64D3">
        <w:rPr>
          <w:lang w:bidi="ar-SA"/>
        </w:rPr>
        <w:t>96</w:t>
      </w:r>
      <w:r w:rsidR="00CF64D3" w:rsidRPr="00CF64D3">
        <w:rPr>
          <w:rtl/>
          <w:lang w:bidi="ar-SA"/>
        </w:rPr>
        <w:t xml:space="preserve"> في المائة من هذه الخصوم غير ممول، مما يؤثر تأثيراً كبيراً في</w:t>
      </w:r>
      <w:r w:rsidR="00E20CF4">
        <w:rPr>
          <w:rFonts w:hint="cs"/>
          <w:rtl/>
          <w:lang w:bidi="ar-SA"/>
        </w:rPr>
        <w:t> </w:t>
      </w:r>
      <w:r w:rsidR="00CF64D3" w:rsidRPr="00CF64D3">
        <w:rPr>
          <w:rtl/>
          <w:lang w:bidi="ar-SA"/>
        </w:rPr>
        <w:t xml:space="preserve">الوضع المالي للاتحاد ويُضعفه بسبب ضخامة الخصوم غير الممولة المتعلقة بالتأمين الصحي بعد انتهاء الخدمة </w:t>
      </w:r>
      <w:r w:rsidR="00CF64D3" w:rsidRPr="00CF64D3">
        <w:rPr>
          <w:lang w:val="en-US"/>
        </w:rPr>
        <w:t>(ASHI)</w:t>
      </w:r>
      <w:r w:rsidR="00CF64D3" w:rsidRPr="00CF64D3">
        <w:rPr>
          <w:rtl/>
          <w:lang w:bidi="ar-SA"/>
        </w:rPr>
        <w:t>.</w:t>
      </w:r>
    </w:p>
    <w:p w14:paraId="692C5B9F" w14:textId="0FAFEA91" w:rsidR="00CF64D3" w:rsidRPr="00CF64D3" w:rsidRDefault="00FC2245" w:rsidP="00CF64D3">
      <w:pPr>
        <w:rPr>
          <w:lang w:val="ar-SA"/>
        </w:rPr>
      </w:pPr>
      <w:r>
        <w:rPr>
          <w:lang w:bidi="ar-SA"/>
        </w:rPr>
        <w:t>2.1</w:t>
      </w:r>
      <w:r w:rsidR="00CF64D3" w:rsidRPr="00CF64D3">
        <w:rPr>
          <w:rtl/>
          <w:lang w:bidi="ar-SA"/>
        </w:rPr>
        <w:tab/>
        <w:t>وكما أبرز مراجعو الحسابات الخارجيون، فإن الالتزامات غير الممولة المتعلقة بالتأمين الصحي بعد انتهاء الخدمة تتجاوز وحدها القيمة السالبة لصافي أصول المنظمة، مما يدل على أن هذه الالتزامات لا تزال السبب الرئيسي وراء ضعف المركز المالي للاتحاد، وتشكل أكبر خطر مالي يواجهه على المدى الطويل.</w:t>
      </w:r>
    </w:p>
    <w:p w14:paraId="65C3E4E9" w14:textId="642B20CC" w:rsidR="00CF64D3" w:rsidRPr="00DB5EBF" w:rsidRDefault="005F416E" w:rsidP="00CF64D3">
      <w:pPr>
        <w:rPr>
          <w:spacing w:val="-2"/>
          <w:lang w:val="ar-SA"/>
        </w:rPr>
      </w:pPr>
      <w:r w:rsidRPr="00DB5EBF">
        <w:rPr>
          <w:spacing w:val="-2"/>
          <w:lang w:bidi="ar-SA"/>
        </w:rPr>
        <w:t>3.1</w:t>
      </w:r>
      <w:r w:rsidR="00CF64D3" w:rsidRPr="00DB5EBF">
        <w:rPr>
          <w:spacing w:val="-2"/>
          <w:rtl/>
          <w:lang w:bidi="ar-SA"/>
        </w:rPr>
        <w:tab/>
        <w:t>وعلى الرغم من أن التطورات الاكتوارية الأخيرة أدت إلى انخفاض الخصوم المسجلة، فإن هذه التحسينات تُعزى أساساً إلى</w:t>
      </w:r>
      <w:r w:rsidR="00DB5EBF">
        <w:rPr>
          <w:rFonts w:hint="cs"/>
          <w:spacing w:val="-2"/>
          <w:rtl/>
          <w:lang w:bidi="ar-SA"/>
        </w:rPr>
        <w:t> </w:t>
      </w:r>
      <w:r w:rsidR="00CF64D3" w:rsidRPr="00DB5EBF">
        <w:rPr>
          <w:spacing w:val="-2"/>
          <w:rtl/>
          <w:lang w:bidi="ar-SA"/>
        </w:rPr>
        <w:t>التغيرات في الافتراضات المالية، وليس إلى تدابير تمويل هيكلية. وبناءً على ذلك، يظل التحدي المالي الأساسي دون تغيير</w:t>
      </w:r>
      <w:r w:rsidR="003E601A" w:rsidRPr="00DB5EBF">
        <w:rPr>
          <w:rFonts w:hint="cs"/>
          <w:spacing w:val="-2"/>
          <w:rtl/>
          <w:lang w:bidi="ar-SA"/>
        </w:rPr>
        <w:t> </w:t>
      </w:r>
      <w:r w:rsidR="00CF64D3" w:rsidRPr="00DB5EBF">
        <w:rPr>
          <w:spacing w:val="-2"/>
          <w:rtl/>
          <w:lang w:bidi="ar-SA"/>
        </w:rPr>
        <w:t>يُذكر.</w:t>
      </w:r>
    </w:p>
    <w:p w14:paraId="2731AC0B" w14:textId="4D3281E8" w:rsidR="00CF64D3" w:rsidRPr="00CF64D3" w:rsidRDefault="009B1A1B" w:rsidP="00CF64D3">
      <w:pPr>
        <w:rPr>
          <w:lang w:val="ar-SA"/>
        </w:rPr>
      </w:pPr>
      <w:r>
        <w:rPr>
          <w:lang w:bidi="ar-SA"/>
        </w:rPr>
        <w:t>4.1</w:t>
      </w:r>
      <w:r>
        <w:rPr>
          <w:rtl/>
        </w:rPr>
        <w:tab/>
      </w:r>
      <w:r w:rsidR="00CF64D3" w:rsidRPr="00CF64D3">
        <w:rPr>
          <w:rtl/>
          <w:lang w:bidi="ar-SA"/>
        </w:rPr>
        <w:t xml:space="preserve">وتهدف هذه الوثيقة إلى تقديم تحليل مفصل للتأمين الصحي بعد انتهاء الخدمة </w:t>
      </w:r>
      <w:r w:rsidR="00CF64D3" w:rsidRPr="00CF64D3">
        <w:rPr>
          <w:lang w:val="en-US"/>
        </w:rPr>
        <w:t>(ASHI)</w:t>
      </w:r>
      <w:r w:rsidR="00CF64D3" w:rsidRPr="00CF64D3">
        <w:rPr>
          <w:rtl/>
          <w:lang w:bidi="ar-SA"/>
        </w:rPr>
        <w:t>، بما في ذلك تحليل إكتواري محدَّث ومقارنة مرجعية، لحشد دعم الدول الأعضاء للشروع في تنفيذ استراتيجية تمويل شاملة وطويلة الأجل.</w:t>
      </w:r>
    </w:p>
    <w:p w14:paraId="37A1DCF7" w14:textId="77777777" w:rsidR="00CF64D3" w:rsidRPr="00CF64D3" w:rsidRDefault="00CF64D3" w:rsidP="00C4495B">
      <w:pPr>
        <w:pStyle w:val="Heading1"/>
        <w:rPr>
          <w:lang w:bidi="ar-SA"/>
        </w:rPr>
      </w:pPr>
      <w:r w:rsidRPr="00CF64D3">
        <w:rPr>
          <w:lang w:bidi="ar-SA"/>
        </w:rPr>
        <w:t>2</w:t>
      </w:r>
      <w:r w:rsidRPr="00CF64D3">
        <w:rPr>
          <w:lang w:bidi="ar-SA"/>
        </w:rPr>
        <w:tab/>
      </w:r>
      <w:r w:rsidRPr="00CF64D3">
        <w:rPr>
          <w:rtl/>
          <w:lang w:bidi="ar-SA"/>
        </w:rPr>
        <w:t>الوضع المالي الراهن</w:t>
      </w:r>
    </w:p>
    <w:p w14:paraId="3447DAF2" w14:textId="2CE60F9B" w:rsidR="00CF64D3" w:rsidRPr="00CF64D3" w:rsidRDefault="00091C44" w:rsidP="00091C44">
      <w:pPr>
        <w:rPr>
          <w:lang w:val="en-US"/>
        </w:rPr>
      </w:pPr>
      <w:r>
        <w:rPr>
          <w:lang w:bidi="ar-SA"/>
        </w:rPr>
        <w:t>1.2</w:t>
      </w:r>
      <w:r w:rsidR="00CF64D3" w:rsidRPr="00CF64D3">
        <w:rPr>
          <w:rtl/>
          <w:lang w:bidi="ar-SA"/>
        </w:rPr>
        <w:tab/>
        <w:t>يُظهر تطور الخصوم المتعلقة بالتأمين الصحي بعد انتهاء الخدمة خلال السنوات الأخيرة مدى تأثرها الكبير بالافتراضات الاقتصادية والاكتوارية الخارجية.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4"/>
        <w:gridCol w:w="1326"/>
        <w:gridCol w:w="1326"/>
        <w:gridCol w:w="1326"/>
        <w:gridCol w:w="1326"/>
        <w:gridCol w:w="1311"/>
      </w:tblGrid>
      <w:tr w:rsidR="00CF64D3" w:rsidRPr="00F74D46" w14:paraId="6723525E" w14:textId="77777777" w:rsidTr="00303861">
        <w:tc>
          <w:tcPr>
            <w:tcW w:w="3014" w:type="dxa"/>
            <w:hideMark/>
          </w:tcPr>
          <w:p w14:paraId="43A7433D" w14:textId="77777777" w:rsidR="00CF64D3" w:rsidRPr="00F74D46" w:rsidRDefault="00CF64D3" w:rsidP="00091C44">
            <w:pPr>
              <w:pStyle w:val="Tablehead"/>
              <w:rPr>
                <w:position w:val="4"/>
                <w:lang w:val="en-US"/>
              </w:rPr>
            </w:pPr>
          </w:p>
        </w:tc>
        <w:tc>
          <w:tcPr>
            <w:tcW w:w="1326" w:type="dxa"/>
            <w:hideMark/>
          </w:tcPr>
          <w:p w14:paraId="02CB6663" w14:textId="77777777" w:rsidR="00CF64D3" w:rsidRPr="00F74D46" w:rsidRDefault="00CF64D3" w:rsidP="00091C44">
            <w:pPr>
              <w:pStyle w:val="Tablehead"/>
              <w:rPr>
                <w:position w:val="4"/>
                <w:lang w:val="ar-SA"/>
              </w:rPr>
            </w:pPr>
            <w:r w:rsidRPr="00F74D46">
              <w:rPr>
                <w:position w:val="4"/>
                <w:lang w:bidi="ar-SA"/>
              </w:rPr>
              <w:t>2021</w:t>
            </w:r>
          </w:p>
        </w:tc>
        <w:tc>
          <w:tcPr>
            <w:tcW w:w="1326" w:type="dxa"/>
          </w:tcPr>
          <w:p w14:paraId="502394AB" w14:textId="77777777" w:rsidR="00CF64D3" w:rsidRPr="00F74D46" w:rsidRDefault="00CF64D3" w:rsidP="00091C44">
            <w:pPr>
              <w:pStyle w:val="Tablehead"/>
              <w:rPr>
                <w:position w:val="4"/>
                <w:lang w:val="ar-SA"/>
              </w:rPr>
            </w:pPr>
            <w:r w:rsidRPr="00F74D46">
              <w:rPr>
                <w:position w:val="4"/>
                <w:lang w:bidi="ar-SA"/>
              </w:rPr>
              <w:t>2022</w:t>
            </w:r>
          </w:p>
        </w:tc>
        <w:tc>
          <w:tcPr>
            <w:tcW w:w="1326" w:type="dxa"/>
          </w:tcPr>
          <w:p w14:paraId="000B4084" w14:textId="77777777" w:rsidR="00CF64D3" w:rsidRPr="00F74D46" w:rsidRDefault="00CF64D3" w:rsidP="00091C44">
            <w:pPr>
              <w:pStyle w:val="Tablehead"/>
              <w:rPr>
                <w:position w:val="4"/>
                <w:lang w:val="ar-SA"/>
              </w:rPr>
            </w:pPr>
            <w:r w:rsidRPr="00F74D46">
              <w:rPr>
                <w:position w:val="4"/>
                <w:lang w:bidi="ar-SA"/>
              </w:rPr>
              <w:t>2023</w:t>
            </w:r>
          </w:p>
        </w:tc>
        <w:tc>
          <w:tcPr>
            <w:tcW w:w="1326" w:type="dxa"/>
          </w:tcPr>
          <w:p w14:paraId="4AB6AAA5" w14:textId="77777777" w:rsidR="00CF64D3" w:rsidRPr="00F74D46" w:rsidRDefault="00CF64D3" w:rsidP="00091C44">
            <w:pPr>
              <w:pStyle w:val="Tablehead"/>
              <w:rPr>
                <w:position w:val="4"/>
                <w:lang w:val="ar-SA"/>
              </w:rPr>
            </w:pPr>
            <w:r w:rsidRPr="00F74D46">
              <w:rPr>
                <w:position w:val="4"/>
                <w:lang w:bidi="ar-SA"/>
              </w:rPr>
              <w:t>2024</w:t>
            </w:r>
          </w:p>
        </w:tc>
        <w:tc>
          <w:tcPr>
            <w:tcW w:w="1311" w:type="dxa"/>
          </w:tcPr>
          <w:p w14:paraId="5CBD599A" w14:textId="77777777" w:rsidR="00CF64D3" w:rsidRPr="00F74D46" w:rsidRDefault="00CF64D3" w:rsidP="00091C44">
            <w:pPr>
              <w:pStyle w:val="Tablehead"/>
              <w:rPr>
                <w:position w:val="4"/>
                <w:lang w:val="ar-SA"/>
              </w:rPr>
            </w:pPr>
            <w:r w:rsidRPr="00F74D46">
              <w:rPr>
                <w:position w:val="4"/>
                <w:lang w:bidi="ar-SA"/>
              </w:rPr>
              <w:t>2025</w:t>
            </w:r>
          </w:p>
        </w:tc>
      </w:tr>
      <w:tr w:rsidR="00580BF0" w:rsidRPr="00F74D46" w14:paraId="43B2EEB7" w14:textId="77777777" w:rsidTr="00303861">
        <w:tc>
          <w:tcPr>
            <w:tcW w:w="3014" w:type="dxa"/>
            <w:hideMark/>
          </w:tcPr>
          <w:p w14:paraId="511BCFCA" w14:textId="77777777" w:rsidR="00580BF0" w:rsidRPr="00F74D46" w:rsidRDefault="00580BF0" w:rsidP="001276BF">
            <w:pPr>
              <w:pStyle w:val="Tabletext"/>
              <w:rPr>
                <w:position w:val="4"/>
                <w:lang w:val="ar-SA"/>
              </w:rPr>
            </w:pPr>
            <w:r w:rsidRPr="00F74D46">
              <w:rPr>
                <w:position w:val="4"/>
                <w:rtl/>
                <w:lang w:bidi="ar-SA"/>
              </w:rPr>
              <w:t>معدل الخصم</w:t>
            </w:r>
          </w:p>
        </w:tc>
        <w:tc>
          <w:tcPr>
            <w:tcW w:w="1326" w:type="dxa"/>
            <w:hideMark/>
          </w:tcPr>
          <w:p w14:paraId="32FF6AF3" w14:textId="6C2DC87E" w:rsidR="00580BF0" w:rsidRPr="00F74D46" w:rsidRDefault="00580BF0" w:rsidP="00580BF0">
            <w:pPr>
              <w:pStyle w:val="Tabletext"/>
              <w:rPr>
                <w:position w:val="4"/>
                <w:rtl/>
                <w:lang w:val="ar-SA"/>
              </w:rPr>
            </w:pPr>
            <w:r>
              <w:rPr>
                <w:position w:val="4"/>
                <w:lang w:val="en-US"/>
              </w:rPr>
              <w:t>%0,50</w:t>
            </w:r>
          </w:p>
        </w:tc>
        <w:tc>
          <w:tcPr>
            <w:tcW w:w="1326" w:type="dxa"/>
          </w:tcPr>
          <w:p w14:paraId="0BB6BBB4" w14:textId="5AB9D5D9" w:rsidR="00580BF0" w:rsidRPr="00F74D46" w:rsidRDefault="00580BF0" w:rsidP="00580BF0">
            <w:pPr>
              <w:pStyle w:val="Tabletext"/>
              <w:rPr>
                <w:position w:val="4"/>
                <w:lang w:val="ar-SA"/>
              </w:rPr>
            </w:pPr>
            <w:r>
              <w:rPr>
                <w:position w:val="4"/>
                <w:lang w:val="en-US"/>
              </w:rPr>
              <w:t>%2,50</w:t>
            </w:r>
          </w:p>
        </w:tc>
        <w:tc>
          <w:tcPr>
            <w:tcW w:w="1326" w:type="dxa"/>
          </w:tcPr>
          <w:p w14:paraId="7C4BB08B" w14:textId="42BA2A71" w:rsidR="00580BF0" w:rsidRPr="00F74D46" w:rsidRDefault="00580BF0" w:rsidP="00580BF0">
            <w:pPr>
              <w:pStyle w:val="Tabletext"/>
              <w:rPr>
                <w:position w:val="4"/>
                <w:lang w:val="ar-SA"/>
              </w:rPr>
            </w:pPr>
            <w:r>
              <w:rPr>
                <w:position w:val="4"/>
                <w:lang w:val="en-US"/>
              </w:rPr>
              <w:t>%1,90</w:t>
            </w:r>
          </w:p>
        </w:tc>
        <w:tc>
          <w:tcPr>
            <w:tcW w:w="1326" w:type="dxa"/>
          </w:tcPr>
          <w:p w14:paraId="7EC0C19F" w14:textId="6AF84DE7" w:rsidR="00580BF0" w:rsidRPr="00F74D46" w:rsidRDefault="00580BF0" w:rsidP="00580BF0">
            <w:pPr>
              <w:pStyle w:val="Tabletext"/>
              <w:rPr>
                <w:position w:val="4"/>
                <w:lang w:val="ar-SA"/>
              </w:rPr>
            </w:pPr>
            <w:r>
              <w:rPr>
                <w:position w:val="4"/>
                <w:lang w:val="en-US"/>
              </w:rPr>
              <w:t>%1,40</w:t>
            </w:r>
          </w:p>
        </w:tc>
        <w:tc>
          <w:tcPr>
            <w:tcW w:w="1311" w:type="dxa"/>
          </w:tcPr>
          <w:p w14:paraId="43D0FE27" w14:textId="0730FC35" w:rsidR="00580BF0" w:rsidRPr="00F74D46" w:rsidRDefault="00580BF0" w:rsidP="00580BF0">
            <w:pPr>
              <w:pStyle w:val="Tabletext"/>
              <w:rPr>
                <w:position w:val="4"/>
                <w:lang w:val="ar-SA"/>
              </w:rPr>
            </w:pPr>
            <w:r>
              <w:rPr>
                <w:position w:val="4"/>
                <w:lang w:val="en-US"/>
              </w:rPr>
              <w:t>%1,80</w:t>
            </w:r>
          </w:p>
        </w:tc>
      </w:tr>
      <w:tr w:rsidR="00580BF0" w:rsidRPr="00F74D46" w14:paraId="198F612F" w14:textId="77777777" w:rsidTr="00303861">
        <w:tc>
          <w:tcPr>
            <w:tcW w:w="3014" w:type="dxa"/>
            <w:hideMark/>
          </w:tcPr>
          <w:p w14:paraId="427CC66F" w14:textId="77777777" w:rsidR="00580BF0" w:rsidRPr="00F74D46" w:rsidRDefault="00580BF0" w:rsidP="001276BF">
            <w:pPr>
              <w:pStyle w:val="Tabletext"/>
              <w:rPr>
                <w:position w:val="4"/>
                <w:lang w:val="ar-SA"/>
              </w:rPr>
            </w:pPr>
            <w:r w:rsidRPr="00F74D46">
              <w:rPr>
                <w:position w:val="4"/>
                <w:rtl/>
                <w:lang w:bidi="ar-SA"/>
              </w:rPr>
              <w:t>زيادة التكاليف الطبية</w:t>
            </w:r>
          </w:p>
        </w:tc>
        <w:tc>
          <w:tcPr>
            <w:tcW w:w="1326" w:type="dxa"/>
            <w:hideMark/>
          </w:tcPr>
          <w:p w14:paraId="47D57600" w14:textId="75DBDE4A" w:rsidR="00580BF0" w:rsidRPr="00F74D46" w:rsidRDefault="00580BF0" w:rsidP="00580BF0">
            <w:pPr>
              <w:pStyle w:val="Tabletext"/>
              <w:rPr>
                <w:position w:val="4"/>
              </w:rPr>
            </w:pPr>
            <w:r>
              <w:rPr>
                <w:position w:val="4"/>
                <w:lang w:val="en-US"/>
              </w:rPr>
              <w:t>%2,50</w:t>
            </w:r>
          </w:p>
        </w:tc>
        <w:tc>
          <w:tcPr>
            <w:tcW w:w="1326" w:type="dxa"/>
          </w:tcPr>
          <w:p w14:paraId="631CCA7F" w14:textId="13D54C16" w:rsidR="00580BF0" w:rsidRPr="00F74D46" w:rsidRDefault="00580BF0" w:rsidP="00580BF0">
            <w:pPr>
              <w:pStyle w:val="Tabletext"/>
              <w:rPr>
                <w:position w:val="4"/>
                <w:lang w:val="ar-SA"/>
              </w:rPr>
            </w:pPr>
            <w:r>
              <w:rPr>
                <w:position w:val="4"/>
                <w:lang w:val="en-US"/>
              </w:rPr>
              <w:t>%2,80</w:t>
            </w:r>
          </w:p>
        </w:tc>
        <w:tc>
          <w:tcPr>
            <w:tcW w:w="1326" w:type="dxa"/>
          </w:tcPr>
          <w:p w14:paraId="62914493" w14:textId="322C8D24" w:rsidR="00580BF0" w:rsidRPr="00F74D46" w:rsidRDefault="00580BF0" w:rsidP="00580BF0">
            <w:pPr>
              <w:pStyle w:val="Tabletext"/>
              <w:rPr>
                <w:position w:val="4"/>
                <w:lang w:val="ar-SA"/>
              </w:rPr>
            </w:pPr>
            <w:r>
              <w:rPr>
                <w:position w:val="4"/>
                <w:lang w:val="en-US"/>
              </w:rPr>
              <w:t>%2,60</w:t>
            </w:r>
          </w:p>
        </w:tc>
        <w:tc>
          <w:tcPr>
            <w:tcW w:w="1326" w:type="dxa"/>
          </w:tcPr>
          <w:p w14:paraId="7A009E74" w14:textId="62BF2A88" w:rsidR="00580BF0" w:rsidRPr="00F74D46" w:rsidRDefault="00580BF0" w:rsidP="00580BF0">
            <w:pPr>
              <w:pStyle w:val="Tabletext"/>
              <w:rPr>
                <w:position w:val="4"/>
                <w:lang w:val="ar-SA"/>
              </w:rPr>
            </w:pPr>
            <w:r>
              <w:rPr>
                <w:position w:val="4"/>
                <w:lang w:val="en-US"/>
              </w:rPr>
              <w:t>%2,40</w:t>
            </w:r>
          </w:p>
        </w:tc>
        <w:tc>
          <w:tcPr>
            <w:tcW w:w="1311" w:type="dxa"/>
          </w:tcPr>
          <w:p w14:paraId="04CBCD4B" w14:textId="5A51D5DB" w:rsidR="00580BF0" w:rsidRPr="00F74D46" w:rsidRDefault="00580BF0" w:rsidP="00580BF0">
            <w:pPr>
              <w:pStyle w:val="Tabletext"/>
              <w:rPr>
                <w:position w:val="4"/>
                <w:lang w:val="ar-SA"/>
              </w:rPr>
            </w:pPr>
            <w:r>
              <w:rPr>
                <w:position w:val="4"/>
                <w:lang w:val="en-US"/>
              </w:rPr>
              <w:t>%2,20</w:t>
            </w:r>
          </w:p>
        </w:tc>
      </w:tr>
      <w:tr w:rsidR="00580BF0" w:rsidRPr="00F74D46" w14:paraId="44D8EF6C" w14:textId="77777777" w:rsidTr="00303861">
        <w:tc>
          <w:tcPr>
            <w:tcW w:w="3014" w:type="dxa"/>
            <w:hideMark/>
          </w:tcPr>
          <w:p w14:paraId="2C8FFEA0" w14:textId="77777777" w:rsidR="00580BF0" w:rsidRPr="00F74D46" w:rsidRDefault="00580BF0" w:rsidP="001276BF">
            <w:pPr>
              <w:pStyle w:val="Tabletext"/>
              <w:rPr>
                <w:position w:val="4"/>
                <w:lang w:val="ar-SA"/>
              </w:rPr>
            </w:pPr>
            <w:r w:rsidRPr="00F74D46">
              <w:rPr>
                <w:position w:val="4"/>
                <w:rtl/>
                <w:lang w:bidi="ar-SA"/>
              </w:rPr>
              <w:t>زيادة المرتبات</w:t>
            </w:r>
          </w:p>
        </w:tc>
        <w:tc>
          <w:tcPr>
            <w:tcW w:w="1326" w:type="dxa"/>
            <w:hideMark/>
          </w:tcPr>
          <w:p w14:paraId="2B27FC98" w14:textId="241D7331" w:rsidR="00580BF0" w:rsidRPr="00F74D46" w:rsidRDefault="00580BF0" w:rsidP="00580BF0">
            <w:pPr>
              <w:pStyle w:val="Tabletext"/>
              <w:rPr>
                <w:position w:val="4"/>
                <w:lang w:val="ar-SA"/>
              </w:rPr>
            </w:pPr>
            <w:r>
              <w:rPr>
                <w:position w:val="4"/>
                <w:lang w:val="en-US"/>
              </w:rPr>
              <w:t>%3,00</w:t>
            </w:r>
          </w:p>
        </w:tc>
        <w:tc>
          <w:tcPr>
            <w:tcW w:w="1326" w:type="dxa"/>
          </w:tcPr>
          <w:p w14:paraId="38121D19" w14:textId="5067D92F" w:rsidR="00580BF0" w:rsidRPr="00F74D46" w:rsidRDefault="00580BF0" w:rsidP="00580BF0">
            <w:pPr>
              <w:pStyle w:val="Tabletext"/>
              <w:rPr>
                <w:position w:val="4"/>
                <w:lang w:val="ar-SA"/>
              </w:rPr>
            </w:pPr>
            <w:r>
              <w:rPr>
                <w:position w:val="4"/>
                <w:lang w:val="en-US"/>
              </w:rPr>
              <w:t>%3,00</w:t>
            </w:r>
          </w:p>
        </w:tc>
        <w:tc>
          <w:tcPr>
            <w:tcW w:w="1326" w:type="dxa"/>
          </w:tcPr>
          <w:p w14:paraId="29F325AB" w14:textId="7ECF12E4" w:rsidR="00580BF0" w:rsidRPr="00F74D46" w:rsidRDefault="00580BF0" w:rsidP="00580BF0">
            <w:pPr>
              <w:pStyle w:val="Tabletext"/>
              <w:rPr>
                <w:position w:val="4"/>
                <w:lang w:val="ar-SA"/>
              </w:rPr>
            </w:pPr>
            <w:r>
              <w:rPr>
                <w:position w:val="4"/>
                <w:lang w:val="en-US"/>
              </w:rPr>
              <w:t>%3,10</w:t>
            </w:r>
          </w:p>
        </w:tc>
        <w:tc>
          <w:tcPr>
            <w:tcW w:w="1326" w:type="dxa"/>
          </w:tcPr>
          <w:p w14:paraId="6FF8E5F0" w14:textId="4DBF7BBF" w:rsidR="00580BF0" w:rsidRPr="00F74D46" w:rsidRDefault="00580BF0" w:rsidP="00580BF0">
            <w:pPr>
              <w:pStyle w:val="Tabletext"/>
              <w:rPr>
                <w:position w:val="4"/>
                <w:lang w:val="ar-SA"/>
              </w:rPr>
            </w:pPr>
            <w:r>
              <w:rPr>
                <w:position w:val="4"/>
                <w:lang w:val="en-US"/>
              </w:rPr>
              <w:t>%3,10</w:t>
            </w:r>
          </w:p>
        </w:tc>
        <w:tc>
          <w:tcPr>
            <w:tcW w:w="1311" w:type="dxa"/>
          </w:tcPr>
          <w:p w14:paraId="3A9A19B4" w14:textId="204B51A3" w:rsidR="00580BF0" w:rsidRPr="00F74D46" w:rsidRDefault="00580BF0" w:rsidP="00580BF0">
            <w:pPr>
              <w:pStyle w:val="Tabletext"/>
              <w:rPr>
                <w:position w:val="4"/>
                <w:lang w:val="ar-SA"/>
              </w:rPr>
            </w:pPr>
            <w:r>
              <w:rPr>
                <w:position w:val="4"/>
                <w:lang w:val="en-US"/>
              </w:rPr>
              <w:t>%3,10</w:t>
            </w:r>
          </w:p>
        </w:tc>
      </w:tr>
      <w:tr w:rsidR="00303861" w:rsidRPr="00F74D46" w14:paraId="25C647DE" w14:textId="77777777" w:rsidTr="00303861">
        <w:tc>
          <w:tcPr>
            <w:tcW w:w="3014" w:type="dxa"/>
            <w:hideMark/>
          </w:tcPr>
          <w:p w14:paraId="5165E4B0" w14:textId="77777777" w:rsidR="00303861" w:rsidRPr="00F74D46" w:rsidRDefault="00303861" w:rsidP="001276BF">
            <w:pPr>
              <w:pStyle w:val="Tabletext"/>
              <w:rPr>
                <w:position w:val="4"/>
                <w:lang w:val="ar-SA"/>
              </w:rPr>
            </w:pPr>
            <w:r w:rsidRPr="00F74D46">
              <w:rPr>
                <w:position w:val="4"/>
                <w:rtl/>
                <w:lang w:bidi="ar-SA"/>
              </w:rPr>
              <w:t>الخصوم المتعلقة بالتأمين الصحي بعد انتهاء الخدمة في نهاية السنة</w:t>
            </w:r>
          </w:p>
        </w:tc>
        <w:tc>
          <w:tcPr>
            <w:tcW w:w="1326" w:type="dxa"/>
            <w:hideMark/>
          </w:tcPr>
          <w:p w14:paraId="4D0327B4" w14:textId="28A06F00" w:rsidR="00303861" w:rsidRPr="00F74D46" w:rsidRDefault="00303861" w:rsidP="00303861">
            <w:pPr>
              <w:pStyle w:val="Tabletext"/>
              <w:rPr>
                <w:position w:val="4"/>
                <w:lang w:val="ar-SA"/>
              </w:rPr>
            </w:pPr>
            <w:r w:rsidRPr="00F74D46">
              <w:rPr>
                <w:position w:val="4"/>
                <w:lang w:bidi="ar-SA"/>
              </w:rPr>
              <w:t>564</w:t>
            </w:r>
            <w:r w:rsidR="00F72099">
              <w:rPr>
                <w:rFonts w:ascii="Arial" w:hAnsi="Arial" w:cs="Arial"/>
                <w:position w:val="4"/>
                <w:lang w:bidi="ar-SA"/>
              </w:rPr>
              <w:t> </w:t>
            </w:r>
            <w:r w:rsidRPr="00F74D46">
              <w:rPr>
                <w:position w:val="4"/>
                <w:lang w:bidi="ar-SA"/>
              </w:rPr>
              <w:t>636</w:t>
            </w:r>
          </w:p>
        </w:tc>
        <w:tc>
          <w:tcPr>
            <w:tcW w:w="1326" w:type="dxa"/>
          </w:tcPr>
          <w:p w14:paraId="0D16F039" w14:textId="77777777" w:rsidR="00303861" w:rsidRPr="00F74D46" w:rsidRDefault="00303861" w:rsidP="00303861">
            <w:pPr>
              <w:pStyle w:val="Tabletext"/>
              <w:rPr>
                <w:position w:val="4"/>
                <w:lang w:val="ar-SA"/>
              </w:rPr>
            </w:pPr>
            <w:r w:rsidRPr="00F74D46">
              <w:rPr>
                <w:position w:val="4"/>
                <w:lang w:bidi="ar-SA"/>
              </w:rPr>
              <w:t>344</w:t>
            </w:r>
            <w:r w:rsidRPr="00F74D46">
              <w:rPr>
                <w:rFonts w:ascii="Arial" w:hAnsi="Arial" w:cs="Arial" w:hint="cs"/>
                <w:position w:val="4"/>
                <w:lang w:bidi="ar-SA"/>
              </w:rPr>
              <w:t> </w:t>
            </w:r>
            <w:r w:rsidRPr="00F74D46">
              <w:rPr>
                <w:position w:val="4"/>
                <w:lang w:bidi="ar-SA"/>
              </w:rPr>
              <w:t>102</w:t>
            </w:r>
          </w:p>
        </w:tc>
        <w:tc>
          <w:tcPr>
            <w:tcW w:w="1326" w:type="dxa"/>
          </w:tcPr>
          <w:p w14:paraId="440A674A" w14:textId="77777777" w:rsidR="00303861" w:rsidRPr="00F74D46" w:rsidRDefault="00303861" w:rsidP="00303861">
            <w:pPr>
              <w:pStyle w:val="Tabletext"/>
              <w:rPr>
                <w:position w:val="4"/>
                <w:lang w:val="ar-SA"/>
              </w:rPr>
            </w:pPr>
            <w:r w:rsidRPr="00F74D46">
              <w:rPr>
                <w:position w:val="4"/>
                <w:lang w:bidi="ar-SA"/>
              </w:rPr>
              <w:t>375</w:t>
            </w:r>
            <w:r w:rsidRPr="00F74D46">
              <w:rPr>
                <w:rFonts w:ascii="Arial" w:hAnsi="Arial" w:cs="Arial" w:hint="cs"/>
                <w:position w:val="4"/>
                <w:lang w:bidi="ar-SA"/>
              </w:rPr>
              <w:t> </w:t>
            </w:r>
            <w:r w:rsidRPr="00F74D46">
              <w:rPr>
                <w:position w:val="4"/>
                <w:lang w:bidi="ar-SA"/>
              </w:rPr>
              <w:t>271</w:t>
            </w:r>
          </w:p>
        </w:tc>
        <w:tc>
          <w:tcPr>
            <w:tcW w:w="1326" w:type="dxa"/>
          </w:tcPr>
          <w:p w14:paraId="5E295EA4" w14:textId="77777777" w:rsidR="00303861" w:rsidRPr="00F74D46" w:rsidRDefault="00303861" w:rsidP="00303861">
            <w:pPr>
              <w:pStyle w:val="Tabletext"/>
              <w:rPr>
                <w:position w:val="4"/>
                <w:lang w:val="ar-SA"/>
              </w:rPr>
            </w:pPr>
            <w:r w:rsidRPr="00F74D46">
              <w:rPr>
                <w:position w:val="4"/>
                <w:lang w:bidi="ar-SA"/>
              </w:rPr>
              <w:t>415</w:t>
            </w:r>
            <w:r w:rsidRPr="00F74D46">
              <w:rPr>
                <w:rFonts w:ascii="Arial" w:hAnsi="Arial" w:cs="Arial" w:hint="cs"/>
                <w:position w:val="4"/>
                <w:lang w:bidi="ar-SA"/>
              </w:rPr>
              <w:t> </w:t>
            </w:r>
            <w:r w:rsidRPr="00F74D46">
              <w:rPr>
                <w:position w:val="4"/>
                <w:lang w:bidi="ar-SA"/>
              </w:rPr>
              <w:t>835</w:t>
            </w:r>
          </w:p>
        </w:tc>
        <w:tc>
          <w:tcPr>
            <w:tcW w:w="1311" w:type="dxa"/>
          </w:tcPr>
          <w:p w14:paraId="7420B4D5" w14:textId="6E8CE83D" w:rsidR="00303861" w:rsidRPr="00F74D46" w:rsidRDefault="00303861" w:rsidP="00303861">
            <w:pPr>
              <w:pStyle w:val="Tabletext"/>
              <w:rPr>
                <w:position w:val="4"/>
                <w:lang w:val="ar-SA"/>
              </w:rPr>
            </w:pPr>
            <w:r>
              <w:rPr>
                <w:position w:val="4"/>
                <w:lang w:val="en-US"/>
              </w:rPr>
              <w:t>378 824</w:t>
            </w:r>
          </w:p>
        </w:tc>
      </w:tr>
    </w:tbl>
    <w:p w14:paraId="52206F1F" w14:textId="6BE24999" w:rsidR="00CF64D3" w:rsidRPr="00CF64D3" w:rsidRDefault="00CF64D3" w:rsidP="00CF64D3">
      <w:pPr>
        <w:rPr>
          <w:lang w:val="ar-SA"/>
        </w:rPr>
      </w:pPr>
      <w:r w:rsidRPr="00CF64D3">
        <w:rPr>
          <w:lang w:bidi="ar-SA"/>
        </w:rPr>
        <w:t>2.2</w:t>
      </w:r>
      <w:r w:rsidRPr="00CF64D3">
        <w:rPr>
          <w:rtl/>
          <w:lang w:bidi="ar-SA"/>
        </w:rPr>
        <w:tab/>
        <w:t xml:space="preserve">يُعزى الانخفاض المسجل في عام </w:t>
      </w:r>
      <w:r w:rsidRPr="00CF64D3">
        <w:rPr>
          <w:lang w:bidi="ar-SA"/>
        </w:rPr>
        <w:t>2025</w:t>
      </w:r>
      <w:r w:rsidRPr="00CF64D3">
        <w:rPr>
          <w:rtl/>
          <w:lang w:bidi="ar-SA"/>
        </w:rPr>
        <w:t xml:space="preserve"> أساساً إلى التغيرات المواتية في الافتراضات المتعلقة بمعدل الخصم وتضخم التكاليف الطبية. وقد حدثت تقلبات مماثلة في السنوات السابقة. وعلى الرغم من أن هذه التطورات إيجابية، فإنها لا تمثل حلاً هيكلياً، لأنها خارجة إلى حد كبير عن سيطرة المنظمة وقد تنقلب هذه الاتجاهات في فترات لاحقة. ولا يمكن أن يعتمد التحسن المستدام في الوضع المالي على التطورات الاكتوارية المواتية، بل يتطلب استراتيجية تمويل مدروسة وطويلة الأجل.</w:t>
      </w:r>
    </w:p>
    <w:p w14:paraId="4153ECA0" w14:textId="341074E2" w:rsidR="00CF64D3" w:rsidRPr="00CF64D3" w:rsidRDefault="00E65EEA" w:rsidP="00CF64D3">
      <w:pPr>
        <w:rPr>
          <w:lang w:val="ar-SA"/>
        </w:rPr>
      </w:pPr>
      <w:r>
        <w:rPr>
          <w:lang w:bidi="ar-SA"/>
        </w:rPr>
        <w:t>3.2</w:t>
      </w:r>
      <w:r w:rsidR="00CF64D3" w:rsidRPr="00CF64D3">
        <w:rPr>
          <w:rtl/>
          <w:lang w:bidi="ar-SA"/>
        </w:rPr>
        <w:tab/>
        <w:t>تكتسي العلاقة بين الالتزامات غير الممولة المتعلقة بالتأمين الصحي بعد انتهاء الخدمة والمركز المالي العام للمنظمة أهمية خاصة.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2766"/>
        <w:gridCol w:w="2767"/>
        <w:gridCol w:w="2767"/>
      </w:tblGrid>
      <w:tr w:rsidR="00CF64D3" w:rsidRPr="00395FE0" w14:paraId="39EB6377" w14:textId="77777777" w:rsidTr="00487880">
        <w:trPr>
          <w:tblHeader/>
        </w:trPr>
        <w:tc>
          <w:tcPr>
            <w:tcW w:w="1223" w:type="dxa"/>
            <w:hideMark/>
          </w:tcPr>
          <w:p w14:paraId="43862295" w14:textId="77777777" w:rsidR="00CF64D3" w:rsidRPr="00395FE0" w:rsidRDefault="00CF64D3" w:rsidP="00487880">
            <w:pPr>
              <w:pStyle w:val="Tablehead"/>
              <w:rPr>
                <w:lang w:bidi="ar-SA"/>
              </w:rPr>
            </w:pPr>
            <w:r w:rsidRPr="00395FE0">
              <w:rPr>
                <w:rtl/>
                <w:lang w:bidi="ar-SA"/>
              </w:rPr>
              <w:t>السنة</w:t>
            </w:r>
          </w:p>
        </w:tc>
        <w:tc>
          <w:tcPr>
            <w:tcW w:w="2545" w:type="dxa"/>
            <w:hideMark/>
          </w:tcPr>
          <w:p w14:paraId="0BE98DE4" w14:textId="498DB30E" w:rsidR="00CF64D3" w:rsidRPr="00395FE0" w:rsidRDefault="00CF64D3" w:rsidP="00C15F45">
            <w:pPr>
              <w:pStyle w:val="Tablehead"/>
              <w:rPr>
                <w:lang w:bidi="ar-SA"/>
              </w:rPr>
            </w:pPr>
            <w:r w:rsidRPr="00395FE0">
              <w:rPr>
                <w:spacing w:val="-4"/>
                <w:rtl/>
                <w:lang w:bidi="ar-SA"/>
              </w:rPr>
              <w:t>الخصوم غير الممولة المتعلقة بالتأمين الصحي بعد انتهاء الخدمة</w:t>
            </w:r>
            <w:r w:rsidR="00395FE0" w:rsidRPr="00395FE0">
              <w:rPr>
                <w:lang w:bidi="ar-SA"/>
              </w:rPr>
              <w:br/>
            </w:r>
            <w:r w:rsidRPr="00395FE0">
              <w:rPr>
                <w:rtl/>
                <w:lang w:bidi="ar-SA"/>
              </w:rPr>
              <w:t>(بملايين الفرنكات السويسرية)</w:t>
            </w:r>
          </w:p>
        </w:tc>
        <w:tc>
          <w:tcPr>
            <w:tcW w:w="2546" w:type="dxa"/>
            <w:hideMark/>
          </w:tcPr>
          <w:p w14:paraId="19F51C8D" w14:textId="778C7511" w:rsidR="00CF64D3" w:rsidRPr="00395FE0" w:rsidRDefault="00CF64D3" w:rsidP="00C15F45">
            <w:pPr>
              <w:pStyle w:val="Tablehead"/>
              <w:rPr>
                <w:lang w:bidi="ar-SA"/>
              </w:rPr>
            </w:pPr>
            <w:r w:rsidRPr="00395FE0">
              <w:rPr>
                <w:rtl/>
                <w:lang w:bidi="ar-SA"/>
              </w:rPr>
              <w:t>صافي الأصول</w:t>
            </w:r>
            <w:r w:rsidR="006868A9" w:rsidRPr="00395FE0">
              <w:rPr>
                <w:lang w:bidi="ar-SA"/>
              </w:rPr>
              <w:br/>
            </w:r>
            <w:r w:rsidRPr="00395FE0">
              <w:rPr>
                <w:rtl/>
                <w:lang w:bidi="ar-SA"/>
              </w:rPr>
              <w:t>(بملايين الفرنكات السويسرية)</w:t>
            </w:r>
          </w:p>
        </w:tc>
        <w:tc>
          <w:tcPr>
            <w:tcW w:w="2546" w:type="dxa"/>
            <w:hideMark/>
          </w:tcPr>
          <w:p w14:paraId="6B5513F4" w14:textId="19DE8C3A" w:rsidR="00CF64D3" w:rsidRPr="00395FE0" w:rsidRDefault="00CF64D3" w:rsidP="00C15F45">
            <w:pPr>
              <w:pStyle w:val="Tablehead"/>
              <w:rPr>
                <w:lang w:bidi="ar-SA"/>
              </w:rPr>
            </w:pPr>
            <w:r w:rsidRPr="00395FE0">
              <w:rPr>
                <w:rtl/>
                <w:lang w:bidi="ar-SA"/>
              </w:rPr>
              <w:t>نسبة الخصوم غير الممولة</w:t>
            </w:r>
            <w:r w:rsidR="006868A9" w:rsidRPr="00395FE0">
              <w:rPr>
                <w:lang w:bidi="ar-SA"/>
              </w:rPr>
              <w:br/>
            </w:r>
            <w:r w:rsidRPr="00395FE0">
              <w:rPr>
                <w:rtl/>
                <w:lang w:bidi="ar-SA"/>
              </w:rPr>
              <w:t>إلى صافي الأصول</w:t>
            </w:r>
          </w:p>
        </w:tc>
      </w:tr>
      <w:tr w:rsidR="00CF64D3" w:rsidRPr="00395FE0" w14:paraId="4F2648CA" w14:textId="77777777" w:rsidTr="00487880">
        <w:tc>
          <w:tcPr>
            <w:tcW w:w="1223" w:type="dxa"/>
            <w:hideMark/>
          </w:tcPr>
          <w:p w14:paraId="16538E65" w14:textId="77777777" w:rsidR="00CF64D3" w:rsidRPr="00395FE0" w:rsidRDefault="00CF64D3" w:rsidP="00487880">
            <w:pPr>
              <w:pStyle w:val="Tabletext"/>
              <w:jc w:val="center"/>
              <w:rPr>
                <w:lang w:bidi="ar-SA"/>
              </w:rPr>
            </w:pPr>
            <w:r w:rsidRPr="00395FE0">
              <w:rPr>
                <w:lang w:bidi="ar-SA"/>
              </w:rPr>
              <w:t>2021</w:t>
            </w:r>
          </w:p>
        </w:tc>
        <w:tc>
          <w:tcPr>
            <w:tcW w:w="2545" w:type="dxa"/>
            <w:hideMark/>
          </w:tcPr>
          <w:p w14:paraId="1E8A7B15" w14:textId="77777777" w:rsidR="00CF64D3" w:rsidRPr="00395FE0" w:rsidRDefault="00CF64D3" w:rsidP="00C15F45">
            <w:pPr>
              <w:pStyle w:val="Tabletext"/>
              <w:rPr>
                <w:lang w:bidi="ar-SA"/>
              </w:rPr>
            </w:pPr>
            <w:r w:rsidRPr="00395FE0">
              <w:rPr>
                <w:lang w:bidi="ar-SA"/>
              </w:rPr>
              <w:t>551,6</w:t>
            </w:r>
          </w:p>
        </w:tc>
        <w:tc>
          <w:tcPr>
            <w:tcW w:w="2546" w:type="dxa"/>
            <w:hideMark/>
          </w:tcPr>
          <w:p w14:paraId="41A0858F" w14:textId="77777777" w:rsidR="00CF64D3" w:rsidRPr="00395FE0" w:rsidRDefault="00CF64D3" w:rsidP="00C15F45">
            <w:pPr>
              <w:pStyle w:val="Tabletext"/>
              <w:rPr>
                <w:lang w:bidi="ar-SA"/>
              </w:rPr>
            </w:pPr>
            <w:r w:rsidRPr="00395FE0">
              <w:rPr>
                <w:lang w:bidi="ar-SA"/>
              </w:rPr>
              <w:t>(410,8)</w:t>
            </w:r>
          </w:p>
        </w:tc>
        <w:tc>
          <w:tcPr>
            <w:tcW w:w="2546" w:type="dxa"/>
            <w:hideMark/>
          </w:tcPr>
          <w:p w14:paraId="463089E1" w14:textId="0D5275CB" w:rsidR="00CF64D3" w:rsidRPr="00395FE0" w:rsidRDefault="00487880" w:rsidP="00C15F45">
            <w:pPr>
              <w:pStyle w:val="Tabletext"/>
              <w:rPr>
                <w:lang w:bidi="ar-SA"/>
              </w:rPr>
            </w:pPr>
            <w:r w:rsidRPr="00395FE0">
              <w:rPr>
                <w:lang w:bidi="ar-SA"/>
              </w:rPr>
              <w:t>%134</w:t>
            </w:r>
          </w:p>
        </w:tc>
      </w:tr>
      <w:tr w:rsidR="00CF64D3" w:rsidRPr="00395FE0" w14:paraId="2E86CC3D" w14:textId="77777777" w:rsidTr="00487880">
        <w:tc>
          <w:tcPr>
            <w:tcW w:w="1223" w:type="dxa"/>
            <w:hideMark/>
          </w:tcPr>
          <w:p w14:paraId="0AC3553D" w14:textId="77777777" w:rsidR="00CF64D3" w:rsidRPr="00395FE0" w:rsidRDefault="00CF64D3" w:rsidP="00487880">
            <w:pPr>
              <w:pStyle w:val="Tabletext"/>
              <w:jc w:val="center"/>
              <w:rPr>
                <w:lang w:bidi="ar-SA"/>
              </w:rPr>
            </w:pPr>
            <w:r w:rsidRPr="00395FE0">
              <w:rPr>
                <w:lang w:bidi="ar-SA"/>
              </w:rPr>
              <w:t>2022</w:t>
            </w:r>
          </w:p>
        </w:tc>
        <w:tc>
          <w:tcPr>
            <w:tcW w:w="2545" w:type="dxa"/>
            <w:hideMark/>
          </w:tcPr>
          <w:p w14:paraId="02A9AF33" w14:textId="77777777" w:rsidR="00CF64D3" w:rsidRPr="00395FE0" w:rsidRDefault="00CF64D3" w:rsidP="00C15F45">
            <w:pPr>
              <w:pStyle w:val="Tabletext"/>
              <w:rPr>
                <w:lang w:bidi="ar-SA"/>
              </w:rPr>
            </w:pPr>
            <w:r w:rsidRPr="00395FE0">
              <w:rPr>
                <w:lang w:bidi="ar-SA"/>
              </w:rPr>
              <w:t>330,1</w:t>
            </w:r>
          </w:p>
        </w:tc>
        <w:tc>
          <w:tcPr>
            <w:tcW w:w="2546" w:type="dxa"/>
            <w:hideMark/>
          </w:tcPr>
          <w:p w14:paraId="42B2E72F" w14:textId="77777777" w:rsidR="00CF64D3" w:rsidRPr="00395FE0" w:rsidRDefault="00CF64D3" w:rsidP="00C15F45">
            <w:pPr>
              <w:pStyle w:val="Tabletext"/>
              <w:rPr>
                <w:lang w:bidi="ar-SA"/>
              </w:rPr>
            </w:pPr>
            <w:r w:rsidRPr="00395FE0">
              <w:rPr>
                <w:lang w:bidi="ar-SA"/>
              </w:rPr>
              <w:t>(213,1)</w:t>
            </w:r>
          </w:p>
        </w:tc>
        <w:tc>
          <w:tcPr>
            <w:tcW w:w="2546" w:type="dxa"/>
            <w:hideMark/>
          </w:tcPr>
          <w:p w14:paraId="645BBDA2" w14:textId="5E69DB29" w:rsidR="00CF64D3" w:rsidRPr="00395FE0" w:rsidRDefault="00487880" w:rsidP="00C15F45">
            <w:pPr>
              <w:pStyle w:val="Tabletext"/>
              <w:rPr>
                <w:lang w:bidi="ar-SA"/>
              </w:rPr>
            </w:pPr>
            <w:r w:rsidRPr="00395FE0">
              <w:rPr>
                <w:lang w:bidi="ar-SA"/>
              </w:rPr>
              <w:t>%155</w:t>
            </w:r>
          </w:p>
        </w:tc>
      </w:tr>
      <w:tr w:rsidR="00CF64D3" w:rsidRPr="00395FE0" w14:paraId="112B4C6E" w14:textId="77777777" w:rsidTr="00487880">
        <w:tc>
          <w:tcPr>
            <w:tcW w:w="1223" w:type="dxa"/>
            <w:hideMark/>
          </w:tcPr>
          <w:p w14:paraId="04561894" w14:textId="77777777" w:rsidR="00CF64D3" w:rsidRPr="00395FE0" w:rsidRDefault="00CF64D3" w:rsidP="00487880">
            <w:pPr>
              <w:pStyle w:val="Tabletext"/>
              <w:jc w:val="center"/>
              <w:rPr>
                <w:lang w:bidi="ar-SA"/>
              </w:rPr>
            </w:pPr>
            <w:r w:rsidRPr="00395FE0">
              <w:rPr>
                <w:lang w:bidi="ar-SA"/>
              </w:rPr>
              <w:t>2023</w:t>
            </w:r>
          </w:p>
        </w:tc>
        <w:tc>
          <w:tcPr>
            <w:tcW w:w="2545" w:type="dxa"/>
            <w:hideMark/>
          </w:tcPr>
          <w:p w14:paraId="75F9A620" w14:textId="77777777" w:rsidR="00CF64D3" w:rsidRPr="00395FE0" w:rsidRDefault="00CF64D3" w:rsidP="00C15F45">
            <w:pPr>
              <w:pStyle w:val="Tabletext"/>
              <w:rPr>
                <w:lang w:bidi="ar-SA"/>
              </w:rPr>
            </w:pPr>
            <w:r w:rsidRPr="00395FE0">
              <w:rPr>
                <w:lang w:bidi="ar-SA"/>
              </w:rPr>
              <w:t>361,3</w:t>
            </w:r>
          </w:p>
        </w:tc>
        <w:tc>
          <w:tcPr>
            <w:tcW w:w="2546" w:type="dxa"/>
            <w:hideMark/>
          </w:tcPr>
          <w:p w14:paraId="05671AF5" w14:textId="77777777" w:rsidR="00CF64D3" w:rsidRPr="00395FE0" w:rsidRDefault="00CF64D3" w:rsidP="00C15F45">
            <w:pPr>
              <w:pStyle w:val="Tabletext"/>
              <w:rPr>
                <w:lang w:bidi="ar-SA"/>
              </w:rPr>
            </w:pPr>
            <w:r w:rsidRPr="00395FE0">
              <w:rPr>
                <w:lang w:bidi="ar-SA"/>
              </w:rPr>
              <w:t>(257,4)</w:t>
            </w:r>
          </w:p>
        </w:tc>
        <w:tc>
          <w:tcPr>
            <w:tcW w:w="2546" w:type="dxa"/>
            <w:hideMark/>
          </w:tcPr>
          <w:p w14:paraId="5F81C9E5" w14:textId="01252C61" w:rsidR="00CF64D3" w:rsidRPr="00395FE0" w:rsidRDefault="00CC7B25" w:rsidP="00C15F45">
            <w:pPr>
              <w:pStyle w:val="Tabletext"/>
              <w:rPr>
                <w:lang w:bidi="ar-SA"/>
              </w:rPr>
            </w:pPr>
            <w:r w:rsidRPr="00395FE0">
              <w:rPr>
                <w:lang w:bidi="ar-SA"/>
              </w:rPr>
              <w:t>%140</w:t>
            </w:r>
          </w:p>
        </w:tc>
      </w:tr>
      <w:tr w:rsidR="00CF64D3" w:rsidRPr="00395FE0" w14:paraId="567539D2" w14:textId="77777777" w:rsidTr="00487880">
        <w:tc>
          <w:tcPr>
            <w:tcW w:w="1223" w:type="dxa"/>
            <w:hideMark/>
          </w:tcPr>
          <w:p w14:paraId="451FE390" w14:textId="77777777" w:rsidR="00CF64D3" w:rsidRPr="00395FE0" w:rsidRDefault="00CF64D3" w:rsidP="00487880">
            <w:pPr>
              <w:pStyle w:val="Tabletext"/>
              <w:jc w:val="center"/>
              <w:rPr>
                <w:lang w:bidi="ar-SA"/>
              </w:rPr>
            </w:pPr>
            <w:r w:rsidRPr="00395FE0">
              <w:rPr>
                <w:lang w:bidi="ar-SA"/>
              </w:rPr>
              <w:t>2024</w:t>
            </w:r>
          </w:p>
        </w:tc>
        <w:tc>
          <w:tcPr>
            <w:tcW w:w="2545" w:type="dxa"/>
            <w:hideMark/>
          </w:tcPr>
          <w:p w14:paraId="7369EFB7" w14:textId="77777777" w:rsidR="00CF64D3" w:rsidRPr="00395FE0" w:rsidRDefault="00CF64D3" w:rsidP="00C15F45">
            <w:pPr>
              <w:pStyle w:val="Tabletext"/>
              <w:rPr>
                <w:lang w:bidi="ar-SA"/>
              </w:rPr>
            </w:pPr>
            <w:r w:rsidRPr="00395FE0">
              <w:rPr>
                <w:lang w:bidi="ar-SA"/>
              </w:rPr>
              <w:t>400,8</w:t>
            </w:r>
          </w:p>
        </w:tc>
        <w:tc>
          <w:tcPr>
            <w:tcW w:w="2546" w:type="dxa"/>
            <w:hideMark/>
          </w:tcPr>
          <w:p w14:paraId="421E289B" w14:textId="77777777" w:rsidR="00CF64D3" w:rsidRPr="00395FE0" w:rsidRDefault="00CF64D3" w:rsidP="00C15F45">
            <w:pPr>
              <w:pStyle w:val="Tabletext"/>
              <w:rPr>
                <w:lang w:bidi="ar-SA"/>
              </w:rPr>
            </w:pPr>
            <w:r w:rsidRPr="00395FE0">
              <w:rPr>
                <w:lang w:bidi="ar-SA"/>
              </w:rPr>
              <w:t>(318,0)</w:t>
            </w:r>
          </w:p>
        </w:tc>
        <w:tc>
          <w:tcPr>
            <w:tcW w:w="2546" w:type="dxa"/>
            <w:hideMark/>
          </w:tcPr>
          <w:p w14:paraId="1A089628" w14:textId="5130F320" w:rsidR="00CF64D3" w:rsidRPr="00395FE0" w:rsidRDefault="00CC7B25" w:rsidP="00C15F45">
            <w:pPr>
              <w:pStyle w:val="Tabletext"/>
              <w:rPr>
                <w:lang w:bidi="ar-SA"/>
              </w:rPr>
            </w:pPr>
            <w:r w:rsidRPr="00395FE0">
              <w:rPr>
                <w:lang w:bidi="ar-SA"/>
              </w:rPr>
              <w:t>%126</w:t>
            </w:r>
          </w:p>
        </w:tc>
      </w:tr>
      <w:tr w:rsidR="00CF64D3" w:rsidRPr="00395FE0" w14:paraId="26CB1BC0" w14:textId="77777777" w:rsidTr="00487880">
        <w:tc>
          <w:tcPr>
            <w:tcW w:w="1223" w:type="dxa"/>
            <w:hideMark/>
          </w:tcPr>
          <w:p w14:paraId="6A381D74" w14:textId="77777777" w:rsidR="00CF64D3" w:rsidRPr="00395FE0" w:rsidRDefault="00CF64D3" w:rsidP="00487880">
            <w:pPr>
              <w:pStyle w:val="Tabletext"/>
              <w:jc w:val="center"/>
              <w:rPr>
                <w:lang w:bidi="ar-SA"/>
              </w:rPr>
            </w:pPr>
            <w:r w:rsidRPr="00395FE0">
              <w:rPr>
                <w:lang w:bidi="ar-SA"/>
              </w:rPr>
              <w:t>2025</w:t>
            </w:r>
          </w:p>
        </w:tc>
        <w:tc>
          <w:tcPr>
            <w:tcW w:w="2545" w:type="dxa"/>
            <w:hideMark/>
          </w:tcPr>
          <w:p w14:paraId="05CEE820" w14:textId="77777777" w:rsidR="00CF64D3" w:rsidRPr="00395FE0" w:rsidRDefault="00CF64D3" w:rsidP="00C15F45">
            <w:pPr>
              <w:pStyle w:val="Tabletext"/>
              <w:rPr>
                <w:lang w:bidi="ar-SA"/>
              </w:rPr>
            </w:pPr>
            <w:r w:rsidRPr="00395FE0">
              <w:rPr>
                <w:lang w:bidi="ar-SA"/>
              </w:rPr>
              <w:t>363,8</w:t>
            </w:r>
          </w:p>
        </w:tc>
        <w:tc>
          <w:tcPr>
            <w:tcW w:w="2546" w:type="dxa"/>
            <w:hideMark/>
          </w:tcPr>
          <w:p w14:paraId="6DABC633" w14:textId="77777777" w:rsidR="00CF64D3" w:rsidRPr="00395FE0" w:rsidRDefault="00CF64D3" w:rsidP="00C15F45">
            <w:pPr>
              <w:pStyle w:val="Tabletext"/>
              <w:rPr>
                <w:lang w:bidi="ar-SA"/>
              </w:rPr>
            </w:pPr>
            <w:r w:rsidRPr="00395FE0">
              <w:rPr>
                <w:lang w:bidi="ar-SA"/>
              </w:rPr>
              <w:t>(279,4)</w:t>
            </w:r>
          </w:p>
        </w:tc>
        <w:tc>
          <w:tcPr>
            <w:tcW w:w="2546" w:type="dxa"/>
            <w:hideMark/>
          </w:tcPr>
          <w:p w14:paraId="71DF83AB" w14:textId="36E845D1" w:rsidR="00CF64D3" w:rsidRPr="00395FE0" w:rsidRDefault="00CC7B25" w:rsidP="00C15F45">
            <w:pPr>
              <w:pStyle w:val="Tabletext"/>
              <w:rPr>
                <w:lang w:bidi="ar-SA"/>
              </w:rPr>
            </w:pPr>
            <w:r w:rsidRPr="00395FE0">
              <w:rPr>
                <w:lang w:bidi="ar-SA"/>
              </w:rPr>
              <w:t>%130</w:t>
            </w:r>
          </w:p>
        </w:tc>
      </w:tr>
    </w:tbl>
    <w:p w14:paraId="33F2EC26" w14:textId="583F8B8E" w:rsidR="00CF64D3" w:rsidRPr="00CF64D3" w:rsidRDefault="00624588" w:rsidP="00CF64D3">
      <w:pPr>
        <w:rPr>
          <w:lang w:val="ar-SA"/>
        </w:rPr>
      </w:pPr>
      <w:r>
        <w:rPr>
          <w:lang w:bidi="ar-SA"/>
        </w:rPr>
        <w:lastRenderedPageBreak/>
        <w:t>4.2</w:t>
      </w:r>
      <w:r w:rsidR="00CF64D3" w:rsidRPr="00CF64D3">
        <w:rPr>
          <w:rtl/>
          <w:lang w:bidi="ar-SA"/>
        </w:rPr>
        <w:tab/>
        <w:t>يبين الجدول أعلاه أن الخصوم غير الممولة المتعلقة بالتأمين الصحي بعد انتهاء الخدمة تتجاوز باستمرار أصول المنظمة. ومن الناحية العملية، يُعزى الرصيد السالب لصافي أصول الاتحاد إلى حد كبير إلى عدم توافر التمويل الكافي للالتزامات المتعلقة باستحقاقات ما بعد انتهاء الخدمة.</w:t>
      </w:r>
    </w:p>
    <w:p w14:paraId="095A477F" w14:textId="73FCD873" w:rsidR="00CF64D3" w:rsidRPr="00CF64D3" w:rsidRDefault="00EE1A7B" w:rsidP="00CF64D3">
      <w:pPr>
        <w:rPr>
          <w:lang w:val="ar-SA"/>
        </w:rPr>
      </w:pPr>
      <w:r>
        <w:rPr>
          <w:lang w:bidi="ar-SA"/>
        </w:rPr>
        <w:t>5.2</w:t>
      </w:r>
      <w:r w:rsidR="00CF64D3" w:rsidRPr="00CF64D3">
        <w:rPr>
          <w:rtl/>
          <w:lang w:bidi="ar-SA"/>
        </w:rPr>
        <w:tab/>
        <w:t>أما استحقاقات الموظفين الأخرى، مثل الإجازة السنوية (</w:t>
      </w:r>
      <w:r w:rsidR="00CF64D3" w:rsidRPr="00CF64D3">
        <w:rPr>
          <w:lang w:bidi="ar-SA"/>
        </w:rPr>
        <w:t>11,2</w:t>
      </w:r>
      <w:r w:rsidR="00CF64D3" w:rsidRPr="00CF64D3">
        <w:rPr>
          <w:rtl/>
          <w:lang w:bidi="ar-SA"/>
        </w:rPr>
        <w:t xml:space="preserve"> مليون فرنك سويسري) والإعادة إلى الوطن (</w:t>
      </w:r>
      <w:r w:rsidR="00CF64D3" w:rsidRPr="00CF64D3">
        <w:rPr>
          <w:lang w:bidi="ar-SA"/>
        </w:rPr>
        <w:t>12,3</w:t>
      </w:r>
      <w:r w:rsidR="00CF64D3" w:rsidRPr="00CF64D3">
        <w:rPr>
          <w:rtl/>
          <w:lang w:bidi="ar-SA"/>
        </w:rPr>
        <w:t xml:space="preserve"> مليون فرنك سويسري)، فهي ممولة.</w:t>
      </w:r>
    </w:p>
    <w:p w14:paraId="677596DF" w14:textId="4A9C3E40" w:rsidR="00CF64D3" w:rsidRPr="00CF64D3" w:rsidRDefault="00DB0333" w:rsidP="00CF64D3">
      <w:pPr>
        <w:rPr>
          <w:lang w:val="ar-SA"/>
        </w:rPr>
      </w:pPr>
      <w:r>
        <w:rPr>
          <w:lang w:bidi="ar-SA"/>
        </w:rPr>
        <w:t>6.2</w:t>
      </w:r>
      <w:r>
        <w:rPr>
          <w:rtl/>
        </w:rPr>
        <w:tab/>
      </w:r>
      <w:r w:rsidR="00CF64D3" w:rsidRPr="00CF64D3">
        <w:rPr>
          <w:rtl/>
          <w:lang w:bidi="ar-SA"/>
        </w:rPr>
        <w:t xml:space="preserve">وفيما يتعلق بالمعاشات التقاعدية، ونظراً إلى مشاركة الاتحاد في الصندوق المشترك للمعاشات التقاعدية لموظفي الأمم المتحدة </w:t>
      </w:r>
      <w:r w:rsidR="00CF64D3" w:rsidRPr="00CF64D3">
        <w:rPr>
          <w:lang w:val="en-US"/>
        </w:rPr>
        <w:t>(UNJSPF)</w:t>
      </w:r>
      <w:r w:rsidR="00CF64D3" w:rsidRPr="00CF64D3">
        <w:rPr>
          <w:rtl/>
          <w:lang w:bidi="ar-SA"/>
        </w:rPr>
        <w:t xml:space="preserve">، فإن الصندوق يتولى مباشرةً إدارة المخاطر المالية والتعرضات لها، باعتباره خطة ممولة للاستحقاقات المحددة يشترك فيها عدة أصحاب عمل. ولا تُدرج هذه المخاطر والتعرضات في الميزانية العمومية للاتحاد، وفقاً للمعيار المحاسبي الدولي للقطاع العام </w:t>
      </w:r>
      <w:r w:rsidR="00CF64D3" w:rsidRPr="00CF64D3">
        <w:rPr>
          <w:lang w:bidi="ar-SA"/>
        </w:rPr>
        <w:t>39</w:t>
      </w:r>
      <w:r w:rsidR="00CF64D3" w:rsidRPr="00CF64D3">
        <w:rPr>
          <w:rtl/>
          <w:lang w:bidi="ar-SA"/>
        </w:rPr>
        <w:t xml:space="preserve"> </w:t>
      </w:r>
      <w:r w:rsidR="00CF64D3" w:rsidRPr="00CF64D3">
        <w:rPr>
          <w:lang w:bidi="ar-SA"/>
        </w:rPr>
        <w:t>(IPSAS 39)</w:t>
      </w:r>
      <w:r w:rsidR="00CF64D3" w:rsidRPr="00CF64D3">
        <w:rPr>
          <w:rtl/>
          <w:lang w:bidi="ar-SA"/>
        </w:rPr>
        <w:t xml:space="preserve">، إذ تُعامل مشاركة الاتحاد باعتبارها خطة للمساهمات المحددة. وقد بلغت المساهمات التي دفعها الاتحاد إلى الصندوق على مر السنوات نحو </w:t>
      </w:r>
      <w:r w:rsidR="00CF64D3" w:rsidRPr="00CF64D3">
        <w:rPr>
          <w:lang w:bidi="ar-SA"/>
        </w:rPr>
        <w:t>1</w:t>
      </w:r>
      <w:r w:rsidR="00CF64D3" w:rsidRPr="00CF64D3">
        <w:rPr>
          <w:rtl/>
          <w:lang w:bidi="ar-SA"/>
        </w:rPr>
        <w:t xml:space="preserve"> في المائة من مجموع المساهمات التي تلقاها الصندوق.</w:t>
      </w:r>
    </w:p>
    <w:p w14:paraId="2529CAA5" w14:textId="77777777" w:rsidR="00CF64D3" w:rsidRPr="00CF64D3" w:rsidRDefault="00CF64D3" w:rsidP="00C4495B">
      <w:pPr>
        <w:pStyle w:val="Heading1"/>
        <w:rPr>
          <w:lang w:bidi="ar-SA"/>
        </w:rPr>
      </w:pPr>
      <w:r w:rsidRPr="00CF64D3">
        <w:rPr>
          <w:lang w:bidi="ar-SA"/>
        </w:rPr>
        <w:t>3</w:t>
      </w:r>
      <w:r w:rsidRPr="00CF64D3">
        <w:rPr>
          <w:rtl/>
          <w:lang w:bidi="ar-SA"/>
        </w:rPr>
        <w:tab/>
        <w:t>الإقرار بالتقدم المحرز حتى الآن</w:t>
      </w:r>
    </w:p>
    <w:p w14:paraId="4F4FE96B" w14:textId="641CB2D8" w:rsidR="00CF64D3" w:rsidRPr="00CF64D3" w:rsidRDefault="00240ED1" w:rsidP="00CF64D3">
      <w:pPr>
        <w:rPr>
          <w:lang w:val="ar-SA"/>
        </w:rPr>
      </w:pPr>
      <w:r>
        <w:rPr>
          <w:lang w:bidi="ar-SA"/>
        </w:rPr>
        <w:t>1.3</w:t>
      </w:r>
      <w:r w:rsidR="00CF64D3" w:rsidRPr="00CF64D3">
        <w:rPr>
          <w:rtl/>
          <w:lang w:bidi="ar-SA"/>
        </w:rPr>
        <w:tab/>
        <w:t xml:space="preserve">اتخذ المجلس بالفعل خطوات مهمة وجديرة بالتقدير نحو التصدي لهذا التحدي، شملت إنشاء احتياطي مخصص للتأمين الصحي بعد انتهاء الخدمة </w:t>
      </w:r>
      <w:r w:rsidR="00CF64D3" w:rsidRPr="00CF64D3">
        <w:rPr>
          <w:lang w:val="en-US"/>
        </w:rPr>
        <w:t>(ASHI)</w:t>
      </w:r>
      <w:r w:rsidR="00CF64D3" w:rsidRPr="00CF64D3">
        <w:rPr>
          <w:rtl/>
          <w:lang w:bidi="ar-SA"/>
        </w:rPr>
        <w:t xml:space="preserve"> وتمويله تدريجياً من خلال ما يلي:</w:t>
      </w:r>
    </w:p>
    <w:p w14:paraId="47BA80AB" w14:textId="77777777" w:rsidR="00CF64D3" w:rsidRPr="00CF64D3" w:rsidRDefault="00CF64D3" w:rsidP="00F075B5">
      <w:pPr>
        <w:pStyle w:val="enumlev1"/>
        <w:rPr>
          <w:lang w:val="ar-SA"/>
        </w:rPr>
      </w:pPr>
      <w:r w:rsidRPr="00CF64D3">
        <w:rPr>
          <w:lang w:val="en-US"/>
        </w:rPr>
        <w:t>–</w:t>
      </w:r>
      <w:r w:rsidRPr="00CF64D3">
        <w:rPr>
          <w:rtl/>
          <w:lang w:bidi="ar-SA"/>
        </w:rPr>
        <w:tab/>
        <w:t>تخصيص مليون فرنك سويسري كل فترة سنتين لصندوق التأمين الصحي بعد انتهاء الخدمة؛</w:t>
      </w:r>
    </w:p>
    <w:p w14:paraId="58E6EEF2" w14:textId="7A66E5D8" w:rsidR="00CF64D3" w:rsidRPr="00CF64D3" w:rsidRDefault="00CF64D3" w:rsidP="00F075B5">
      <w:pPr>
        <w:pStyle w:val="enumlev1"/>
        <w:rPr>
          <w:lang w:val="ar-SA"/>
        </w:rPr>
      </w:pPr>
      <w:r w:rsidRPr="00CF64D3">
        <w:rPr>
          <w:lang w:val="en-US"/>
        </w:rPr>
        <w:t>–</w:t>
      </w:r>
      <w:r w:rsidRPr="00CF64D3">
        <w:rPr>
          <w:rtl/>
          <w:lang w:bidi="ar-SA"/>
        </w:rPr>
        <w:tab/>
        <w:t xml:space="preserve">استحداث آلية تمويل قائمة على المرتبات، اعتباراً من </w:t>
      </w:r>
      <w:r w:rsidRPr="00CF64D3">
        <w:rPr>
          <w:lang w:bidi="ar-SA"/>
        </w:rPr>
        <w:t>1</w:t>
      </w:r>
      <w:r w:rsidRPr="00CF64D3">
        <w:rPr>
          <w:rtl/>
          <w:lang w:bidi="ar-SA"/>
        </w:rPr>
        <w:t xml:space="preserve"> يناير </w:t>
      </w:r>
      <w:r w:rsidRPr="00CF64D3">
        <w:rPr>
          <w:lang w:bidi="ar-SA"/>
        </w:rPr>
        <w:t>2026</w:t>
      </w:r>
      <w:r w:rsidRPr="00CF64D3">
        <w:rPr>
          <w:rtl/>
          <w:lang w:bidi="ar-SA"/>
        </w:rPr>
        <w:t xml:space="preserve">، تعادل </w:t>
      </w:r>
      <w:r w:rsidRPr="00CF64D3">
        <w:rPr>
          <w:lang w:bidi="ar-SA"/>
        </w:rPr>
        <w:t>5,35</w:t>
      </w:r>
      <w:r w:rsidRPr="00CF64D3">
        <w:rPr>
          <w:rtl/>
          <w:lang w:bidi="ar-SA"/>
        </w:rPr>
        <w:t xml:space="preserve"> في المائة من المرتب الأساسي للموظفين المعينين حديثاً.</w:t>
      </w:r>
    </w:p>
    <w:p w14:paraId="2E69970D" w14:textId="55F71213" w:rsidR="00CF64D3" w:rsidRPr="00CF64D3" w:rsidRDefault="002E6A9F" w:rsidP="00CF64D3">
      <w:pPr>
        <w:rPr>
          <w:lang w:val="ar-SA"/>
        </w:rPr>
      </w:pPr>
      <w:r>
        <w:rPr>
          <w:lang w:bidi="ar-SA"/>
        </w:rPr>
        <w:t>2.3</w:t>
      </w:r>
      <w:r>
        <w:rPr>
          <w:rtl/>
        </w:rPr>
        <w:tab/>
      </w:r>
      <w:r w:rsidR="00CF64D3" w:rsidRPr="00CF64D3">
        <w:rPr>
          <w:rtl/>
          <w:lang w:bidi="ar-SA"/>
        </w:rPr>
        <w:t>وتمثل هذه القرارات خطوات حصيفة ومسؤولة، إذ تعكس إدراكاً للمشكلة وترسي إطاراً أولياً للتمويل في المستقبل.</w:t>
      </w:r>
    </w:p>
    <w:p w14:paraId="23D49F19" w14:textId="601A5A05" w:rsidR="00CF64D3" w:rsidRPr="00CF64D3" w:rsidRDefault="008107EC" w:rsidP="00CF64D3">
      <w:pPr>
        <w:rPr>
          <w:lang w:val="ar-SA"/>
        </w:rPr>
      </w:pPr>
      <w:r>
        <w:rPr>
          <w:lang w:bidi="ar-SA"/>
        </w:rPr>
        <w:t>3.3</w:t>
      </w:r>
      <w:r>
        <w:rPr>
          <w:rtl/>
        </w:rPr>
        <w:tab/>
      </w:r>
      <w:r w:rsidR="00CF64D3" w:rsidRPr="00CF64D3">
        <w:rPr>
          <w:rtl/>
          <w:lang w:bidi="ar-SA"/>
        </w:rPr>
        <w:t xml:space="preserve">غير أن مراجع الحسابات الخارجي والتحليلات الاكتوارية الأخيرة أكدا أن التدابير الحالية، على الرغم من إيجابيتها، لا تشكل حتى الآن استراتيجية تمويل شاملة وطويلة الأجل قادرة على تقليص فجوة التمويل تقليصاً ملموساً في غضون فترة زمنية معقولة. وقد ورد في الفقرة </w:t>
      </w:r>
      <w:r w:rsidR="008F7D3C">
        <w:rPr>
          <w:lang w:bidi="ar-SA"/>
        </w:rPr>
        <w:t>21.1</w:t>
      </w:r>
      <w:r w:rsidR="00CF64D3" w:rsidRPr="00CF64D3">
        <w:rPr>
          <w:rtl/>
          <w:lang w:bidi="ar-SA"/>
        </w:rPr>
        <w:t xml:space="preserve"> من تقرير مراجع الحسابات الخارجي بشأن البيانات المالية للاتحاد لعام </w:t>
      </w:r>
      <w:r w:rsidR="00CF64D3" w:rsidRPr="00CF64D3">
        <w:rPr>
          <w:lang w:bidi="ar-SA"/>
        </w:rPr>
        <w:t>2025</w:t>
      </w:r>
      <w:r w:rsidR="00CF64D3" w:rsidRPr="00CF64D3">
        <w:rPr>
          <w:rtl/>
          <w:lang w:bidi="ar-SA"/>
        </w:rPr>
        <w:t xml:space="preserve"> ما يلي: "هذا</w:t>
      </w:r>
      <w:r w:rsidR="009C5388">
        <w:rPr>
          <w:rFonts w:hint="cs"/>
          <w:rtl/>
          <w:lang w:bidi="ar-SA"/>
        </w:rPr>
        <w:t> </w:t>
      </w:r>
      <w:r w:rsidR="00CF64D3" w:rsidRPr="00CF64D3">
        <w:rPr>
          <w:rtl/>
          <w:lang w:bidi="ar-SA"/>
        </w:rPr>
        <w:t xml:space="preserve">تدبير حصيف وافق عليه المجلس في دورته لعام </w:t>
      </w:r>
      <w:r w:rsidR="00CF64D3" w:rsidRPr="00CF64D3">
        <w:rPr>
          <w:lang w:bidi="ar-SA"/>
        </w:rPr>
        <w:t>2026</w:t>
      </w:r>
      <w:r w:rsidR="00CF64D3" w:rsidRPr="00CF64D3">
        <w:rPr>
          <w:rtl/>
          <w:lang w:bidi="ar-SA"/>
        </w:rPr>
        <w:t>. ومع أن هذا التدبير سيسهم في معالجة جزء من الخصوم المستقبلية، فإنه ينبغي وضع سياسة واستراتيجية شاملتين لمعالجة الخصوم المتعلقة بالتأمين الصحي بعد انتهاء الخدمة، نظراً إلى أنها تشكل أكبر خطر مالي يواجه الاتحاد".</w:t>
      </w:r>
    </w:p>
    <w:p w14:paraId="2EE83F99" w14:textId="73E5F629" w:rsidR="00CF64D3" w:rsidRPr="00CF64D3" w:rsidRDefault="003F2E9D" w:rsidP="00CF64D3">
      <w:pPr>
        <w:rPr>
          <w:lang w:val="ar-SA"/>
        </w:rPr>
      </w:pPr>
      <w:r>
        <w:rPr>
          <w:lang w:bidi="ar-SA"/>
        </w:rPr>
        <w:t>4.3</w:t>
      </w:r>
      <w:r>
        <w:rPr>
          <w:rtl/>
        </w:rPr>
        <w:tab/>
      </w:r>
      <w:r w:rsidR="00CF64D3" w:rsidRPr="00CF64D3">
        <w:rPr>
          <w:rtl/>
          <w:lang w:bidi="ar-SA"/>
        </w:rPr>
        <w:t>وكما يبين الرسم البياني أدناه، فإن التدابير الحالية لا تتيح بوضوح للاتحاد بلوغ المستوى المستهدف الكافي للتمويل في</w:t>
      </w:r>
      <w:r w:rsidR="00E46F32">
        <w:rPr>
          <w:rFonts w:hint="cs"/>
          <w:rtl/>
          <w:lang w:bidi="ar-SA"/>
        </w:rPr>
        <w:t> </w:t>
      </w:r>
      <w:r w:rsidR="00CF64D3" w:rsidRPr="00CF64D3">
        <w:rPr>
          <w:rtl/>
          <w:lang w:bidi="ar-SA"/>
        </w:rPr>
        <w:t>غضون فترة زمنية معقولة.</w:t>
      </w:r>
    </w:p>
    <w:p w14:paraId="1EDCAF4B" w14:textId="325C08C3" w:rsidR="00CF64D3" w:rsidRPr="00CF64D3" w:rsidRDefault="00183BFA" w:rsidP="00001516">
      <w:pPr>
        <w:pStyle w:val="Figure"/>
        <w:bidi/>
        <w:rPr>
          <w:rFonts w:hint="default"/>
        </w:rPr>
      </w:pPr>
      <w:r w:rsidRPr="00001516">
        <w:rPr>
          <w:szCs w:val="24"/>
          <w:rtl/>
        </w:rPr>
        <w:drawing>
          <wp:inline distT="0" distB="0" distL="0" distR="0" wp14:anchorId="0FC8E9E6" wp14:editId="457CF0A1">
            <wp:extent cx="5876682" cy="302400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76682" cy="3024000"/>
                    </a:xfrm>
                    <a:prstGeom prst="rect">
                      <a:avLst/>
                    </a:prstGeom>
                  </pic:spPr>
                </pic:pic>
              </a:graphicData>
            </a:graphic>
          </wp:inline>
        </w:drawing>
      </w:r>
    </w:p>
    <w:p w14:paraId="133D9A81" w14:textId="77777777" w:rsidR="00CF64D3" w:rsidRPr="00CF64D3" w:rsidRDefault="00CF64D3" w:rsidP="00C4495B">
      <w:pPr>
        <w:pStyle w:val="Heading1"/>
        <w:rPr>
          <w:lang w:bidi="ar-SA"/>
        </w:rPr>
      </w:pPr>
      <w:r w:rsidRPr="00CF64D3">
        <w:rPr>
          <w:lang w:bidi="ar-SA"/>
        </w:rPr>
        <w:lastRenderedPageBreak/>
        <w:t>4</w:t>
      </w:r>
      <w:r w:rsidRPr="00CF64D3">
        <w:rPr>
          <w:rtl/>
          <w:lang w:bidi="ar-SA"/>
        </w:rPr>
        <w:tab/>
        <w:t>أسباب تستدعي اتخاذ إجراءات</w:t>
      </w:r>
    </w:p>
    <w:p w14:paraId="3D5CFA90" w14:textId="77777777" w:rsidR="00CF64D3" w:rsidRPr="00CF64D3" w:rsidRDefault="00CF64D3" w:rsidP="00C4495B">
      <w:pPr>
        <w:pStyle w:val="Headingb"/>
        <w:rPr>
          <w:lang w:bidi="ar-SA"/>
        </w:rPr>
      </w:pPr>
      <w:r w:rsidRPr="00CF64D3">
        <w:rPr>
          <w:rtl/>
          <w:lang w:bidi="ar-SA"/>
        </w:rPr>
        <w:t>الاستدامة المالية</w:t>
      </w:r>
    </w:p>
    <w:p w14:paraId="33054CE4" w14:textId="2C70F361" w:rsidR="00CF64D3" w:rsidRPr="00CF64D3" w:rsidRDefault="00E1441A" w:rsidP="00CF64D3">
      <w:pPr>
        <w:rPr>
          <w:lang w:val="ar-SA"/>
        </w:rPr>
      </w:pPr>
      <w:r>
        <w:rPr>
          <w:lang w:bidi="ar-SA"/>
        </w:rPr>
        <w:t>1.4</w:t>
      </w:r>
      <w:r w:rsidR="00CF64D3" w:rsidRPr="00CF64D3">
        <w:rPr>
          <w:rtl/>
          <w:lang w:bidi="ar-SA"/>
        </w:rPr>
        <w:tab/>
        <w:t xml:space="preserve">لا تكمن المسألة في قدرة المنظمة على مواصلة دفع الاستحقاقات الحالية. فهي قادرة على ذلك، بل </w:t>
      </w:r>
      <w:r>
        <w:rPr>
          <w:rFonts w:hint="cs"/>
          <w:rtl/>
          <w:lang w:bidi="ar-SA"/>
        </w:rPr>
        <w:t>في ما</w:t>
      </w:r>
      <w:r w:rsidR="00CF64D3" w:rsidRPr="00CF64D3">
        <w:rPr>
          <w:rtl/>
          <w:lang w:bidi="ar-SA"/>
        </w:rPr>
        <w:t xml:space="preserve"> إذا كان ينبغي لها أن تستمر في تحمّل خصوم كبيرة غير ممولة تُضعف ميزانيتها العمومية، وتعرّضها لتدقيق الجهات المعنية الخارجية، وتزيد الضغوط المالية عليها مستقبلاً.</w:t>
      </w:r>
    </w:p>
    <w:p w14:paraId="6D6393DA" w14:textId="71F86DAC" w:rsidR="00CF64D3" w:rsidRPr="00CF64D3" w:rsidRDefault="008A6C11" w:rsidP="00CF64D3">
      <w:pPr>
        <w:rPr>
          <w:lang w:val="ar-SA"/>
        </w:rPr>
      </w:pPr>
      <w:r>
        <w:rPr>
          <w:lang w:bidi="ar-SA"/>
        </w:rPr>
        <w:t>2.4</w:t>
      </w:r>
      <w:r w:rsidR="00CF64D3" w:rsidRPr="00CF64D3">
        <w:rPr>
          <w:rtl/>
          <w:lang w:bidi="ar-SA"/>
        </w:rPr>
        <w:tab/>
        <w:t>والأهم من ذلك أن المدفوعات على أساس الدفع أولاً بأول ستزداد، كما ستزداد تكاليف الخدمة المستقبلية وتكاليف الفائدة بمعدلات أكبر، مما سيؤدي حتماً إلى اتساع الفجوة بين التمويل المتاح في إطار الاستراتيجية الحالية والالتزامات المستحقة عن الخدمة في المستقبل، وبالتالي إلى زيادة فجوة التمويل والحاجة إلى موارد إضافية مستقبلاً.</w:t>
      </w:r>
    </w:p>
    <w:p w14:paraId="34017ECF" w14:textId="77A7EDC4" w:rsidR="00CF64D3" w:rsidRDefault="008A6C11" w:rsidP="00CF64D3">
      <w:pPr>
        <w:rPr>
          <w:rtl/>
          <w:lang w:bidi="ar-SA"/>
        </w:rPr>
        <w:sectPr w:rsidR="00CF64D3" w:rsidSect="003E018F">
          <w:headerReference w:type="default" r:id="rId13"/>
          <w:footerReference w:type="default" r:id="rId14"/>
          <w:footerReference w:type="first" r:id="rId15"/>
          <w:pgSz w:w="11907" w:h="16834" w:code="9"/>
          <w:pgMar w:top="1418" w:right="1134" w:bottom="1418" w:left="1134" w:header="720" w:footer="720" w:gutter="0"/>
          <w:paperSrc w:first="7" w:other="7"/>
          <w:cols w:space="720"/>
          <w:titlePg/>
        </w:sectPr>
      </w:pPr>
      <w:r>
        <w:rPr>
          <w:lang w:bidi="ar-SA"/>
        </w:rPr>
        <w:t>3.4</w:t>
      </w:r>
      <w:r>
        <w:rPr>
          <w:rtl/>
        </w:rPr>
        <w:tab/>
      </w:r>
      <w:r w:rsidR="00CF64D3" w:rsidRPr="00CF64D3">
        <w:rPr>
          <w:rtl/>
          <w:lang w:bidi="ar-SA"/>
        </w:rPr>
        <w:t>ويوضح الرسم البياني أدناه الاتجاه المتوقع لمدفوعات الاستحقاقات ونسبتها إلى إجمالي نفقات المرتبات السنوية. وفي</w:t>
      </w:r>
      <w:r>
        <w:rPr>
          <w:rFonts w:hint="cs"/>
          <w:rtl/>
          <w:lang w:bidi="ar-SA"/>
        </w:rPr>
        <w:t> </w:t>
      </w:r>
      <w:r w:rsidR="00CF64D3" w:rsidRPr="00CF64D3">
        <w:rPr>
          <w:rtl/>
          <w:lang w:bidi="ar-SA"/>
        </w:rPr>
        <w:t xml:space="preserve">ظل غياب تدابير جديدة، سترتفع المدفوعات السنوية من مستواها الحالي البالغ </w:t>
      </w:r>
      <w:r w:rsidR="00CF64D3" w:rsidRPr="00CF64D3">
        <w:rPr>
          <w:lang w:bidi="ar-SA"/>
        </w:rPr>
        <w:t>3</w:t>
      </w:r>
      <w:r w:rsidR="00CF64D3" w:rsidRPr="00CF64D3">
        <w:rPr>
          <w:rtl/>
          <w:lang w:bidi="ar-SA"/>
        </w:rPr>
        <w:t xml:space="preserve"> في المائة من إجمالي نفقات المرتبات السنوية إلى نحو </w:t>
      </w:r>
      <w:r w:rsidR="00CF64D3" w:rsidRPr="00CF64D3">
        <w:rPr>
          <w:lang w:bidi="ar-SA"/>
        </w:rPr>
        <w:t>10</w:t>
      </w:r>
      <w:r w:rsidR="00CF64D3" w:rsidRPr="00CF64D3">
        <w:rPr>
          <w:rtl/>
          <w:lang w:bidi="ar-SA"/>
        </w:rPr>
        <w:t xml:space="preserve"> في المائة خلال </w:t>
      </w:r>
      <w:r w:rsidR="00CF64D3" w:rsidRPr="00CF64D3">
        <w:rPr>
          <w:lang w:bidi="ar-SA"/>
        </w:rPr>
        <w:t>30</w:t>
      </w:r>
      <w:r w:rsidR="00CF64D3" w:rsidRPr="00CF64D3">
        <w:rPr>
          <w:rtl/>
          <w:lang w:bidi="ar-SA"/>
        </w:rPr>
        <w:t xml:space="preserve"> عاماً، وهو ما سيمثل قرابة </w:t>
      </w:r>
      <w:r w:rsidR="00CF64D3" w:rsidRPr="00CF64D3">
        <w:rPr>
          <w:lang w:bidi="ar-SA"/>
        </w:rPr>
        <w:t>9</w:t>
      </w:r>
      <w:r w:rsidR="00CF64D3" w:rsidRPr="00CF64D3">
        <w:rPr>
          <w:rtl/>
          <w:lang w:bidi="ar-SA"/>
        </w:rPr>
        <w:t xml:space="preserve"> في المائة من الميزانية، مع استمرار ارتفاع هذه النسبة بعد</w:t>
      </w:r>
      <w:r w:rsidR="003F2B2C">
        <w:rPr>
          <w:rFonts w:hint="cs"/>
          <w:rtl/>
          <w:lang w:bidi="ar-SA"/>
        </w:rPr>
        <w:t> </w:t>
      </w:r>
      <w:r w:rsidR="00CF64D3" w:rsidRPr="00CF64D3">
        <w:rPr>
          <w:rtl/>
          <w:lang w:bidi="ar-SA"/>
        </w:rPr>
        <w:t>ذلك.</w:t>
      </w:r>
    </w:p>
    <w:p w14:paraId="38EEC2F2" w14:textId="21B739C7" w:rsidR="00CF64D3" w:rsidRPr="00CF64D3" w:rsidRDefault="00183BFA" w:rsidP="00D907D4">
      <w:pPr>
        <w:pStyle w:val="Figure"/>
        <w:bidi/>
        <w:rPr>
          <w:rFonts w:hint="default"/>
          <w:rtl/>
        </w:rPr>
        <w:sectPr w:rsidR="00CF64D3" w:rsidRPr="00CF64D3" w:rsidSect="00ED3A80">
          <w:pgSz w:w="16834" w:h="11907" w:orient="landscape"/>
          <w:pgMar w:top="851" w:right="567" w:bottom="567" w:left="567" w:header="720" w:footer="720" w:gutter="0"/>
          <w:paperSrc w:first="7" w:other="7"/>
          <w:cols w:space="720"/>
          <w:docGrid w:linePitch="326"/>
        </w:sectPr>
      </w:pPr>
      <w:r>
        <w:lastRenderedPageBreak/>
        <w:drawing>
          <wp:inline distT="0" distB="0" distL="0" distR="0" wp14:anchorId="0D30512D" wp14:editId="13488F5F">
            <wp:extent cx="9000000" cy="4104000"/>
            <wp:effectExtent l="0" t="0" r="0" b="0"/>
            <wp:docPr id="2" name="Image 1" descr="Picture">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age 1" descr="Picture">
                      <a:extLst>
                        <a:ext uri="{FF2B5EF4-FFF2-40B4-BE49-F238E27FC236}">
                          <a16:creationId xmlns:a16="http://schemas.microsoft.com/office/drawing/2014/main" id="{00000000-0008-0000-0000-000002000000}"/>
                        </a:ext>
                      </a:extLst>
                    </pic:cNvPr>
                    <pic:cNvPicPr/>
                  </pic:nvPicPr>
                  <pic:blipFill>
                    <a:blip r:embed="rId16" cstate="print"/>
                    <a:stretch>
                      <a:fillRect/>
                    </a:stretch>
                  </pic:blipFill>
                  <pic:spPr>
                    <a:xfrm>
                      <a:off x="0" y="0"/>
                      <a:ext cx="9000000" cy="4104000"/>
                    </a:xfrm>
                    <a:prstGeom prst="rect">
                      <a:avLst/>
                    </a:prstGeom>
                  </pic:spPr>
                </pic:pic>
              </a:graphicData>
            </a:graphic>
          </wp:inline>
        </w:drawing>
      </w:r>
    </w:p>
    <w:p w14:paraId="39B500DB" w14:textId="15386A1C" w:rsidR="00CF64D3" w:rsidRPr="00CF64D3" w:rsidRDefault="00247E9F" w:rsidP="00CF64D3">
      <w:pPr>
        <w:rPr>
          <w:lang w:val="ar-SA"/>
        </w:rPr>
      </w:pPr>
      <w:r>
        <w:rPr>
          <w:lang w:bidi="ar-SA"/>
        </w:rPr>
        <w:lastRenderedPageBreak/>
        <w:t>4.4</w:t>
      </w:r>
      <w:r>
        <w:rPr>
          <w:rtl/>
        </w:rPr>
        <w:tab/>
      </w:r>
      <w:r w:rsidR="00CF64D3" w:rsidRPr="00CF64D3">
        <w:rPr>
          <w:rtl/>
          <w:lang w:bidi="ar-SA"/>
        </w:rPr>
        <w:t>ومن شأن اعتماد استراتيجية تمويل أكثر فعالية أن يؤدي إلى ما يلي:</w:t>
      </w:r>
    </w:p>
    <w:p w14:paraId="6FEEA241" w14:textId="77777777" w:rsidR="00CF64D3" w:rsidRPr="00CF64D3" w:rsidRDefault="00CF64D3" w:rsidP="00FA70B4">
      <w:pPr>
        <w:pStyle w:val="enumlev1"/>
        <w:rPr>
          <w:lang w:val="ar-SA"/>
        </w:rPr>
      </w:pPr>
      <w:r w:rsidRPr="00CF64D3">
        <w:rPr>
          <w:lang w:val="en-US"/>
        </w:rPr>
        <w:t>–</w:t>
      </w:r>
      <w:r w:rsidRPr="00CF64D3">
        <w:rPr>
          <w:rtl/>
          <w:lang w:bidi="ar-SA"/>
        </w:rPr>
        <w:tab/>
        <w:t>تحسين وضع صافي أصول المنظمة؛</w:t>
      </w:r>
    </w:p>
    <w:p w14:paraId="30D38981" w14:textId="77777777" w:rsidR="00CF64D3" w:rsidRPr="00CF64D3" w:rsidRDefault="00CF64D3" w:rsidP="00FA70B4">
      <w:pPr>
        <w:pStyle w:val="enumlev1"/>
        <w:rPr>
          <w:lang w:val="ar-SA"/>
        </w:rPr>
      </w:pPr>
      <w:r w:rsidRPr="00CF64D3">
        <w:rPr>
          <w:lang w:val="en-US"/>
        </w:rPr>
        <w:t>–</w:t>
      </w:r>
      <w:r w:rsidRPr="00CF64D3">
        <w:rPr>
          <w:rtl/>
          <w:lang w:bidi="ar-SA"/>
        </w:rPr>
        <w:tab/>
        <w:t>الحد من المخاطر المالية على المدى الطويل؛</w:t>
      </w:r>
    </w:p>
    <w:p w14:paraId="3E4EF74D" w14:textId="77777777" w:rsidR="00CF64D3" w:rsidRPr="00CF64D3" w:rsidRDefault="00CF64D3" w:rsidP="00FA70B4">
      <w:pPr>
        <w:pStyle w:val="enumlev1"/>
        <w:rPr>
          <w:lang w:val="ar-SA"/>
        </w:rPr>
      </w:pPr>
      <w:r w:rsidRPr="00CF64D3">
        <w:rPr>
          <w:lang w:val="en-US"/>
        </w:rPr>
        <w:t>–</w:t>
      </w:r>
      <w:r w:rsidRPr="00CF64D3">
        <w:rPr>
          <w:rtl/>
          <w:lang w:bidi="ar-SA"/>
        </w:rPr>
        <w:tab/>
        <w:t>تعزيز القدرة على الصمود أمام التطورات الاكتوارية غير المواتية؛</w:t>
      </w:r>
    </w:p>
    <w:p w14:paraId="76720BDA" w14:textId="1A33B883" w:rsidR="00CF64D3" w:rsidRPr="00CF64D3" w:rsidRDefault="00CF64D3" w:rsidP="00FA70B4">
      <w:pPr>
        <w:pStyle w:val="enumlev1"/>
        <w:rPr>
          <w:lang w:val="ar-SA"/>
        </w:rPr>
      </w:pPr>
      <w:r w:rsidRPr="00CF64D3">
        <w:rPr>
          <w:lang w:val="en-US"/>
        </w:rPr>
        <w:t>–</w:t>
      </w:r>
      <w:r w:rsidRPr="00CF64D3">
        <w:rPr>
          <w:rtl/>
          <w:lang w:bidi="ar-SA"/>
        </w:rPr>
        <w:tab/>
        <w:t>تعزيز ثقة مراجعي الحسابات الخارجيين والجهات المعنية الخارجية؛</w:t>
      </w:r>
    </w:p>
    <w:p w14:paraId="103DA3F5" w14:textId="61B0F724" w:rsidR="00CF64D3" w:rsidRPr="00CF64D3" w:rsidRDefault="00CF64D3" w:rsidP="00FA70B4">
      <w:pPr>
        <w:pStyle w:val="enumlev1"/>
        <w:rPr>
          <w:lang w:val="ar-SA"/>
        </w:rPr>
      </w:pPr>
      <w:r w:rsidRPr="00CF64D3">
        <w:rPr>
          <w:lang w:val="en-US"/>
        </w:rPr>
        <w:t>–</w:t>
      </w:r>
      <w:r w:rsidRPr="00CF64D3">
        <w:rPr>
          <w:rtl/>
          <w:lang w:bidi="ar-SA"/>
        </w:rPr>
        <w:tab/>
        <w:t>إظهار الحصافة في الإدارة المالية وحسن التصرف في مساهمات الدول الأعضاء.</w:t>
      </w:r>
    </w:p>
    <w:p w14:paraId="27C7A7ED" w14:textId="77777777" w:rsidR="00CF64D3" w:rsidRPr="00CF64D3" w:rsidRDefault="00CF64D3" w:rsidP="00C4495B">
      <w:pPr>
        <w:pStyle w:val="Headingb"/>
        <w:rPr>
          <w:lang w:bidi="ar-SA"/>
        </w:rPr>
      </w:pPr>
      <w:r w:rsidRPr="00CF64D3">
        <w:rPr>
          <w:rtl/>
          <w:lang w:bidi="ar-SA"/>
        </w:rPr>
        <w:t>الإنصاف بين الأجيال</w:t>
      </w:r>
    </w:p>
    <w:p w14:paraId="3181F23C" w14:textId="0A8619AD" w:rsidR="00CF64D3" w:rsidRPr="00CF64D3" w:rsidRDefault="00C86BD6" w:rsidP="00CF64D3">
      <w:pPr>
        <w:rPr>
          <w:lang w:val="ar-SA"/>
        </w:rPr>
      </w:pPr>
      <w:r>
        <w:rPr>
          <w:lang w:bidi="ar-SA"/>
        </w:rPr>
        <w:t>5.4</w:t>
      </w:r>
      <w:r>
        <w:rPr>
          <w:rtl/>
        </w:rPr>
        <w:tab/>
      </w:r>
      <w:r w:rsidR="00CF64D3" w:rsidRPr="00CF64D3">
        <w:rPr>
          <w:rtl/>
          <w:lang w:bidi="ar-SA"/>
        </w:rPr>
        <w:t>تُكتسب استحقاقات التأمين الصحي بعد انتهاء الخدمة عن طريق الخدمة المقدمة حالياً، ولكنها تُدفع بعد سنوات عديدة. ومن المبادئ الأساسية للحوكمة المالية السليمة تمويل الالتزامات تدريجياً بالتزامن مع اكتساب الاستحقاقات، بدلاً من نقل أعبائها إلى الأجيال المقبلة من الدول الأعضاء.</w:t>
      </w:r>
    </w:p>
    <w:p w14:paraId="6136B80B" w14:textId="0A8ED973" w:rsidR="00CF64D3" w:rsidRPr="00CF64D3" w:rsidRDefault="00106F0A" w:rsidP="00CF64D3">
      <w:pPr>
        <w:rPr>
          <w:lang w:val="ar-SA"/>
        </w:rPr>
      </w:pPr>
      <w:r>
        <w:rPr>
          <w:lang w:bidi="ar-SA"/>
        </w:rPr>
        <w:t>6.4</w:t>
      </w:r>
      <w:r>
        <w:rPr>
          <w:rtl/>
        </w:rPr>
        <w:tab/>
      </w:r>
      <w:r w:rsidR="00CF64D3" w:rsidRPr="00CF64D3">
        <w:rPr>
          <w:rtl/>
          <w:lang w:bidi="ar-SA"/>
        </w:rPr>
        <w:t>ومن شأن اتباع نهج تمويل منظم أن يكفل تقاسماً أكثر إنصافاً للتكاليف بين الأجيال، ويحد من مخاطر الحاجة إلى تمويل كبير في المستقبل. ويتسق هذا النهج مع مبادئ الإدارة المالية للقطاع العام المعترف بها دولياً.</w:t>
      </w:r>
    </w:p>
    <w:p w14:paraId="0B3F6C72" w14:textId="77777777" w:rsidR="00CF64D3" w:rsidRPr="00CF64D3" w:rsidRDefault="00CF64D3" w:rsidP="00C4495B">
      <w:pPr>
        <w:pStyle w:val="Headingb"/>
        <w:rPr>
          <w:lang w:bidi="ar-SA"/>
        </w:rPr>
      </w:pPr>
      <w:r w:rsidRPr="00CF64D3">
        <w:rPr>
          <w:rtl/>
          <w:lang w:bidi="ar-SA"/>
        </w:rPr>
        <w:t>المواءمة مع الممارسات الدولية</w:t>
      </w:r>
    </w:p>
    <w:p w14:paraId="1B2FFADA" w14:textId="5D0612CB" w:rsidR="00CF64D3" w:rsidRPr="00CF64D3" w:rsidRDefault="008038E4" w:rsidP="00CF64D3">
      <w:pPr>
        <w:rPr>
          <w:lang w:val="ar-SA"/>
        </w:rPr>
      </w:pPr>
      <w:r>
        <w:rPr>
          <w:lang w:bidi="ar-SA"/>
        </w:rPr>
        <w:t>7.4</w:t>
      </w:r>
      <w:r>
        <w:rPr>
          <w:rtl/>
        </w:rPr>
        <w:tab/>
      </w:r>
      <w:r w:rsidR="00CF64D3" w:rsidRPr="00CF64D3">
        <w:rPr>
          <w:rtl/>
          <w:lang w:bidi="ar-SA"/>
        </w:rPr>
        <w:t xml:space="preserve">لا ينفرد الاتحاد بتحدي تمويل الالتزامات المتعلقة باستحقاقات ما بعد انتهاء الخدمة. فقد اعتمدت بالفعل كيانات عديدة في منظومة الأمم المتحدة ومنظمات دولية أخرى استراتيجيات رسمية لتمويل التأمين الصحي بعد انتهاء الخدمة </w:t>
      </w:r>
      <w:r w:rsidR="00CF64D3" w:rsidRPr="00CF64D3">
        <w:rPr>
          <w:lang w:val="en-US"/>
        </w:rPr>
        <w:t>(ASHI)</w:t>
      </w:r>
      <w:r w:rsidR="00CF64D3" w:rsidRPr="00CF64D3">
        <w:rPr>
          <w:rtl/>
          <w:lang w:bidi="ar-SA"/>
        </w:rPr>
        <w:t>. وراكمت هذه المنظمات تدريجياً أصولاً مخصصة لهذا الغرض من خلال الجمع بين المساهمات المدرجة في الميزانية، وآليات التمويل القائمة على المرتبات، وعوائد الاستثمار، والتحويلات من الاحتياطيات.</w:t>
      </w:r>
    </w:p>
    <w:p w14:paraId="1AB741D5" w14:textId="4D0BD31B" w:rsidR="00CF64D3" w:rsidRPr="00CF64D3" w:rsidRDefault="003963B1" w:rsidP="00CF64D3">
      <w:pPr>
        <w:rPr>
          <w:lang w:val="ar-SA"/>
        </w:rPr>
      </w:pPr>
      <w:r>
        <w:rPr>
          <w:lang w:bidi="ar-SA"/>
        </w:rPr>
        <w:t>8.4</w:t>
      </w:r>
      <w:r>
        <w:rPr>
          <w:rtl/>
        </w:rPr>
        <w:tab/>
      </w:r>
      <w:r w:rsidR="00CF64D3" w:rsidRPr="00CF64D3">
        <w:rPr>
          <w:rtl/>
          <w:lang w:bidi="ar-SA"/>
        </w:rPr>
        <w:t>وتُظهر المقارنة المرجعية بين منظمات الأمم المتحدة ووكالاتها أمثلة لمنظمات تستهدف مستويات تمويل تتراوح بين التغطية الجزئية والتمويل الكامل، وقد حقق بعضها بالفعل مستويات مرتفعة أو كاملة من تغطية التزاماتها.</w:t>
      </w:r>
    </w:p>
    <w:p w14:paraId="03654A8B" w14:textId="59AE9916" w:rsidR="00CF64D3" w:rsidRPr="00CF64D3" w:rsidRDefault="002B018A" w:rsidP="00CF64D3">
      <w:pPr>
        <w:rPr>
          <w:lang w:val="ar-SA"/>
        </w:rPr>
      </w:pPr>
      <w:r>
        <w:rPr>
          <w:lang w:bidi="ar-SA"/>
        </w:rPr>
        <w:t>9.4</w:t>
      </w:r>
      <w:r>
        <w:rPr>
          <w:rtl/>
        </w:rPr>
        <w:tab/>
      </w:r>
      <w:r w:rsidR="00CF64D3" w:rsidRPr="00CF64D3">
        <w:rPr>
          <w:rtl/>
          <w:lang w:bidi="ar-SA"/>
        </w:rPr>
        <w:t>ومن ثم، فإن وضع استراتيجية تمويل منظمة سيمثل أيضاً خطوة إيجابية نحو مواءمة نهج الاتحاد مع الاتجاه المتنامي داخل منظومة الأمم المتحدة إلى معالجة التزامات ما بعد انتهاء الخدمة من خلال ترتيبات تمويل منظمة ومستدامة.</w:t>
      </w:r>
    </w:p>
    <w:p w14:paraId="5FE978E2" w14:textId="4D3A330F" w:rsidR="00CF64D3" w:rsidRPr="00CF64D3" w:rsidRDefault="00C00972" w:rsidP="00CF64D3">
      <w:pPr>
        <w:rPr>
          <w:lang w:val="ar-SA"/>
        </w:rPr>
      </w:pPr>
      <w:r>
        <w:rPr>
          <w:lang w:bidi="ar-SA"/>
        </w:rPr>
        <w:t>10.4</w:t>
      </w:r>
      <w:r>
        <w:rPr>
          <w:rtl/>
        </w:rPr>
        <w:tab/>
      </w:r>
      <w:r w:rsidR="00CF64D3" w:rsidRPr="00CF64D3">
        <w:rPr>
          <w:rtl/>
          <w:lang w:bidi="ar-SA"/>
        </w:rPr>
        <w:t xml:space="preserve">وكما يبين الرسم البياني أدناه، لا يزال مستوى تمويل الخصوم المتعلقة بالتأمين الصحي بعد انتهاء الخدمة في الاتحاد أقل بكثير من مستوياته في المنظمات الكبرى التي تتحمل خصوماً مماثلة. وبالنظر إلى المنظمات العاملة ضمن منظومة الأمم المتحدة التي تجاوزت خصومها المتعلقة بالتأمين الصحي بعد انتهاء الخدمة </w:t>
      </w:r>
      <w:r w:rsidR="00CF64D3" w:rsidRPr="00CF64D3">
        <w:rPr>
          <w:lang w:bidi="ar-SA"/>
        </w:rPr>
        <w:t>50</w:t>
      </w:r>
      <w:r w:rsidR="00CF64D3" w:rsidRPr="00CF64D3">
        <w:rPr>
          <w:rtl/>
          <w:lang w:bidi="ar-SA"/>
        </w:rPr>
        <w:t xml:space="preserve"> مليون وحدة من عملة الإبلاغ المعتمدة لدى كل منها في نهاية عام </w:t>
      </w:r>
      <w:r w:rsidR="00CF64D3" w:rsidRPr="00CF64D3">
        <w:rPr>
          <w:lang w:bidi="ar-SA"/>
        </w:rPr>
        <w:t>2025</w:t>
      </w:r>
      <w:r w:rsidR="00CF64D3" w:rsidRPr="00CF64D3">
        <w:rPr>
          <w:rtl/>
          <w:lang w:bidi="ar-SA"/>
        </w:rPr>
        <w:t>، تجدر الإشارة إلى ما يلي</w:t>
      </w:r>
      <w:r w:rsidR="00CF64D3" w:rsidRPr="00CF64D3">
        <w:rPr>
          <w:lang w:val="en-US"/>
        </w:rPr>
        <w:t>:</w:t>
      </w:r>
    </w:p>
    <w:p w14:paraId="1ACF4D65" w14:textId="77777777" w:rsidR="00CF64D3" w:rsidRPr="00523007" w:rsidRDefault="00CF64D3" w:rsidP="00523007">
      <w:pPr>
        <w:pStyle w:val="enumlev1"/>
        <w:rPr>
          <w:lang w:val="en-US"/>
        </w:rPr>
      </w:pPr>
      <w:r w:rsidRPr="00CF64D3">
        <w:rPr>
          <w:lang w:val="en-US"/>
        </w:rPr>
        <w:t>–</w:t>
      </w:r>
      <w:r w:rsidRPr="00523007">
        <w:rPr>
          <w:rtl/>
          <w:lang w:val="en-US"/>
        </w:rPr>
        <w:tab/>
        <w:t xml:space="preserve">يبلغ متوسط نسبة تغطية الخصوم </w:t>
      </w:r>
      <w:r w:rsidRPr="00523007">
        <w:rPr>
          <w:lang w:val="en-US"/>
        </w:rPr>
        <w:t>64</w:t>
      </w:r>
      <w:r w:rsidRPr="00523007">
        <w:rPr>
          <w:rtl/>
          <w:lang w:val="en-US"/>
        </w:rPr>
        <w:t xml:space="preserve"> في المائة، مقابل </w:t>
      </w:r>
      <w:r w:rsidRPr="00523007">
        <w:rPr>
          <w:lang w:val="en-US"/>
        </w:rPr>
        <w:t>4</w:t>
      </w:r>
      <w:r w:rsidRPr="00523007">
        <w:rPr>
          <w:rtl/>
          <w:lang w:val="en-US"/>
        </w:rPr>
        <w:t xml:space="preserve"> في المائة في الاتحاد؛</w:t>
      </w:r>
    </w:p>
    <w:p w14:paraId="1DD8E69F" w14:textId="77777777" w:rsidR="00CF64D3" w:rsidRPr="00523007" w:rsidRDefault="00CF64D3" w:rsidP="00523007">
      <w:pPr>
        <w:pStyle w:val="enumlev1"/>
        <w:rPr>
          <w:lang w:val="en-US"/>
        </w:rPr>
      </w:pPr>
      <w:r w:rsidRPr="00CF64D3">
        <w:rPr>
          <w:lang w:val="en-US"/>
        </w:rPr>
        <w:t>–</w:t>
      </w:r>
      <w:r w:rsidRPr="00523007">
        <w:rPr>
          <w:rtl/>
          <w:lang w:val="en-US"/>
        </w:rPr>
        <w:tab/>
        <w:t xml:space="preserve">يبلغ متوسط نسبة تغطية الخصوم لدى المنظمات التي تتجاوز خصومها المتعلقة بالتأمين الصحي بعد انتهاء الخدمة خصوم الاتحاد </w:t>
      </w:r>
      <w:r w:rsidRPr="00523007">
        <w:rPr>
          <w:lang w:val="en-US"/>
        </w:rPr>
        <w:t>68</w:t>
      </w:r>
      <w:r w:rsidRPr="00523007">
        <w:rPr>
          <w:rtl/>
          <w:lang w:val="en-US"/>
        </w:rPr>
        <w:t xml:space="preserve"> في المائة،</w:t>
      </w:r>
    </w:p>
    <w:p w14:paraId="4801E7D7" w14:textId="77777777" w:rsidR="00CF64D3" w:rsidRPr="00523007" w:rsidRDefault="00CF64D3" w:rsidP="00523007">
      <w:pPr>
        <w:pStyle w:val="enumlev1"/>
        <w:rPr>
          <w:rtl/>
          <w:lang w:val="en-US"/>
        </w:rPr>
        <w:sectPr w:rsidR="00CF64D3" w:rsidRPr="00523007" w:rsidSect="00CF64D3">
          <w:headerReference w:type="first" r:id="rId17"/>
          <w:footerReference w:type="first" r:id="rId18"/>
          <w:pgSz w:w="11907" w:h="16834" w:code="9"/>
          <w:pgMar w:top="1418" w:right="1134" w:bottom="1418" w:left="1134" w:header="720" w:footer="720" w:gutter="0"/>
          <w:paperSrc w:first="7" w:other="7"/>
          <w:cols w:space="720"/>
          <w:titlePg/>
          <w:docGrid w:linePitch="299"/>
        </w:sectPr>
      </w:pPr>
      <w:r w:rsidRPr="00CF64D3">
        <w:rPr>
          <w:lang w:val="en-US"/>
        </w:rPr>
        <w:t>–</w:t>
      </w:r>
      <w:r w:rsidRPr="00523007">
        <w:rPr>
          <w:rtl/>
          <w:lang w:val="en-US"/>
        </w:rPr>
        <w:tab/>
        <w:t xml:space="preserve">لا توجد سوى </w:t>
      </w:r>
      <w:r w:rsidRPr="00523007">
        <w:rPr>
          <w:lang w:val="en-US"/>
        </w:rPr>
        <w:t>6</w:t>
      </w:r>
      <w:r w:rsidRPr="00523007">
        <w:rPr>
          <w:rtl/>
          <w:lang w:val="en-US"/>
        </w:rPr>
        <w:t xml:space="preserve"> منظمات تقل فيها نسبة تغطية التمويل عن نظيرتها في الاتحاد.</w:t>
      </w:r>
    </w:p>
    <w:p w14:paraId="765053E0" w14:textId="357E626E" w:rsidR="00CF64D3" w:rsidRDefault="00183BFA" w:rsidP="00CF64D3">
      <w:pPr>
        <w:pStyle w:val="Figure"/>
        <w:rPr>
          <w:rFonts w:hint="default"/>
          <w:rtl/>
        </w:rPr>
        <w:sectPr w:rsidR="00CF64D3" w:rsidSect="00796273">
          <w:headerReference w:type="first" r:id="rId19"/>
          <w:footerReference w:type="first" r:id="rId20"/>
          <w:pgSz w:w="16834" w:h="11907" w:orient="landscape" w:code="9"/>
          <w:pgMar w:top="851" w:right="567" w:bottom="567" w:left="567" w:header="720" w:footer="720" w:gutter="0"/>
          <w:paperSrc w:first="7" w:other="7"/>
          <w:cols w:space="720"/>
          <w:titlePg/>
          <w:docGrid w:linePitch="299"/>
        </w:sectPr>
      </w:pPr>
      <w:r>
        <w:lastRenderedPageBreak/>
        <w:drawing>
          <wp:inline distT="0" distB="0" distL="0" distR="0" wp14:anchorId="4C92DB7E" wp14:editId="36128DED">
            <wp:extent cx="9000000" cy="4446000"/>
            <wp:effectExtent l="0" t="0" r="0" b="0"/>
            <wp:docPr id="3" name="Image 1" descr="Picture">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age 1" descr="Picture">
                      <a:extLst>
                        <a:ext uri="{FF2B5EF4-FFF2-40B4-BE49-F238E27FC236}">
                          <a16:creationId xmlns:a16="http://schemas.microsoft.com/office/drawing/2014/main" id="{00000000-0008-0000-0000-000002000000}"/>
                        </a:ext>
                      </a:extLst>
                    </pic:cNvPr>
                    <pic:cNvPicPr/>
                  </pic:nvPicPr>
                  <pic:blipFill>
                    <a:blip r:embed="rId21" cstate="print"/>
                    <a:stretch>
                      <a:fillRect/>
                    </a:stretch>
                  </pic:blipFill>
                  <pic:spPr>
                    <a:xfrm>
                      <a:off x="0" y="0"/>
                      <a:ext cx="9000000" cy="4446000"/>
                    </a:xfrm>
                    <a:prstGeom prst="rect">
                      <a:avLst/>
                    </a:prstGeom>
                  </pic:spPr>
                </pic:pic>
              </a:graphicData>
            </a:graphic>
          </wp:inline>
        </w:drawing>
      </w:r>
    </w:p>
    <w:p w14:paraId="38E3C8B6" w14:textId="6DFC4B81" w:rsidR="00351900" w:rsidRPr="00351900" w:rsidRDefault="00351900" w:rsidP="00C4495B">
      <w:pPr>
        <w:pStyle w:val="Heading1"/>
        <w:rPr>
          <w:lang w:bidi="ar-SA"/>
        </w:rPr>
      </w:pPr>
      <w:r w:rsidRPr="00351900">
        <w:rPr>
          <w:lang w:bidi="ar-SA"/>
        </w:rPr>
        <w:lastRenderedPageBreak/>
        <w:t>5</w:t>
      </w:r>
      <w:r w:rsidRPr="00351900">
        <w:rPr>
          <w:rtl/>
          <w:lang w:bidi="ar-SA"/>
        </w:rPr>
        <w:tab/>
        <w:t>استراتيجية التمويل والإطار المقترحان</w:t>
      </w:r>
    </w:p>
    <w:p w14:paraId="1597C69C" w14:textId="7B6E7C62" w:rsidR="00351900" w:rsidRPr="00351900" w:rsidRDefault="000B6006" w:rsidP="00351900">
      <w:pPr>
        <w:rPr>
          <w:lang w:val="ar-SA"/>
        </w:rPr>
      </w:pPr>
      <w:r>
        <w:rPr>
          <w:lang w:bidi="ar-SA"/>
        </w:rPr>
        <w:t>1.5</w:t>
      </w:r>
      <w:r w:rsidR="00351900" w:rsidRPr="00351900">
        <w:rPr>
          <w:rtl/>
          <w:lang w:bidi="ar-SA"/>
        </w:rPr>
        <w:tab/>
        <w:t>مع مراعاة القيود الحالية المفروضة على الميزانية، ينبغي تحديد الهدف وفقاً لخارطة طريق طويلة الأجل تتسم بالواقعية وقابلية القياس.</w:t>
      </w:r>
    </w:p>
    <w:p w14:paraId="7AAB1600" w14:textId="77777777" w:rsidR="00351900" w:rsidRPr="00351900" w:rsidRDefault="00351900" w:rsidP="00C4495B">
      <w:pPr>
        <w:pStyle w:val="Headingb"/>
        <w:rPr>
          <w:lang w:bidi="ar-SA"/>
        </w:rPr>
      </w:pPr>
      <w:r w:rsidRPr="00351900">
        <w:rPr>
          <w:rtl/>
          <w:lang w:bidi="ar-SA"/>
        </w:rPr>
        <w:t>تحديد أهداف التمويل والسيناريوهات التوضيحية</w:t>
      </w:r>
    </w:p>
    <w:p w14:paraId="1077FB35" w14:textId="0D88F66B" w:rsidR="00351900" w:rsidRPr="00397865" w:rsidRDefault="00CB681D" w:rsidP="00351900">
      <w:pPr>
        <w:rPr>
          <w:spacing w:val="-4"/>
          <w:lang w:val="ar-SA"/>
        </w:rPr>
      </w:pPr>
      <w:r w:rsidRPr="00397865">
        <w:rPr>
          <w:spacing w:val="-4"/>
          <w:lang w:bidi="ar-SA"/>
        </w:rPr>
        <w:t>2.5</w:t>
      </w:r>
      <w:r w:rsidRPr="00397865">
        <w:rPr>
          <w:spacing w:val="-4"/>
          <w:rtl/>
        </w:rPr>
        <w:tab/>
      </w:r>
      <w:r w:rsidR="00351900" w:rsidRPr="00397865">
        <w:rPr>
          <w:spacing w:val="-4"/>
          <w:rtl/>
          <w:lang w:bidi="ar-SA"/>
        </w:rPr>
        <w:t>ينبغي للدول الأعضاء أن تنظر في اعتماد هدف رسمي للتمويل تدعمه إنجازات مرحلية محددة ورصد دوري للتقدم</w:t>
      </w:r>
      <w:r w:rsidR="00A55176" w:rsidRPr="00397865">
        <w:rPr>
          <w:rFonts w:hint="cs"/>
          <w:spacing w:val="-4"/>
          <w:rtl/>
          <w:lang w:bidi="ar-SA"/>
        </w:rPr>
        <w:t> </w:t>
      </w:r>
      <w:r w:rsidR="00351900" w:rsidRPr="00397865">
        <w:rPr>
          <w:spacing w:val="-4"/>
          <w:rtl/>
          <w:lang w:bidi="ar-SA"/>
        </w:rPr>
        <w:t>المحرز.</w:t>
      </w:r>
    </w:p>
    <w:p w14:paraId="65ECE7CF" w14:textId="77777777" w:rsidR="00351900" w:rsidRPr="00351900" w:rsidRDefault="00351900" w:rsidP="00351900">
      <w:pPr>
        <w:rPr>
          <w:lang w:val="ar-SA"/>
        </w:rPr>
      </w:pPr>
      <w:r w:rsidRPr="00351900">
        <w:rPr>
          <w:rtl/>
          <w:lang w:bidi="ar-SA"/>
        </w:rPr>
        <w:t>ويمكن أن تشمل الأهداف التوضيحية ما يلي:</w:t>
      </w:r>
    </w:p>
    <w:p w14:paraId="4C85DBF2" w14:textId="77777777" w:rsidR="00351900" w:rsidRPr="00CC0218" w:rsidRDefault="00351900" w:rsidP="00CC0218">
      <w:pPr>
        <w:pStyle w:val="enumlev1"/>
        <w:rPr>
          <w:lang w:val="en-US"/>
        </w:rPr>
      </w:pPr>
      <w:r w:rsidRPr="00351900">
        <w:rPr>
          <w:lang w:val="en-US"/>
        </w:rPr>
        <w:t>–</w:t>
      </w:r>
      <w:r w:rsidRPr="00CC0218">
        <w:rPr>
          <w:rtl/>
          <w:lang w:val="en-US"/>
        </w:rPr>
        <w:tab/>
        <w:t xml:space="preserve">بلوغ نسبة تمويل قدرها </w:t>
      </w:r>
      <w:r w:rsidRPr="00CC0218">
        <w:rPr>
          <w:lang w:val="en-US"/>
        </w:rPr>
        <w:t>25</w:t>
      </w:r>
      <w:r w:rsidRPr="00CC0218">
        <w:rPr>
          <w:rtl/>
          <w:lang w:val="en-US"/>
        </w:rPr>
        <w:t xml:space="preserve"> في المائة في غضون خمس عشرة سنة؛</w:t>
      </w:r>
    </w:p>
    <w:p w14:paraId="4653B465" w14:textId="77777777" w:rsidR="00351900" w:rsidRPr="00CC0218" w:rsidRDefault="00351900" w:rsidP="00CC0218">
      <w:pPr>
        <w:pStyle w:val="enumlev1"/>
        <w:rPr>
          <w:lang w:val="en-US"/>
        </w:rPr>
      </w:pPr>
      <w:r w:rsidRPr="00351900">
        <w:rPr>
          <w:lang w:val="en-US"/>
        </w:rPr>
        <w:t>–</w:t>
      </w:r>
      <w:r w:rsidRPr="00CC0218">
        <w:rPr>
          <w:rtl/>
          <w:lang w:val="en-US"/>
        </w:rPr>
        <w:tab/>
        <w:t xml:space="preserve">بلوغ نسبة تمويل قدرها </w:t>
      </w:r>
      <w:r w:rsidRPr="00CC0218">
        <w:rPr>
          <w:lang w:val="en-US"/>
        </w:rPr>
        <w:t>50</w:t>
      </w:r>
      <w:r w:rsidRPr="00CC0218">
        <w:rPr>
          <w:rtl/>
          <w:lang w:val="en-US"/>
        </w:rPr>
        <w:t xml:space="preserve"> في المائة في غضون ثلاثين سنة؛</w:t>
      </w:r>
    </w:p>
    <w:p w14:paraId="143C6C99" w14:textId="77777777" w:rsidR="00351900" w:rsidRPr="00CC0218" w:rsidRDefault="00351900" w:rsidP="00CC0218">
      <w:pPr>
        <w:pStyle w:val="enumlev1"/>
        <w:rPr>
          <w:lang w:val="en-US"/>
        </w:rPr>
      </w:pPr>
      <w:r w:rsidRPr="00351900">
        <w:rPr>
          <w:lang w:val="en-US"/>
        </w:rPr>
        <w:t>–</w:t>
      </w:r>
      <w:r w:rsidRPr="00CC0218">
        <w:rPr>
          <w:rtl/>
          <w:lang w:val="en-US"/>
        </w:rPr>
        <w:tab/>
        <w:t xml:space="preserve">بلوغ نسبة تمويل قدرها </w:t>
      </w:r>
      <w:r w:rsidRPr="00CC0218">
        <w:rPr>
          <w:lang w:val="en-US"/>
        </w:rPr>
        <w:t>75</w:t>
      </w:r>
      <w:r w:rsidRPr="00CC0218">
        <w:rPr>
          <w:rtl/>
          <w:lang w:val="en-US"/>
        </w:rPr>
        <w:t xml:space="preserve"> في المائة في غضون خمس وأربعين سنة؛</w:t>
      </w:r>
    </w:p>
    <w:p w14:paraId="6D1EDE41" w14:textId="77777777" w:rsidR="00351900" w:rsidRPr="00CC0218" w:rsidRDefault="00351900" w:rsidP="00CC0218">
      <w:pPr>
        <w:pStyle w:val="enumlev1"/>
        <w:rPr>
          <w:lang w:val="en-US"/>
        </w:rPr>
      </w:pPr>
      <w:r w:rsidRPr="00351900">
        <w:rPr>
          <w:lang w:val="en-US"/>
        </w:rPr>
        <w:t>–</w:t>
      </w:r>
      <w:r w:rsidRPr="00CC0218">
        <w:rPr>
          <w:rtl/>
          <w:lang w:val="en-US"/>
        </w:rPr>
        <w:tab/>
        <w:t>زيادة نسبة التغطية تدريجياً إلى ما يتجاوز هذه المستويات وصولاً إلى المستوى المستهدف على المدى الأطول.</w:t>
      </w:r>
    </w:p>
    <w:p w14:paraId="5441580D" w14:textId="20D3B644" w:rsidR="00351900" w:rsidRPr="00351900" w:rsidRDefault="00CC0218" w:rsidP="00351900">
      <w:pPr>
        <w:rPr>
          <w:lang w:val="ar-SA"/>
        </w:rPr>
      </w:pPr>
      <w:r>
        <w:rPr>
          <w:lang w:bidi="ar-SA"/>
        </w:rPr>
        <w:t>3.5</w:t>
      </w:r>
      <w:r>
        <w:rPr>
          <w:rtl/>
        </w:rPr>
        <w:tab/>
      </w:r>
      <w:r w:rsidR="00351900" w:rsidRPr="00351900">
        <w:rPr>
          <w:rtl/>
          <w:lang w:bidi="ar-SA"/>
        </w:rPr>
        <w:t>ويمكن أن تشمل السيناريوهات التوضيحية ما يلي</w:t>
      </w:r>
      <w:r w:rsidR="00351900" w:rsidRPr="00351900">
        <w:rPr>
          <w:lang w:val="en-US"/>
        </w:rPr>
        <w:t>:</w:t>
      </w:r>
    </w:p>
    <w:tbl>
      <w:tblPr>
        <w:bidiVisual/>
        <w:tblW w:w="4250" w:type="pct"/>
        <w:jc w:val="center"/>
        <w:tblLayout w:type="fixed"/>
        <w:tblLook w:val="04A0" w:firstRow="1" w:lastRow="0" w:firstColumn="1" w:lastColumn="0" w:noHBand="0" w:noVBand="1"/>
      </w:tblPr>
      <w:tblGrid>
        <w:gridCol w:w="2731"/>
        <w:gridCol w:w="2731"/>
        <w:gridCol w:w="2731"/>
      </w:tblGrid>
      <w:tr w:rsidR="00351900" w:rsidRPr="00351900" w14:paraId="72CB7FEB" w14:textId="77777777" w:rsidTr="00796273">
        <w:trPr>
          <w:jc w:val="center"/>
        </w:trPr>
        <w:tc>
          <w:tcPr>
            <w:tcW w:w="2731" w:type="dxa"/>
            <w:hideMark/>
          </w:tcPr>
          <w:p w14:paraId="30A307E1" w14:textId="77777777" w:rsidR="00351900" w:rsidRPr="00351900" w:rsidRDefault="00351900" w:rsidP="003B6955">
            <w:pPr>
              <w:pStyle w:val="Tablehead"/>
              <w:rPr>
                <w:lang w:val="ar-SA"/>
              </w:rPr>
            </w:pPr>
            <w:r w:rsidRPr="00351900">
              <w:rPr>
                <w:rtl/>
                <w:lang w:bidi="ar-SA"/>
              </w:rPr>
              <w:t>فترة الاستهلاك</w:t>
            </w:r>
          </w:p>
        </w:tc>
        <w:tc>
          <w:tcPr>
            <w:tcW w:w="2731" w:type="dxa"/>
            <w:hideMark/>
          </w:tcPr>
          <w:p w14:paraId="79721AA0" w14:textId="01CA576B" w:rsidR="00351900" w:rsidRPr="00351900" w:rsidRDefault="00351900" w:rsidP="003B6955">
            <w:pPr>
              <w:pStyle w:val="Tablehead"/>
              <w:rPr>
                <w:lang w:val="ar-SA"/>
              </w:rPr>
            </w:pPr>
            <w:r w:rsidRPr="00351900">
              <w:rPr>
                <w:rtl/>
                <w:lang w:bidi="ar-SA"/>
              </w:rPr>
              <w:t>المساهمة السنوية</w:t>
            </w:r>
            <w:r w:rsidR="00796273">
              <w:rPr>
                <w:lang w:bidi="ar-SA"/>
              </w:rPr>
              <w:br/>
            </w:r>
            <w:r w:rsidRPr="00351900">
              <w:rPr>
                <w:rtl/>
                <w:lang w:bidi="ar-SA"/>
              </w:rPr>
              <w:t>(بملايين الفرنكات</w:t>
            </w:r>
            <w:r w:rsidR="00A55176">
              <w:rPr>
                <w:rFonts w:hint="cs"/>
                <w:rtl/>
                <w:lang w:bidi="ar-SA"/>
              </w:rPr>
              <w:t> </w:t>
            </w:r>
            <w:r w:rsidRPr="00351900">
              <w:rPr>
                <w:rtl/>
                <w:lang w:bidi="ar-SA"/>
              </w:rPr>
              <w:t>السويسرية)</w:t>
            </w:r>
          </w:p>
        </w:tc>
        <w:tc>
          <w:tcPr>
            <w:tcW w:w="2731" w:type="dxa"/>
            <w:hideMark/>
          </w:tcPr>
          <w:p w14:paraId="29746ECD" w14:textId="314ED1A3" w:rsidR="00351900" w:rsidRPr="00351900" w:rsidRDefault="00351900" w:rsidP="003B6955">
            <w:pPr>
              <w:pStyle w:val="Tablehead"/>
              <w:rPr>
                <w:lang w:val="ar-SA"/>
              </w:rPr>
            </w:pPr>
            <w:r w:rsidRPr="00351900">
              <w:rPr>
                <w:rtl/>
                <w:lang w:bidi="ar-SA"/>
              </w:rPr>
              <w:t>المساهمة كنسبة مئوية</w:t>
            </w:r>
            <w:r w:rsidR="000C535F">
              <w:rPr>
                <w:rFonts w:hint="cs"/>
                <w:rtl/>
                <w:lang w:bidi="ar-SA"/>
              </w:rPr>
              <w:t> </w:t>
            </w:r>
            <w:r w:rsidRPr="00351900">
              <w:rPr>
                <w:rtl/>
                <w:lang w:bidi="ar-SA"/>
              </w:rPr>
              <w:t>من</w:t>
            </w:r>
            <w:r w:rsidR="00796273">
              <w:rPr>
                <w:rFonts w:hint="eastAsia"/>
                <w:rtl/>
              </w:rPr>
              <w:t> </w:t>
            </w:r>
            <w:r w:rsidRPr="00351900">
              <w:rPr>
                <w:rtl/>
                <w:lang w:bidi="ar-SA"/>
              </w:rPr>
              <w:t>المرتبات</w:t>
            </w:r>
          </w:p>
        </w:tc>
      </w:tr>
      <w:tr w:rsidR="00351900" w:rsidRPr="00351900" w14:paraId="64856276" w14:textId="77777777" w:rsidTr="00796273">
        <w:trPr>
          <w:jc w:val="center"/>
        </w:trPr>
        <w:tc>
          <w:tcPr>
            <w:tcW w:w="2731" w:type="dxa"/>
            <w:hideMark/>
          </w:tcPr>
          <w:p w14:paraId="03F74539" w14:textId="77777777" w:rsidR="00351900" w:rsidRPr="003B6955" w:rsidRDefault="00351900" w:rsidP="003B6955">
            <w:pPr>
              <w:pStyle w:val="Tabletext"/>
              <w:rPr>
                <w:lang w:bidi="ar-SA"/>
              </w:rPr>
            </w:pPr>
            <w:r w:rsidRPr="00351900">
              <w:rPr>
                <w:lang w:bidi="ar-SA"/>
              </w:rPr>
              <w:t>5</w:t>
            </w:r>
            <w:r w:rsidRPr="00351900">
              <w:rPr>
                <w:rtl/>
                <w:lang w:bidi="ar-SA"/>
              </w:rPr>
              <w:t xml:space="preserve"> سنوات</w:t>
            </w:r>
          </w:p>
        </w:tc>
        <w:tc>
          <w:tcPr>
            <w:tcW w:w="2731" w:type="dxa"/>
          </w:tcPr>
          <w:p w14:paraId="40275015" w14:textId="77777777" w:rsidR="00351900" w:rsidRPr="003B6955" w:rsidRDefault="00351900" w:rsidP="003B6955">
            <w:pPr>
              <w:pStyle w:val="Tabletext"/>
              <w:rPr>
                <w:lang w:bidi="ar-SA"/>
              </w:rPr>
            </w:pPr>
            <w:r w:rsidRPr="00351900">
              <w:rPr>
                <w:rtl/>
                <w:lang w:bidi="ar-SA"/>
              </w:rPr>
              <w:t xml:space="preserve">من </w:t>
            </w:r>
            <w:r w:rsidRPr="00351900">
              <w:rPr>
                <w:lang w:bidi="ar-SA"/>
              </w:rPr>
              <w:t>21</w:t>
            </w:r>
            <w:r w:rsidRPr="00351900">
              <w:rPr>
                <w:rtl/>
                <w:lang w:bidi="ar-SA"/>
              </w:rPr>
              <w:t xml:space="preserve"> إلى </w:t>
            </w:r>
            <w:r w:rsidRPr="00351900">
              <w:rPr>
                <w:lang w:bidi="ar-SA"/>
              </w:rPr>
              <w:t>23</w:t>
            </w:r>
            <w:r w:rsidRPr="00351900">
              <w:rPr>
                <w:rtl/>
                <w:lang w:bidi="ar-SA"/>
              </w:rPr>
              <w:t xml:space="preserve"> مليون</w:t>
            </w:r>
          </w:p>
        </w:tc>
        <w:tc>
          <w:tcPr>
            <w:tcW w:w="2731" w:type="dxa"/>
          </w:tcPr>
          <w:p w14:paraId="3F380E32" w14:textId="77777777" w:rsidR="00351900" w:rsidRPr="003B6955" w:rsidRDefault="00351900" w:rsidP="003B6955">
            <w:pPr>
              <w:pStyle w:val="Tabletext"/>
              <w:rPr>
                <w:lang w:bidi="ar-SA"/>
              </w:rPr>
            </w:pPr>
            <w:r w:rsidRPr="00351900">
              <w:rPr>
                <w:rtl/>
                <w:lang w:bidi="ar-SA"/>
              </w:rPr>
              <w:t xml:space="preserve">من </w:t>
            </w:r>
            <w:r w:rsidRPr="00351900">
              <w:rPr>
                <w:lang w:bidi="ar-SA"/>
              </w:rPr>
              <w:t>15</w:t>
            </w:r>
            <w:r w:rsidRPr="00351900">
              <w:rPr>
                <w:rtl/>
                <w:lang w:bidi="ar-SA"/>
              </w:rPr>
              <w:t xml:space="preserve"> إلى </w:t>
            </w:r>
            <w:r w:rsidRPr="00351900">
              <w:rPr>
                <w:lang w:bidi="ar-SA"/>
              </w:rPr>
              <w:t>16</w:t>
            </w:r>
            <w:r w:rsidRPr="00351900">
              <w:rPr>
                <w:rtl/>
                <w:lang w:bidi="ar-SA"/>
              </w:rPr>
              <w:t xml:space="preserve"> في المائة</w:t>
            </w:r>
          </w:p>
        </w:tc>
      </w:tr>
      <w:tr w:rsidR="00351900" w:rsidRPr="00351900" w14:paraId="3C66D58F" w14:textId="77777777" w:rsidTr="00796273">
        <w:trPr>
          <w:jc w:val="center"/>
        </w:trPr>
        <w:tc>
          <w:tcPr>
            <w:tcW w:w="2731" w:type="dxa"/>
            <w:hideMark/>
          </w:tcPr>
          <w:p w14:paraId="6C1F41F3" w14:textId="77777777" w:rsidR="00351900" w:rsidRPr="003B6955" w:rsidRDefault="00351900" w:rsidP="003B6955">
            <w:pPr>
              <w:pStyle w:val="Tabletext"/>
              <w:rPr>
                <w:lang w:bidi="ar-SA"/>
              </w:rPr>
            </w:pPr>
            <w:r w:rsidRPr="00351900">
              <w:rPr>
                <w:lang w:bidi="ar-SA"/>
              </w:rPr>
              <w:t>10</w:t>
            </w:r>
            <w:r w:rsidRPr="00351900">
              <w:rPr>
                <w:rtl/>
                <w:lang w:bidi="ar-SA"/>
              </w:rPr>
              <w:t xml:space="preserve"> سنوات</w:t>
            </w:r>
          </w:p>
        </w:tc>
        <w:tc>
          <w:tcPr>
            <w:tcW w:w="2731" w:type="dxa"/>
          </w:tcPr>
          <w:p w14:paraId="0631F580" w14:textId="77777777" w:rsidR="00351900" w:rsidRPr="003B6955" w:rsidRDefault="00351900" w:rsidP="003B6955">
            <w:pPr>
              <w:pStyle w:val="Tabletext"/>
              <w:rPr>
                <w:lang w:bidi="ar-SA"/>
              </w:rPr>
            </w:pPr>
            <w:r w:rsidRPr="00351900">
              <w:rPr>
                <w:rtl/>
                <w:lang w:bidi="ar-SA"/>
              </w:rPr>
              <w:t xml:space="preserve">من </w:t>
            </w:r>
            <w:r w:rsidRPr="00351900">
              <w:rPr>
                <w:lang w:bidi="ar-SA"/>
              </w:rPr>
              <w:t>11</w:t>
            </w:r>
            <w:r w:rsidRPr="00351900">
              <w:rPr>
                <w:rtl/>
                <w:lang w:bidi="ar-SA"/>
              </w:rPr>
              <w:t xml:space="preserve"> إلى </w:t>
            </w:r>
            <w:r w:rsidRPr="00351900">
              <w:rPr>
                <w:lang w:bidi="ar-SA"/>
              </w:rPr>
              <w:t>14</w:t>
            </w:r>
            <w:r w:rsidRPr="00351900">
              <w:rPr>
                <w:rtl/>
                <w:lang w:bidi="ar-SA"/>
              </w:rPr>
              <w:t xml:space="preserve"> مليون</w:t>
            </w:r>
          </w:p>
        </w:tc>
        <w:tc>
          <w:tcPr>
            <w:tcW w:w="2731" w:type="dxa"/>
          </w:tcPr>
          <w:p w14:paraId="45A3EA78" w14:textId="77777777" w:rsidR="00351900" w:rsidRPr="003B6955" w:rsidRDefault="00351900" w:rsidP="003B6955">
            <w:pPr>
              <w:pStyle w:val="Tabletext"/>
              <w:rPr>
                <w:lang w:bidi="ar-SA"/>
              </w:rPr>
            </w:pPr>
            <w:r w:rsidRPr="00351900">
              <w:rPr>
                <w:rtl/>
                <w:lang w:bidi="ar-SA"/>
              </w:rPr>
              <w:t xml:space="preserve">من </w:t>
            </w:r>
            <w:r w:rsidRPr="00351900">
              <w:rPr>
                <w:lang w:bidi="ar-SA"/>
              </w:rPr>
              <w:t>8</w:t>
            </w:r>
            <w:r w:rsidRPr="00351900">
              <w:rPr>
                <w:rtl/>
                <w:lang w:bidi="ar-SA"/>
              </w:rPr>
              <w:t xml:space="preserve"> إلى </w:t>
            </w:r>
            <w:r w:rsidRPr="00351900">
              <w:rPr>
                <w:lang w:bidi="ar-SA"/>
              </w:rPr>
              <w:t>10</w:t>
            </w:r>
            <w:r w:rsidRPr="00351900">
              <w:rPr>
                <w:rtl/>
                <w:lang w:bidi="ar-SA"/>
              </w:rPr>
              <w:t xml:space="preserve"> في المائة</w:t>
            </w:r>
          </w:p>
        </w:tc>
      </w:tr>
      <w:tr w:rsidR="00351900" w:rsidRPr="00351900" w14:paraId="38A2D118" w14:textId="77777777" w:rsidTr="00796273">
        <w:trPr>
          <w:jc w:val="center"/>
        </w:trPr>
        <w:tc>
          <w:tcPr>
            <w:tcW w:w="2731" w:type="dxa"/>
            <w:hideMark/>
          </w:tcPr>
          <w:p w14:paraId="501BB23B" w14:textId="77777777" w:rsidR="00351900" w:rsidRPr="003B6955" w:rsidRDefault="00351900" w:rsidP="003B6955">
            <w:pPr>
              <w:pStyle w:val="Tabletext"/>
              <w:rPr>
                <w:lang w:bidi="ar-SA"/>
              </w:rPr>
            </w:pPr>
            <w:r w:rsidRPr="00351900">
              <w:rPr>
                <w:lang w:bidi="ar-SA"/>
              </w:rPr>
              <w:t>20</w:t>
            </w:r>
            <w:r w:rsidRPr="00351900">
              <w:rPr>
                <w:rtl/>
                <w:lang w:bidi="ar-SA"/>
              </w:rPr>
              <w:t xml:space="preserve"> سنة</w:t>
            </w:r>
          </w:p>
        </w:tc>
        <w:tc>
          <w:tcPr>
            <w:tcW w:w="2731" w:type="dxa"/>
          </w:tcPr>
          <w:p w14:paraId="51914EC2" w14:textId="77777777" w:rsidR="00351900" w:rsidRPr="003B6955" w:rsidRDefault="00351900" w:rsidP="003B6955">
            <w:pPr>
              <w:pStyle w:val="Tabletext"/>
              <w:rPr>
                <w:lang w:bidi="ar-SA"/>
              </w:rPr>
            </w:pPr>
            <w:r w:rsidRPr="00351900">
              <w:rPr>
                <w:rtl/>
                <w:lang w:bidi="ar-SA"/>
              </w:rPr>
              <w:t xml:space="preserve">من </w:t>
            </w:r>
            <w:r w:rsidRPr="00351900">
              <w:rPr>
                <w:lang w:bidi="ar-SA"/>
              </w:rPr>
              <w:t>7</w:t>
            </w:r>
            <w:r w:rsidRPr="00351900">
              <w:rPr>
                <w:rtl/>
                <w:lang w:bidi="ar-SA"/>
              </w:rPr>
              <w:t xml:space="preserve"> إلى </w:t>
            </w:r>
            <w:r w:rsidRPr="00351900">
              <w:rPr>
                <w:lang w:bidi="ar-SA"/>
              </w:rPr>
              <w:t>11</w:t>
            </w:r>
            <w:r w:rsidRPr="00351900">
              <w:rPr>
                <w:rtl/>
                <w:lang w:bidi="ar-SA"/>
              </w:rPr>
              <w:t xml:space="preserve"> مليون</w:t>
            </w:r>
          </w:p>
        </w:tc>
        <w:tc>
          <w:tcPr>
            <w:tcW w:w="2731" w:type="dxa"/>
          </w:tcPr>
          <w:p w14:paraId="4E8753B3" w14:textId="77777777" w:rsidR="00351900" w:rsidRPr="003B6955" w:rsidRDefault="00351900" w:rsidP="003B6955">
            <w:pPr>
              <w:pStyle w:val="Tabletext"/>
              <w:rPr>
                <w:lang w:bidi="ar-SA"/>
              </w:rPr>
            </w:pPr>
            <w:r w:rsidRPr="00351900">
              <w:rPr>
                <w:rtl/>
                <w:lang w:bidi="ar-SA"/>
              </w:rPr>
              <w:t xml:space="preserve">من </w:t>
            </w:r>
            <w:r w:rsidRPr="00351900">
              <w:rPr>
                <w:lang w:bidi="ar-SA"/>
              </w:rPr>
              <w:t>5</w:t>
            </w:r>
            <w:r w:rsidRPr="00351900">
              <w:rPr>
                <w:rtl/>
                <w:lang w:bidi="ar-SA"/>
              </w:rPr>
              <w:t xml:space="preserve"> إلى </w:t>
            </w:r>
            <w:r w:rsidRPr="00351900">
              <w:rPr>
                <w:lang w:bidi="ar-SA"/>
              </w:rPr>
              <w:t>8</w:t>
            </w:r>
            <w:r w:rsidRPr="00351900">
              <w:rPr>
                <w:rtl/>
                <w:lang w:bidi="ar-SA"/>
              </w:rPr>
              <w:t xml:space="preserve"> في المائة</w:t>
            </w:r>
          </w:p>
        </w:tc>
      </w:tr>
      <w:tr w:rsidR="00351900" w:rsidRPr="00351900" w14:paraId="2602785D" w14:textId="77777777" w:rsidTr="00796273">
        <w:trPr>
          <w:jc w:val="center"/>
        </w:trPr>
        <w:tc>
          <w:tcPr>
            <w:tcW w:w="2731" w:type="dxa"/>
            <w:hideMark/>
          </w:tcPr>
          <w:p w14:paraId="593C621B" w14:textId="77777777" w:rsidR="00351900" w:rsidRPr="003B6955" w:rsidRDefault="00351900" w:rsidP="003B6955">
            <w:pPr>
              <w:pStyle w:val="Tabletext"/>
              <w:rPr>
                <w:lang w:bidi="ar-SA"/>
              </w:rPr>
            </w:pPr>
            <w:r w:rsidRPr="00351900">
              <w:rPr>
                <w:lang w:bidi="ar-SA"/>
              </w:rPr>
              <w:t>30</w:t>
            </w:r>
            <w:r w:rsidRPr="00351900">
              <w:rPr>
                <w:rtl/>
                <w:lang w:bidi="ar-SA"/>
              </w:rPr>
              <w:t xml:space="preserve"> سنة</w:t>
            </w:r>
          </w:p>
        </w:tc>
        <w:tc>
          <w:tcPr>
            <w:tcW w:w="2731" w:type="dxa"/>
          </w:tcPr>
          <w:p w14:paraId="7C8C7E38" w14:textId="77777777" w:rsidR="00351900" w:rsidRPr="003B6955" w:rsidRDefault="00351900" w:rsidP="003B6955">
            <w:pPr>
              <w:pStyle w:val="Tabletext"/>
              <w:rPr>
                <w:lang w:bidi="ar-SA"/>
              </w:rPr>
            </w:pPr>
            <w:r w:rsidRPr="00351900">
              <w:rPr>
                <w:rtl/>
                <w:lang w:bidi="ar-SA"/>
              </w:rPr>
              <w:t xml:space="preserve">من </w:t>
            </w:r>
            <w:r w:rsidRPr="00351900">
              <w:rPr>
                <w:lang w:bidi="ar-SA"/>
              </w:rPr>
              <w:t>5</w:t>
            </w:r>
            <w:r w:rsidRPr="00351900">
              <w:rPr>
                <w:rtl/>
                <w:lang w:bidi="ar-SA"/>
              </w:rPr>
              <w:t xml:space="preserve"> إلى </w:t>
            </w:r>
            <w:r w:rsidRPr="00351900">
              <w:rPr>
                <w:lang w:bidi="ar-SA"/>
              </w:rPr>
              <w:t>10</w:t>
            </w:r>
            <w:r w:rsidRPr="00351900">
              <w:rPr>
                <w:rtl/>
                <w:lang w:bidi="ar-SA"/>
              </w:rPr>
              <w:t xml:space="preserve"> مليون</w:t>
            </w:r>
          </w:p>
        </w:tc>
        <w:tc>
          <w:tcPr>
            <w:tcW w:w="2731" w:type="dxa"/>
          </w:tcPr>
          <w:p w14:paraId="34D3376F" w14:textId="77777777" w:rsidR="00351900" w:rsidRPr="003B6955" w:rsidRDefault="00351900" w:rsidP="003B6955">
            <w:pPr>
              <w:pStyle w:val="Tabletext"/>
              <w:rPr>
                <w:lang w:bidi="ar-SA"/>
              </w:rPr>
            </w:pPr>
            <w:r w:rsidRPr="00351900">
              <w:rPr>
                <w:rtl/>
                <w:lang w:bidi="ar-SA"/>
              </w:rPr>
              <w:t xml:space="preserve">من </w:t>
            </w:r>
            <w:r w:rsidRPr="00351900">
              <w:rPr>
                <w:lang w:bidi="ar-SA"/>
              </w:rPr>
              <w:t>4</w:t>
            </w:r>
            <w:r w:rsidRPr="00351900">
              <w:rPr>
                <w:rtl/>
                <w:lang w:bidi="ar-SA"/>
              </w:rPr>
              <w:t xml:space="preserve"> إلى </w:t>
            </w:r>
            <w:r w:rsidRPr="00351900">
              <w:rPr>
                <w:lang w:bidi="ar-SA"/>
              </w:rPr>
              <w:t>7</w:t>
            </w:r>
            <w:r w:rsidRPr="00351900">
              <w:rPr>
                <w:rtl/>
                <w:lang w:bidi="ar-SA"/>
              </w:rPr>
              <w:t xml:space="preserve"> في المائة</w:t>
            </w:r>
          </w:p>
        </w:tc>
      </w:tr>
    </w:tbl>
    <w:p w14:paraId="47D055DC" w14:textId="77777777" w:rsidR="00351900" w:rsidRPr="00351900" w:rsidRDefault="00351900" w:rsidP="00351900">
      <w:pPr>
        <w:rPr>
          <w:lang w:val="en-US"/>
        </w:rPr>
      </w:pPr>
    </w:p>
    <w:p w14:paraId="6E8F3F33" w14:textId="0C2804E4" w:rsidR="00CF64D3" w:rsidRDefault="00CF64D3" w:rsidP="00CF64D3">
      <w:pPr>
        <w:rPr>
          <w:rtl/>
        </w:rPr>
        <w:sectPr w:rsidR="00CF64D3" w:rsidSect="00CF64D3">
          <w:headerReference w:type="first" r:id="rId22"/>
          <w:footerReference w:type="first" r:id="rId23"/>
          <w:pgSz w:w="11907" w:h="16834" w:code="9"/>
          <w:pgMar w:top="1418" w:right="1134" w:bottom="1418" w:left="1134" w:header="720" w:footer="720" w:gutter="0"/>
          <w:paperSrc w:first="7" w:other="7"/>
          <w:cols w:space="720"/>
          <w:titlePg/>
          <w:docGrid w:linePitch="299"/>
        </w:sectPr>
      </w:pPr>
    </w:p>
    <w:p w14:paraId="58A9357A" w14:textId="2688423E" w:rsidR="00351900" w:rsidRDefault="00183BFA" w:rsidP="00001516">
      <w:pPr>
        <w:pStyle w:val="Figure"/>
        <w:bidi/>
        <w:rPr>
          <w:rFonts w:hint="default"/>
          <w:rtl/>
        </w:rPr>
        <w:sectPr w:rsidR="00351900" w:rsidSect="000C535F">
          <w:headerReference w:type="first" r:id="rId24"/>
          <w:footerReference w:type="first" r:id="rId25"/>
          <w:pgSz w:w="16834" w:h="11907" w:orient="landscape" w:code="9"/>
          <w:pgMar w:top="851" w:right="567" w:bottom="567" w:left="567" w:header="720" w:footer="720" w:gutter="0"/>
          <w:paperSrc w:first="7" w:other="7"/>
          <w:cols w:space="720"/>
          <w:titlePg/>
          <w:docGrid w:linePitch="299"/>
        </w:sectPr>
      </w:pPr>
      <w:r w:rsidRPr="00183BFA">
        <w:rPr>
          <w:rtl/>
        </w:rPr>
        <w:lastRenderedPageBreak/>
        <w:drawing>
          <wp:inline distT="0" distB="0" distL="0" distR="0" wp14:anchorId="546202A3" wp14:editId="37CD206C">
            <wp:extent cx="9000000" cy="430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000000" cy="4309200"/>
                    </a:xfrm>
                    <a:prstGeom prst="rect">
                      <a:avLst/>
                    </a:prstGeom>
                  </pic:spPr>
                </pic:pic>
              </a:graphicData>
            </a:graphic>
          </wp:inline>
        </w:drawing>
      </w:r>
    </w:p>
    <w:p w14:paraId="470764B4" w14:textId="4EF10573" w:rsidR="00351900" w:rsidRPr="00351900" w:rsidRDefault="00615689" w:rsidP="00351900">
      <w:pPr>
        <w:rPr>
          <w:lang w:val="ar-SA"/>
        </w:rPr>
      </w:pPr>
      <w:r>
        <w:rPr>
          <w:lang w:bidi="ar-SA"/>
        </w:rPr>
        <w:lastRenderedPageBreak/>
        <w:t>4.5</w:t>
      </w:r>
      <w:r w:rsidR="00351900" w:rsidRPr="00351900">
        <w:rPr>
          <w:rtl/>
          <w:lang w:bidi="ar-SA"/>
        </w:rPr>
        <w:tab/>
        <w:t>وتُظهر هذه السيناريوهات المفاضلة بين سرعة تحقيق أهداف التمويل ومستوى المساهمات السنوية المطلوبة. فكلما تسارعت وتيرة التمويل، ارتفعت المساهمات المطلوبة على المدى القصير، في حين أن إطالة فترات الاستهلاك تخفض متطلبات التمويل السنوية، ولكنها تطيل الفترة التي تظل فيها التزامات المنظمة دون تغطية كافية.</w:t>
      </w:r>
    </w:p>
    <w:p w14:paraId="01AF2D4E" w14:textId="6D4A1ABF" w:rsidR="00351900" w:rsidRPr="00351900" w:rsidRDefault="00615689" w:rsidP="00351900">
      <w:pPr>
        <w:rPr>
          <w:lang w:val="ar-SA"/>
        </w:rPr>
      </w:pPr>
      <w:r>
        <w:rPr>
          <w:lang w:bidi="ar-SA"/>
        </w:rPr>
        <w:t>5.5</w:t>
      </w:r>
      <w:r>
        <w:rPr>
          <w:rtl/>
        </w:rPr>
        <w:tab/>
      </w:r>
      <w:r w:rsidR="00351900" w:rsidRPr="00351900">
        <w:rPr>
          <w:rtl/>
          <w:lang w:bidi="ar-SA"/>
        </w:rPr>
        <w:t>ونظراً إلى عدم كفاية آليات التمويل الحالية، فإن الأمر يقتضي اتخاذ تدابير تمويل إضافية لوضع المنظمة على مسار مستدام نحو تحقيق أهدافها التمويلية.</w:t>
      </w:r>
    </w:p>
    <w:p w14:paraId="3869A9A1" w14:textId="132E32DE" w:rsidR="00351900" w:rsidRPr="00351900" w:rsidRDefault="000E2948" w:rsidP="00351900">
      <w:pPr>
        <w:rPr>
          <w:lang w:val="ar-SA"/>
        </w:rPr>
      </w:pPr>
      <w:r>
        <w:rPr>
          <w:lang w:bidi="ar-SA"/>
        </w:rPr>
        <w:t>6.5</w:t>
      </w:r>
      <w:r w:rsidR="00351900" w:rsidRPr="00351900">
        <w:rPr>
          <w:rtl/>
          <w:lang w:bidi="ar-SA"/>
        </w:rPr>
        <w:tab/>
        <w:t xml:space="preserve">وتهدف هذه السيناريوهات حصراً إلى توضيح نطاق نُهج التمويل الممكنة. وليس الغرض منها تحديد مستوى معين للمساهمات، بل بيان إمكانية معالجة تحدي التمويل تدريجياً بمرور الوقت من خلال استراتيجية تمويل منظمة وقابلة للتنبؤ. وسيظل تحديد هدف التمويل النهائي ومستويات المساهمات المرتبطة به رهناً بمدى تقبل المخاطر، والقدرة المالية، والإطار الزمني المنشود لتحسين مستوى تمويل الالتزامات المتعلقة بالتأمين الصحي بعد انتهاء الخدمة </w:t>
      </w:r>
      <w:r w:rsidR="00351900" w:rsidRPr="00351900">
        <w:rPr>
          <w:lang w:val="en-US"/>
        </w:rPr>
        <w:t>(ASHI)</w:t>
      </w:r>
      <w:r w:rsidR="00351900" w:rsidRPr="00351900">
        <w:rPr>
          <w:rtl/>
          <w:lang w:bidi="ar-SA"/>
        </w:rPr>
        <w:t>.</w:t>
      </w:r>
    </w:p>
    <w:p w14:paraId="489D6A58" w14:textId="4F41AD0F" w:rsidR="00351900" w:rsidRPr="00351900" w:rsidRDefault="00B124BA" w:rsidP="00351900">
      <w:pPr>
        <w:rPr>
          <w:lang w:val="ar-SA"/>
        </w:rPr>
      </w:pPr>
      <w:r>
        <w:rPr>
          <w:lang w:bidi="ar-SA"/>
        </w:rPr>
        <w:t>7.5</w:t>
      </w:r>
      <w:r>
        <w:rPr>
          <w:rtl/>
        </w:rPr>
        <w:tab/>
      </w:r>
      <w:r w:rsidR="00351900" w:rsidRPr="00351900">
        <w:rPr>
          <w:rtl/>
          <w:lang w:bidi="ar-SA"/>
        </w:rPr>
        <w:t>وستخضع الأهداف المحددة لمراجعات وتحليلات اكتوارية ومالية دورية. ويتمثل الهدف الأساسي في رسم توجه واضح وشفاف على المدى الطويل.</w:t>
      </w:r>
    </w:p>
    <w:p w14:paraId="5A058F2E" w14:textId="77777777" w:rsidR="00351900" w:rsidRPr="00351900" w:rsidRDefault="00351900" w:rsidP="00C4495B">
      <w:pPr>
        <w:pStyle w:val="Headingb"/>
        <w:rPr>
          <w:lang w:bidi="ar-SA"/>
        </w:rPr>
      </w:pPr>
      <w:r w:rsidRPr="00351900">
        <w:rPr>
          <w:rtl/>
          <w:lang w:bidi="ar-SA"/>
        </w:rPr>
        <w:t>استعراض الاحتياطيات القائمة المتعلقة بالموظفين</w:t>
      </w:r>
    </w:p>
    <w:p w14:paraId="2252B00E" w14:textId="55765733" w:rsidR="00351900" w:rsidRPr="00351900" w:rsidRDefault="00081C03" w:rsidP="00351900">
      <w:pPr>
        <w:rPr>
          <w:lang w:val="ar-SA"/>
        </w:rPr>
      </w:pPr>
      <w:r>
        <w:rPr>
          <w:lang w:bidi="ar-SA"/>
        </w:rPr>
        <w:t>8.5</w:t>
      </w:r>
      <w:r>
        <w:rPr>
          <w:rtl/>
        </w:rPr>
        <w:tab/>
      </w:r>
      <w:r w:rsidR="00351900" w:rsidRPr="00351900">
        <w:rPr>
          <w:rtl/>
          <w:lang w:bidi="ar-SA"/>
        </w:rPr>
        <w:t>ينبغي إجراء استعراض شامل للاحتياطيات والصناديق المتعلقة بالموظفين والمنشأة في فترات سابقة، التي أصبح نشاطها الجاري محدوداً أو تقلص عدد المستفيدين منها.</w:t>
      </w:r>
    </w:p>
    <w:p w14:paraId="5938C27B" w14:textId="65C26283" w:rsidR="00351900" w:rsidRPr="00351900" w:rsidRDefault="00FD315B" w:rsidP="00351900">
      <w:pPr>
        <w:rPr>
          <w:lang w:val="ar-SA"/>
        </w:rPr>
      </w:pPr>
      <w:r>
        <w:rPr>
          <w:lang w:bidi="ar-SA"/>
        </w:rPr>
        <w:t>9.5</w:t>
      </w:r>
      <w:r>
        <w:rPr>
          <w:rtl/>
        </w:rPr>
        <w:tab/>
      </w:r>
      <w:r w:rsidR="00351900" w:rsidRPr="00351900">
        <w:rPr>
          <w:rtl/>
          <w:lang w:bidi="ar-SA"/>
        </w:rPr>
        <w:t xml:space="preserve">وقد سبق لمراجع الحسابات الخارجي أن أشار إلى وجود أرصدة من هذا القبيل، بما فيها أرصدة صندوق تقاعد الموظفين وصندوق إعانتهم، التي تبلغ نحو </w:t>
      </w:r>
      <w:r w:rsidR="00351900" w:rsidRPr="00351900">
        <w:rPr>
          <w:lang w:bidi="ar-SA"/>
        </w:rPr>
        <w:t>7,2</w:t>
      </w:r>
      <w:r w:rsidR="00351900" w:rsidRPr="00351900">
        <w:rPr>
          <w:rtl/>
          <w:lang w:bidi="ar-SA"/>
        </w:rPr>
        <w:t xml:space="preserve"> مليون فرنك سويسري. ورهناً بالاعتبارات القانونية والمتعلقة بالحوكمة والتشغيل، يمكن للمجلس إعادة تخصيص أي مبالغ فائضة لدعم تمويل الالتزامات المتعلقة بالتأمين الصحي بعد انتهاء الخدمة.</w:t>
      </w:r>
    </w:p>
    <w:p w14:paraId="7189C7C4" w14:textId="33082B06" w:rsidR="00351900" w:rsidRPr="00351900" w:rsidRDefault="007678D5" w:rsidP="00351900">
      <w:pPr>
        <w:rPr>
          <w:lang w:val="ar-SA"/>
        </w:rPr>
      </w:pPr>
      <w:r>
        <w:rPr>
          <w:lang w:bidi="ar-SA"/>
        </w:rPr>
        <w:t>10.5</w:t>
      </w:r>
      <w:r w:rsidR="00351900" w:rsidRPr="00351900">
        <w:rPr>
          <w:rtl/>
          <w:lang w:bidi="ar-SA"/>
        </w:rPr>
        <w:tab/>
        <w:t>ويمثل ذلك فرصة قد تكون مهمة لزيادة مستويات التمويل دون فرض أعباء فورية على الدول الأعضاء.</w:t>
      </w:r>
    </w:p>
    <w:p w14:paraId="4DC1974C" w14:textId="77777777" w:rsidR="00351900" w:rsidRPr="00351900" w:rsidRDefault="00351900" w:rsidP="00C4495B">
      <w:pPr>
        <w:pStyle w:val="Headingb"/>
        <w:rPr>
          <w:lang w:bidi="ar-SA"/>
        </w:rPr>
      </w:pPr>
      <w:r w:rsidRPr="00351900">
        <w:rPr>
          <w:rtl/>
          <w:lang w:bidi="ar-SA"/>
        </w:rPr>
        <w:t>المساهمات السنوية الإضافية</w:t>
      </w:r>
    </w:p>
    <w:p w14:paraId="16D62A6F" w14:textId="393B84A1" w:rsidR="00351900" w:rsidRPr="00351900" w:rsidRDefault="002B6D09" w:rsidP="00351900">
      <w:pPr>
        <w:rPr>
          <w:lang w:val="ar-SA"/>
        </w:rPr>
      </w:pPr>
      <w:r>
        <w:rPr>
          <w:lang w:bidi="ar-SA"/>
        </w:rPr>
        <w:t>11.5</w:t>
      </w:r>
      <w:r w:rsidR="00351900" w:rsidRPr="00351900">
        <w:rPr>
          <w:rtl/>
          <w:lang w:bidi="ar-SA"/>
        </w:rPr>
        <w:tab/>
        <w:t>ينبغي للمنظمة أن تنظر في زيادة رفع مستوى المساهمات المعتمدة لكل فترة سنتين، بما يتجاوز مستواها الحالي، لتعزيز مصادر التمويل القائمة.</w:t>
      </w:r>
    </w:p>
    <w:p w14:paraId="3126A66A" w14:textId="01D83F5B" w:rsidR="00351900" w:rsidRPr="00351900" w:rsidRDefault="002B6D09" w:rsidP="00351900">
      <w:pPr>
        <w:rPr>
          <w:lang w:val="ar-SA"/>
        </w:rPr>
      </w:pPr>
      <w:r>
        <w:rPr>
          <w:lang w:bidi="ar-SA"/>
        </w:rPr>
        <w:t>12.5</w:t>
      </w:r>
      <w:r w:rsidR="00351900" w:rsidRPr="00351900">
        <w:rPr>
          <w:rtl/>
          <w:lang w:bidi="ar-SA"/>
        </w:rPr>
        <w:tab/>
        <w:t>ويمكن أن تتخذ هذه المساهمات أشكالاً مختلفة، منها ما يلي:</w:t>
      </w:r>
    </w:p>
    <w:p w14:paraId="32CAEBED" w14:textId="77777777" w:rsidR="00351900" w:rsidRPr="00351900" w:rsidRDefault="00351900" w:rsidP="003076C8">
      <w:pPr>
        <w:pStyle w:val="enumlev1"/>
        <w:rPr>
          <w:lang w:val="ar-SA"/>
        </w:rPr>
      </w:pPr>
      <w:r w:rsidRPr="00351900">
        <w:rPr>
          <w:lang w:val="en-US"/>
        </w:rPr>
        <w:t>–</w:t>
      </w:r>
      <w:r w:rsidRPr="00351900">
        <w:rPr>
          <w:rtl/>
          <w:lang w:bidi="ar-SA"/>
        </w:rPr>
        <w:tab/>
        <w:t>اعتمادات سنوية ثابتة؛</w:t>
      </w:r>
    </w:p>
    <w:p w14:paraId="2DC9BE83" w14:textId="77777777" w:rsidR="00351900" w:rsidRPr="00351900" w:rsidRDefault="00351900" w:rsidP="003076C8">
      <w:pPr>
        <w:pStyle w:val="enumlev1"/>
        <w:rPr>
          <w:lang w:val="ar-SA"/>
        </w:rPr>
      </w:pPr>
      <w:r w:rsidRPr="00351900">
        <w:rPr>
          <w:lang w:val="en-US"/>
        </w:rPr>
        <w:t>–</w:t>
      </w:r>
      <w:r w:rsidRPr="00351900">
        <w:rPr>
          <w:rtl/>
          <w:lang w:bidi="ar-SA"/>
        </w:rPr>
        <w:tab/>
        <w:t>المخصصات من فوائض الميزانية المستقبلية؛</w:t>
      </w:r>
    </w:p>
    <w:p w14:paraId="2F9E7225" w14:textId="77777777" w:rsidR="00351900" w:rsidRPr="00351900" w:rsidRDefault="00351900" w:rsidP="003076C8">
      <w:pPr>
        <w:pStyle w:val="enumlev1"/>
        <w:rPr>
          <w:lang w:val="ar-SA"/>
        </w:rPr>
      </w:pPr>
      <w:r w:rsidRPr="00351900">
        <w:rPr>
          <w:lang w:val="en-US"/>
        </w:rPr>
        <w:t>–</w:t>
      </w:r>
      <w:r w:rsidRPr="00351900">
        <w:rPr>
          <w:rtl/>
          <w:lang w:bidi="ar-SA"/>
        </w:rPr>
        <w:tab/>
        <w:t>تمويل مخصص لأغراض محددة يُعتمد في إطار عملية إعداد الميزانية.</w:t>
      </w:r>
    </w:p>
    <w:p w14:paraId="6C8DC503" w14:textId="4ED2F90D" w:rsidR="00351900" w:rsidRPr="00351900" w:rsidRDefault="003076C8" w:rsidP="00351900">
      <w:pPr>
        <w:rPr>
          <w:lang w:val="ar-SA"/>
        </w:rPr>
      </w:pPr>
      <w:r>
        <w:rPr>
          <w:lang w:bidi="ar-SA"/>
        </w:rPr>
        <w:t>13.5</w:t>
      </w:r>
      <w:r>
        <w:rPr>
          <w:rtl/>
        </w:rPr>
        <w:tab/>
      </w:r>
      <w:r w:rsidR="00351900" w:rsidRPr="00351900">
        <w:rPr>
          <w:rtl/>
          <w:lang w:bidi="ar-SA"/>
        </w:rPr>
        <w:t>ومن شأن المساهمات المنتظمة أن تسرّع التقدم نحو تحقيق أهداف التمويل المعتمدة وتوفر قدراً أكبر من إمكانية التنبؤ بالتمويل.</w:t>
      </w:r>
    </w:p>
    <w:p w14:paraId="15CC008C" w14:textId="77777777" w:rsidR="00351900" w:rsidRPr="00351900" w:rsidRDefault="00351900" w:rsidP="00C4495B">
      <w:pPr>
        <w:pStyle w:val="Headingb"/>
        <w:rPr>
          <w:lang w:bidi="ar-SA"/>
        </w:rPr>
      </w:pPr>
      <w:r w:rsidRPr="00351900">
        <w:rPr>
          <w:rtl/>
          <w:lang w:bidi="ar-SA"/>
        </w:rPr>
        <w:t>استعراض آلية التمويل القائمة على المرتبات</w:t>
      </w:r>
    </w:p>
    <w:p w14:paraId="4E3DC975" w14:textId="54D0D1B9" w:rsidR="00351900" w:rsidRPr="00351900" w:rsidRDefault="00061630" w:rsidP="00351900">
      <w:pPr>
        <w:rPr>
          <w:lang w:val="ar-SA"/>
        </w:rPr>
      </w:pPr>
      <w:r>
        <w:rPr>
          <w:lang w:bidi="ar-SA"/>
        </w:rPr>
        <w:t>14.5</w:t>
      </w:r>
      <w:r>
        <w:rPr>
          <w:rtl/>
        </w:rPr>
        <w:tab/>
      </w:r>
      <w:r w:rsidR="00351900" w:rsidRPr="00351900">
        <w:rPr>
          <w:rtl/>
          <w:lang w:bidi="ar-SA"/>
        </w:rPr>
        <w:t>ينبغي الإبقاء على آلية التمويل القائمة على المرتبات التي استُحدثت مؤخراً، واستعراضها دورياً للنظر فيما يلي:</w:t>
      </w:r>
    </w:p>
    <w:p w14:paraId="33667C19" w14:textId="77777777" w:rsidR="00351900" w:rsidRPr="001E142F" w:rsidRDefault="00351900" w:rsidP="001E142F">
      <w:pPr>
        <w:pStyle w:val="enumlev1"/>
        <w:rPr>
          <w:lang w:val="en-US"/>
        </w:rPr>
      </w:pPr>
      <w:r w:rsidRPr="00351900">
        <w:rPr>
          <w:lang w:val="en-US"/>
        </w:rPr>
        <w:t>–</w:t>
      </w:r>
      <w:r w:rsidRPr="001E142F">
        <w:rPr>
          <w:rtl/>
          <w:lang w:val="en-US"/>
        </w:rPr>
        <w:tab/>
        <w:t>ما إذا كان يتعين زيادة النسبة المئوية الحالية؛</w:t>
      </w:r>
    </w:p>
    <w:p w14:paraId="7DB3A8D0" w14:textId="77777777" w:rsidR="00351900" w:rsidRPr="001E142F" w:rsidRDefault="00351900" w:rsidP="001E142F">
      <w:pPr>
        <w:pStyle w:val="enumlev1"/>
        <w:rPr>
          <w:lang w:val="en-US"/>
        </w:rPr>
      </w:pPr>
      <w:r w:rsidRPr="00351900">
        <w:rPr>
          <w:lang w:val="en-US"/>
        </w:rPr>
        <w:t>–</w:t>
      </w:r>
      <w:r w:rsidRPr="001E142F">
        <w:rPr>
          <w:rtl/>
          <w:lang w:val="en-US"/>
        </w:rPr>
        <w:tab/>
        <w:t>ما إذا كان ينبغي النظر في توسيع نطاق تطبيق هذه الآلية.</w:t>
      </w:r>
    </w:p>
    <w:p w14:paraId="70603CAE" w14:textId="242B0C75" w:rsidR="00351900" w:rsidRPr="00351900" w:rsidRDefault="001E142F" w:rsidP="00351900">
      <w:pPr>
        <w:rPr>
          <w:lang w:val="ar-SA"/>
        </w:rPr>
      </w:pPr>
      <w:r>
        <w:rPr>
          <w:lang w:bidi="ar-SA"/>
        </w:rPr>
        <w:t>15.5</w:t>
      </w:r>
      <w:r>
        <w:rPr>
          <w:rtl/>
        </w:rPr>
        <w:tab/>
      </w:r>
      <w:r w:rsidR="00351900" w:rsidRPr="00351900">
        <w:rPr>
          <w:rtl/>
          <w:lang w:bidi="ar-SA"/>
        </w:rPr>
        <w:t>وتتميز آلية التمويل القائمة على المرتبات بأنها توائم بين تمويل الاستحقاقات والفترة التي تُكتسب خلالها. وهي آلية واسعة الانتشار اعتمدتها جميع منظمات الأمم المتحدة الأخرى في استراتيجياتها التمويلية.</w:t>
      </w:r>
    </w:p>
    <w:p w14:paraId="3704C8A3" w14:textId="77777777" w:rsidR="00351900" w:rsidRPr="00351900" w:rsidRDefault="00351900" w:rsidP="00C4495B">
      <w:pPr>
        <w:pStyle w:val="Headingb"/>
        <w:rPr>
          <w:lang w:bidi="ar-SA"/>
        </w:rPr>
      </w:pPr>
      <w:r w:rsidRPr="00351900">
        <w:rPr>
          <w:rtl/>
          <w:lang w:bidi="ar-SA"/>
        </w:rPr>
        <w:t>وضع استراتيجية استثمار مخصصة للتأمين الصحي بعد انتهاء الخدمة</w:t>
      </w:r>
    </w:p>
    <w:p w14:paraId="4D91DE92" w14:textId="5361B0A4" w:rsidR="00351900" w:rsidRPr="00351900" w:rsidRDefault="007254CB" w:rsidP="00351900">
      <w:pPr>
        <w:rPr>
          <w:lang w:val="ar-SA"/>
        </w:rPr>
      </w:pPr>
      <w:r>
        <w:rPr>
          <w:lang w:bidi="ar-SA"/>
        </w:rPr>
        <w:t>16.5</w:t>
      </w:r>
      <w:r>
        <w:rPr>
          <w:rtl/>
        </w:rPr>
        <w:tab/>
      </w:r>
      <w:r w:rsidR="00351900" w:rsidRPr="00351900">
        <w:rPr>
          <w:rtl/>
          <w:lang w:bidi="ar-SA"/>
        </w:rPr>
        <w:t xml:space="preserve">مع الزيادة التدريجية في الأصول المخصصة لتمويل التأمين الصحي بعد انتهاء الخدمة </w:t>
      </w:r>
      <w:r w:rsidR="00351900" w:rsidRPr="00351900">
        <w:rPr>
          <w:lang w:val="en-US"/>
        </w:rPr>
        <w:t>(ASHI)</w:t>
      </w:r>
      <w:r w:rsidR="00351900" w:rsidRPr="00351900">
        <w:rPr>
          <w:rtl/>
          <w:lang w:bidi="ar-SA"/>
        </w:rPr>
        <w:t>، سيكون من المهم ضمان إدارة هذه الموارد ضمن إطار استثماري مصمم خصيصاً لمراعاة الطبيعة الطويلة الأجل للالتزامات ذات الصلة.</w:t>
      </w:r>
    </w:p>
    <w:p w14:paraId="70145A35" w14:textId="3107A0F7" w:rsidR="00351900" w:rsidRPr="00351900" w:rsidRDefault="00914DE4" w:rsidP="00351900">
      <w:pPr>
        <w:rPr>
          <w:lang w:val="ar-SA"/>
        </w:rPr>
      </w:pPr>
      <w:r>
        <w:rPr>
          <w:lang w:bidi="ar-SA"/>
        </w:rPr>
        <w:lastRenderedPageBreak/>
        <w:t>17.5</w:t>
      </w:r>
      <w:r w:rsidR="00351900" w:rsidRPr="00351900">
        <w:rPr>
          <w:rtl/>
          <w:lang w:bidi="ar-SA"/>
        </w:rPr>
        <w:tab/>
        <w:t>وتمتد الخصوم المتعلقة بالتأمين الصحي بعد انتهاء الخدمة على مدى عدة عقود، وتتسم بخصائص تختلف عن الاحتياجات النقدية التشغيلية القصيرة الأجل للمنظمة. ولذلك، ينبغي إدارة الأصول المخصصة للتمويل وفقاً لاستراتيجية استثمارية مخصصة تهدف إلى الحفاظ على رأس المال، وتحقيق عوائد استثمارية طويلة الأجل، ودعم التقدم التدريجي نحو تحقيق أهداف التمويل المعتمدة.</w:t>
      </w:r>
    </w:p>
    <w:p w14:paraId="57D594EB" w14:textId="1304961C" w:rsidR="00351900" w:rsidRPr="00351900" w:rsidRDefault="00914DE4" w:rsidP="00351900">
      <w:pPr>
        <w:rPr>
          <w:lang w:val="ar-SA"/>
        </w:rPr>
      </w:pPr>
      <w:r>
        <w:rPr>
          <w:lang w:bidi="ar-SA"/>
        </w:rPr>
        <w:t>18.5</w:t>
      </w:r>
      <w:r>
        <w:rPr>
          <w:rtl/>
        </w:rPr>
        <w:tab/>
      </w:r>
      <w:r w:rsidR="00351900" w:rsidRPr="00351900">
        <w:rPr>
          <w:rtl/>
          <w:lang w:bidi="ar-SA"/>
        </w:rPr>
        <w:t>ويمكن أن تؤدي عوائد الاستثمار دوراً مهماً في تقليص حجم التمويل الإضافي المطلوب مستقبلاً. ومن ثم، فإن اتباع نهج استثماري منظم يشكل عنصراً أساسياً في أي إطار تمويل مستدام، ويتيح للأصول المخصصة للتمويل أن تسهم مباشرةً في</w:t>
      </w:r>
      <w:r w:rsidR="005A25DF">
        <w:rPr>
          <w:rFonts w:hint="cs"/>
          <w:rtl/>
          <w:lang w:bidi="ar-SA"/>
        </w:rPr>
        <w:t> </w:t>
      </w:r>
      <w:r w:rsidR="00351900" w:rsidRPr="00351900">
        <w:rPr>
          <w:rtl/>
          <w:lang w:bidi="ar-SA"/>
        </w:rPr>
        <w:t>تقليص الخصوم غير الممولة.</w:t>
      </w:r>
    </w:p>
    <w:p w14:paraId="37BEEA57" w14:textId="73BA120F" w:rsidR="00351900" w:rsidRPr="00351900" w:rsidRDefault="00843D0C" w:rsidP="00351900">
      <w:pPr>
        <w:rPr>
          <w:lang w:val="ar-SA"/>
        </w:rPr>
      </w:pPr>
      <w:r>
        <w:rPr>
          <w:lang w:bidi="ar-SA"/>
        </w:rPr>
        <w:t>19.5</w:t>
      </w:r>
      <w:r>
        <w:rPr>
          <w:rtl/>
        </w:rPr>
        <w:tab/>
      </w:r>
      <w:r w:rsidR="00351900" w:rsidRPr="00351900">
        <w:rPr>
          <w:rtl/>
          <w:lang w:bidi="ar-SA"/>
        </w:rPr>
        <w:t>وبناءً على ذلك، قد ترغب الدول الأعضاء في النظر في اعتماد إطار استثماري مخصص للتأمين الصحي بعد انتهاء الخدمة، يتناول جملة أمور منها:</w:t>
      </w:r>
    </w:p>
    <w:p w14:paraId="3230E5D2" w14:textId="77777777" w:rsidR="00351900" w:rsidRPr="0078485E" w:rsidRDefault="00351900" w:rsidP="0078485E">
      <w:pPr>
        <w:pStyle w:val="enumlev1"/>
        <w:rPr>
          <w:lang w:val="en-US"/>
        </w:rPr>
      </w:pPr>
      <w:r w:rsidRPr="00351900">
        <w:rPr>
          <w:lang w:val="en-US"/>
        </w:rPr>
        <w:t>–</w:t>
      </w:r>
      <w:r w:rsidRPr="0078485E">
        <w:rPr>
          <w:rtl/>
          <w:lang w:val="en-US"/>
        </w:rPr>
        <w:tab/>
        <w:t>الأهداف الاستثمارية ومدى تحمل المخاطر؛</w:t>
      </w:r>
    </w:p>
    <w:p w14:paraId="18ED7771" w14:textId="77777777" w:rsidR="00351900" w:rsidRPr="0078485E" w:rsidRDefault="00351900" w:rsidP="0078485E">
      <w:pPr>
        <w:pStyle w:val="enumlev1"/>
        <w:rPr>
          <w:lang w:val="en-US"/>
        </w:rPr>
      </w:pPr>
      <w:r w:rsidRPr="00351900">
        <w:rPr>
          <w:lang w:val="en-US"/>
        </w:rPr>
        <w:t>–</w:t>
      </w:r>
      <w:r w:rsidRPr="0078485E">
        <w:rPr>
          <w:rtl/>
          <w:lang w:val="en-US"/>
        </w:rPr>
        <w:tab/>
        <w:t>التوزيع الاستراتيجي للأصول؛</w:t>
      </w:r>
    </w:p>
    <w:p w14:paraId="690BEED5" w14:textId="77777777" w:rsidR="00351900" w:rsidRPr="0078485E" w:rsidRDefault="00351900" w:rsidP="0078485E">
      <w:pPr>
        <w:pStyle w:val="enumlev1"/>
        <w:rPr>
          <w:lang w:val="en-US"/>
        </w:rPr>
      </w:pPr>
      <w:r w:rsidRPr="00351900">
        <w:rPr>
          <w:lang w:val="en-US"/>
        </w:rPr>
        <w:t>–</w:t>
      </w:r>
      <w:r w:rsidRPr="0078485E">
        <w:rPr>
          <w:rtl/>
          <w:lang w:val="en-US"/>
        </w:rPr>
        <w:tab/>
        <w:t>احتياجات السيولة اللازمة لسداد الاستحقاقات المستقبلية؛</w:t>
      </w:r>
    </w:p>
    <w:p w14:paraId="09D657D8" w14:textId="77777777" w:rsidR="00351900" w:rsidRPr="0078485E" w:rsidRDefault="00351900" w:rsidP="0078485E">
      <w:pPr>
        <w:pStyle w:val="enumlev1"/>
        <w:rPr>
          <w:lang w:val="en-US"/>
        </w:rPr>
      </w:pPr>
      <w:r w:rsidRPr="00351900">
        <w:rPr>
          <w:lang w:val="en-US"/>
        </w:rPr>
        <w:t>–</w:t>
      </w:r>
      <w:r w:rsidRPr="0078485E">
        <w:rPr>
          <w:rtl/>
          <w:lang w:val="en-US"/>
        </w:rPr>
        <w:tab/>
        <w:t>ترتيبات الحوكمة والرقابة؛</w:t>
      </w:r>
    </w:p>
    <w:p w14:paraId="7EF4B39C" w14:textId="77777777" w:rsidR="00351900" w:rsidRPr="0078485E" w:rsidRDefault="00351900" w:rsidP="0078485E">
      <w:pPr>
        <w:pStyle w:val="enumlev1"/>
        <w:rPr>
          <w:lang w:val="en-US"/>
        </w:rPr>
      </w:pPr>
      <w:r w:rsidRPr="00351900">
        <w:rPr>
          <w:lang w:val="en-US"/>
        </w:rPr>
        <w:t>–</w:t>
      </w:r>
      <w:r w:rsidRPr="0078485E">
        <w:rPr>
          <w:rtl/>
          <w:lang w:val="en-US"/>
        </w:rPr>
        <w:tab/>
        <w:t>رصد الأداء والإبلاغ عنه؛</w:t>
      </w:r>
    </w:p>
    <w:p w14:paraId="0C9B6614" w14:textId="77777777" w:rsidR="00351900" w:rsidRPr="0078485E" w:rsidRDefault="00351900" w:rsidP="0078485E">
      <w:pPr>
        <w:pStyle w:val="enumlev1"/>
        <w:rPr>
          <w:lang w:val="en-US"/>
        </w:rPr>
      </w:pPr>
      <w:r w:rsidRPr="00351900">
        <w:rPr>
          <w:lang w:val="en-US"/>
        </w:rPr>
        <w:t>–</w:t>
      </w:r>
      <w:r w:rsidRPr="0078485E">
        <w:rPr>
          <w:rtl/>
          <w:lang w:val="en-US"/>
        </w:rPr>
        <w:tab/>
        <w:t>المواءمة بين استراتيجية الاستثمار وأهداف التمويل الطويلة الأجل.</w:t>
      </w:r>
    </w:p>
    <w:p w14:paraId="40A7D13A" w14:textId="77777777" w:rsidR="00351900" w:rsidRPr="00351900" w:rsidRDefault="00351900" w:rsidP="00C4495B">
      <w:pPr>
        <w:pStyle w:val="Headingb"/>
        <w:rPr>
          <w:lang w:bidi="ar-SA"/>
        </w:rPr>
      </w:pPr>
      <w:r w:rsidRPr="00351900">
        <w:rPr>
          <w:rtl/>
          <w:lang w:bidi="ar-SA"/>
        </w:rPr>
        <w:t>اعتماد نهج يجمع بين عدة تدابير</w:t>
      </w:r>
    </w:p>
    <w:p w14:paraId="01126E3F" w14:textId="76CA3D32" w:rsidR="00351900" w:rsidRPr="00351900" w:rsidRDefault="0078485E" w:rsidP="00351900">
      <w:pPr>
        <w:rPr>
          <w:lang w:val="ar-SA"/>
        </w:rPr>
      </w:pPr>
      <w:r>
        <w:rPr>
          <w:lang w:bidi="ar-SA"/>
        </w:rPr>
        <w:t>20.5</w:t>
      </w:r>
      <w:r>
        <w:rPr>
          <w:rtl/>
        </w:rPr>
        <w:tab/>
      </w:r>
      <w:r w:rsidR="00351900" w:rsidRPr="00351900">
        <w:rPr>
          <w:rtl/>
          <w:lang w:bidi="ar-SA"/>
        </w:rPr>
        <w:t>من غير المرجح أن يحقق أي تدبير بمفرده تقدماً كافياً. ولذلك، ينبغي أن تجمع استراتيجية متوازنة بين ما يلي:</w:t>
      </w:r>
    </w:p>
    <w:p w14:paraId="3B1C2800" w14:textId="77777777" w:rsidR="00351900" w:rsidRPr="0078485E" w:rsidRDefault="00351900" w:rsidP="0078485E">
      <w:pPr>
        <w:pStyle w:val="enumlev1"/>
        <w:rPr>
          <w:lang w:val="en-US"/>
        </w:rPr>
      </w:pPr>
      <w:r w:rsidRPr="00351900">
        <w:rPr>
          <w:lang w:val="en-US"/>
        </w:rPr>
        <w:t>–</w:t>
      </w:r>
      <w:r w:rsidRPr="0078485E">
        <w:rPr>
          <w:rtl/>
          <w:lang w:val="en-US"/>
        </w:rPr>
        <w:tab/>
        <w:t>إعادة تخصيص الاحتياطيات المتاحة المتعلقة بالموظفين؛</w:t>
      </w:r>
    </w:p>
    <w:p w14:paraId="42375BEC" w14:textId="77777777" w:rsidR="00351900" w:rsidRPr="0078485E" w:rsidRDefault="00351900" w:rsidP="0078485E">
      <w:pPr>
        <w:pStyle w:val="enumlev1"/>
        <w:rPr>
          <w:lang w:val="en-US"/>
        </w:rPr>
      </w:pPr>
      <w:r w:rsidRPr="00351900">
        <w:rPr>
          <w:lang w:val="en-US"/>
        </w:rPr>
        <w:t>–</w:t>
      </w:r>
      <w:r w:rsidRPr="0078485E">
        <w:rPr>
          <w:rtl/>
          <w:lang w:val="en-US"/>
        </w:rPr>
        <w:tab/>
        <w:t>مساهمات سنوية مخصصة؛</w:t>
      </w:r>
    </w:p>
    <w:p w14:paraId="60CE3C75" w14:textId="77777777" w:rsidR="00351900" w:rsidRPr="0078485E" w:rsidRDefault="00351900" w:rsidP="0078485E">
      <w:pPr>
        <w:pStyle w:val="enumlev1"/>
        <w:rPr>
          <w:lang w:val="en-US"/>
        </w:rPr>
      </w:pPr>
      <w:r w:rsidRPr="00351900">
        <w:rPr>
          <w:lang w:val="en-US"/>
        </w:rPr>
        <w:t>–</w:t>
      </w:r>
      <w:r w:rsidRPr="0078485E">
        <w:rPr>
          <w:rtl/>
          <w:lang w:val="en-US"/>
        </w:rPr>
        <w:tab/>
        <w:t>التمويل القائم على المرتبات؛</w:t>
      </w:r>
    </w:p>
    <w:p w14:paraId="62F23888" w14:textId="77777777" w:rsidR="00351900" w:rsidRPr="0078485E" w:rsidRDefault="00351900" w:rsidP="0078485E">
      <w:pPr>
        <w:pStyle w:val="enumlev1"/>
        <w:rPr>
          <w:lang w:val="en-US"/>
        </w:rPr>
      </w:pPr>
      <w:r w:rsidRPr="00351900">
        <w:rPr>
          <w:lang w:val="en-US"/>
        </w:rPr>
        <w:t>–</w:t>
      </w:r>
      <w:r w:rsidRPr="0078485E">
        <w:rPr>
          <w:rtl/>
          <w:lang w:val="en-US"/>
        </w:rPr>
        <w:tab/>
        <w:t>عوائد الاستثمار المتأتية من الأصول المتراكمة.</w:t>
      </w:r>
    </w:p>
    <w:p w14:paraId="016FA60E" w14:textId="0C89BC50" w:rsidR="00351900" w:rsidRPr="003C2B77" w:rsidRDefault="0078485E" w:rsidP="00351900">
      <w:pPr>
        <w:rPr>
          <w:spacing w:val="-6"/>
          <w:lang w:val="ar-SA"/>
        </w:rPr>
      </w:pPr>
      <w:r>
        <w:rPr>
          <w:lang w:bidi="ar-SA"/>
        </w:rPr>
        <w:t>21.5</w:t>
      </w:r>
      <w:r>
        <w:rPr>
          <w:rtl/>
        </w:rPr>
        <w:tab/>
      </w:r>
      <w:r w:rsidR="00351900" w:rsidRPr="003C2B77">
        <w:rPr>
          <w:spacing w:val="-6"/>
          <w:rtl/>
          <w:lang w:bidi="ar-SA"/>
        </w:rPr>
        <w:t>ومن شأن هذا النهج أن ينوع مصادر التمويل، ويخفف الضغط على أي آلية منفردة، ويعزز فرص تحقيق الأهداف الطويلة الأجل.</w:t>
      </w:r>
    </w:p>
    <w:p w14:paraId="33422919" w14:textId="0F6AF48E" w:rsidR="00351900" w:rsidRPr="00351900" w:rsidRDefault="00351900" w:rsidP="005614AD">
      <w:pPr>
        <w:pStyle w:val="Headingb"/>
        <w:tabs>
          <w:tab w:val="clear" w:pos="1701"/>
          <w:tab w:val="clear" w:pos="2268"/>
          <w:tab w:val="clear" w:pos="2835"/>
          <w:tab w:val="left" w:pos="6626"/>
        </w:tabs>
        <w:rPr>
          <w:lang w:bidi="ar-SA"/>
        </w:rPr>
      </w:pPr>
      <w:r w:rsidRPr="00351900">
        <w:rPr>
          <w:rtl/>
          <w:lang w:bidi="ar-SA"/>
        </w:rPr>
        <w:t>الحوكمة والرصد</w:t>
      </w:r>
    </w:p>
    <w:p w14:paraId="0C2F7EE6" w14:textId="3800CB80" w:rsidR="00351900" w:rsidRPr="00351900" w:rsidRDefault="00E15DCF" w:rsidP="00351900">
      <w:pPr>
        <w:rPr>
          <w:lang w:val="ar-SA"/>
        </w:rPr>
      </w:pPr>
      <w:r>
        <w:rPr>
          <w:lang w:bidi="ar-SA"/>
        </w:rPr>
        <w:t>22.5</w:t>
      </w:r>
      <w:r>
        <w:rPr>
          <w:rtl/>
        </w:rPr>
        <w:tab/>
      </w:r>
      <w:r w:rsidR="00351900" w:rsidRPr="00351900">
        <w:rPr>
          <w:rtl/>
          <w:lang w:bidi="ar-SA"/>
        </w:rPr>
        <w:t>ضماناً للمساءلة والشفافية، ينبغي استعراض التقدم المحرز كل سنتين. وينبغي أن تشمل هذه الاستعراضات ما يلي:</w:t>
      </w:r>
    </w:p>
    <w:p w14:paraId="1524023B" w14:textId="77777777" w:rsidR="00351900" w:rsidRPr="004453AC" w:rsidRDefault="00351900" w:rsidP="004453AC">
      <w:pPr>
        <w:pStyle w:val="enumlev1"/>
        <w:rPr>
          <w:lang w:val="en-US"/>
        </w:rPr>
      </w:pPr>
      <w:r w:rsidRPr="00351900">
        <w:rPr>
          <w:lang w:val="en-US"/>
        </w:rPr>
        <w:t>–</w:t>
      </w:r>
      <w:r w:rsidRPr="004453AC">
        <w:rPr>
          <w:rtl/>
          <w:lang w:val="en-US"/>
        </w:rPr>
        <w:tab/>
        <w:t>التقدم المحرز نحو تحقيق أهداف التمويل المعتمدة؛</w:t>
      </w:r>
    </w:p>
    <w:p w14:paraId="217643E6" w14:textId="77777777" w:rsidR="00351900" w:rsidRPr="004453AC" w:rsidRDefault="00351900" w:rsidP="004453AC">
      <w:pPr>
        <w:pStyle w:val="enumlev1"/>
        <w:rPr>
          <w:lang w:val="en-US"/>
        </w:rPr>
      </w:pPr>
      <w:r w:rsidRPr="00351900">
        <w:rPr>
          <w:lang w:val="en-US"/>
        </w:rPr>
        <w:t>–</w:t>
      </w:r>
      <w:r w:rsidRPr="004453AC">
        <w:rPr>
          <w:rtl/>
          <w:lang w:val="en-US"/>
        </w:rPr>
        <w:tab/>
        <w:t>تطور نسبة التمويل؛</w:t>
      </w:r>
    </w:p>
    <w:p w14:paraId="5117A210" w14:textId="77777777" w:rsidR="00351900" w:rsidRPr="004453AC" w:rsidRDefault="00351900" w:rsidP="004453AC">
      <w:pPr>
        <w:pStyle w:val="enumlev1"/>
        <w:rPr>
          <w:lang w:val="en-US"/>
        </w:rPr>
      </w:pPr>
      <w:r w:rsidRPr="00351900">
        <w:rPr>
          <w:lang w:val="en-US"/>
        </w:rPr>
        <w:t>–</w:t>
      </w:r>
      <w:r w:rsidRPr="004453AC">
        <w:rPr>
          <w:rtl/>
          <w:lang w:val="en-US"/>
        </w:rPr>
        <w:tab/>
        <w:t xml:space="preserve">أداء الأصول المخصصة للتأمين الصحي بعد انتهاء الخدمة </w:t>
      </w:r>
      <w:r w:rsidRPr="00351900">
        <w:rPr>
          <w:lang w:val="en-US"/>
        </w:rPr>
        <w:t>(ASHI)</w:t>
      </w:r>
      <w:r w:rsidRPr="004453AC">
        <w:rPr>
          <w:rtl/>
          <w:lang w:val="en-US"/>
        </w:rPr>
        <w:t>؛</w:t>
      </w:r>
    </w:p>
    <w:p w14:paraId="12B1174B" w14:textId="77777777" w:rsidR="00351900" w:rsidRPr="004453AC" w:rsidRDefault="00351900" w:rsidP="004453AC">
      <w:pPr>
        <w:pStyle w:val="enumlev1"/>
        <w:rPr>
          <w:lang w:val="en-US"/>
        </w:rPr>
      </w:pPr>
      <w:r w:rsidRPr="00351900">
        <w:rPr>
          <w:lang w:val="en-US"/>
        </w:rPr>
        <w:t>–</w:t>
      </w:r>
      <w:r w:rsidRPr="004453AC">
        <w:rPr>
          <w:rtl/>
          <w:lang w:val="en-US"/>
        </w:rPr>
        <w:tab/>
        <w:t>حالة استعراض الاحتياطيات والتحويلات منها؛</w:t>
      </w:r>
    </w:p>
    <w:p w14:paraId="2ED76161" w14:textId="77777777" w:rsidR="00351900" w:rsidRPr="004453AC" w:rsidRDefault="00351900" w:rsidP="004453AC">
      <w:pPr>
        <w:pStyle w:val="enumlev1"/>
        <w:rPr>
          <w:lang w:val="en-US"/>
        </w:rPr>
      </w:pPr>
      <w:r w:rsidRPr="00351900">
        <w:rPr>
          <w:lang w:val="en-US"/>
        </w:rPr>
        <w:t>–</w:t>
      </w:r>
      <w:r w:rsidRPr="004453AC">
        <w:rPr>
          <w:rtl/>
          <w:lang w:val="en-US"/>
        </w:rPr>
        <w:tab/>
        <w:t>التوقعات الاكتوارية المحدَّثة؛</w:t>
      </w:r>
    </w:p>
    <w:p w14:paraId="17BF8482" w14:textId="77777777" w:rsidR="00351900" w:rsidRPr="004453AC" w:rsidRDefault="00351900" w:rsidP="004453AC">
      <w:pPr>
        <w:pStyle w:val="enumlev1"/>
        <w:rPr>
          <w:lang w:val="en-US"/>
        </w:rPr>
      </w:pPr>
      <w:r w:rsidRPr="00351900">
        <w:rPr>
          <w:lang w:val="en-US"/>
        </w:rPr>
        <w:t>–</w:t>
      </w:r>
      <w:r w:rsidRPr="004453AC">
        <w:rPr>
          <w:rtl/>
          <w:lang w:val="en-US"/>
        </w:rPr>
        <w:tab/>
        <w:t>توصيات بإجراء تعديلات عند الاقتضاء.</w:t>
      </w:r>
    </w:p>
    <w:p w14:paraId="294B2088" w14:textId="481983C9" w:rsidR="00351900" w:rsidRPr="000C535F" w:rsidRDefault="004453AC" w:rsidP="00351900">
      <w:pPr>
        <w:rPr>
          <w:spacing w:val="-4"/>
          <w:lang w:val="ar-SA"/>
        </w:rPr>
      </w:pPr>
      <w:r w:rsidRPr="000C535F">
        <w:rPr>
          <w:spacing w:val="-4"/>
          <w:lang w:bidi="ar-SA"/>
        </w:rPr>
        <w:t>23.5</w:t>
      </w:r>
      <w:r w:rsidRPr="000C535F">
        <w:rPr>
          <w:spacing w:val="-4"/>
          <w:rtl/>
        </w:rPr>
        <w:tab/>
      </w:r>
      <w:r w:rsidR="00351900" w:rsidRPr="000C535F">
        <w:rPr>
          <w:spacing w:val="-4"/>
          <w:rtl/>
          <w:lang w:bidi="ar-SA"/>
        </w:rPr>
        <w:t>وسيتيح الرصد المنتظم للدول الأعضاء تكييف الاستراتيجية مع تطور الظروف، مع مواصلة التركيز على الهدف الطويل</w:t>
      </w:r>
      <w:r w:rsidR="002A202B" w:rsidRPr="000C535F">
        <w:rPr>
          <w:rFonts w:hint="cs"/>
          <w:spacing w:val="-4"/>
          <w:rtl/>
          <w:lang w:bidi="ar-SA"/>
        </w:rPr>
        <w:t> </w:t>
      </w:r>
      <w:r w:rsidR="00351900" w:rsidRPr="000C535F">
        <w:rPr>
          <w:spacing w:val="-4"/>
          <w:rtl/>
          <w:lang w:bidi="ar-SA"/>
        </w:rPr>
        <w:t>الأجل.</w:t>
      </w:r>
    </w:p>
    <w:p w14:paraId="422BC8D0" w14:textId="77777777" w:rsidR="00351900" w:rsidRPr="00351900" w:rsidRDefault="00351900" w:rsidP="00C4495B">
      <w:pPr>
        <w:pStyle w:val="Headingb"/>
        <w:rPr>
          <w:lang w:bidi="ar-SA"/>
        </w:rPr>
      </w:pPr>
      <w:r w:rsidRPr="00351900">
        <w:rPr>
          <w:rtl/>
          <w:lang w:bidi="ar-SA"/>
        </w:rPr>
        <w:t>الخاتمة</w:t>
      </w:r>
    </w:p>
    <w:p w14:paraId="4A79ACC9" w14:textId="24C3B160" w:rsidR="00BD7556" w:rsidRDefault="00351900" w:rsidP="00351900">
      <w:r w:rsidRPr="00351900">
        <w:rPr>
          <w:rtl/>
          <w:lang w:bidi="ar-SA"/>
        </w:rPr>
        <w:t xml:space="preserve">يُطلب إلى مؤتمر المندوبين المفوضين </w:t>
      </w:r>
      <w:r w:rsidRPr="00A930EA">
        <w:rPr>
          <w:b/>
          <w:bCs/>
          <w:rtl/>
          <w:lang w:bidi="ar-SA"/>
        </w:rPr>
        <w:t>الإحاطة علماً</w:t>
      </w:r>
      <w:r w:rsidRPr="00351900">
        <w:rPr>
          <w:rtl/>
          <w:lang w:bidi="ar-SA"/>
        </w:rPr>
        <w:t xml:space="preserve"> بهذا التقرير.</w:t>
      </w:r>
    </w:p>
    <w:p w14:paraId="7F094BF7" w14:textId="77777777" w:rsidR="00BD7556" w:rsidRDefault="00BD7556" w:rsidP="00A5517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first" r:id="rId27"/>
      <w:footerReference w:type="first" r:id="rId28"/>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2A23C" w14:textId="77777777" w:rsidR="00E7308D" w:rsidRDefault="00E7308D" w:rsidP="00FE7FCA">
      <w:r>
        <w:separator/>
      </w:r>
    </w:p>
  </w:endnote>
  <w:endnote w:type="continuationSeparator" w:id="0">
    <w:p w14:paraId="409F3CF9" w14:textId="77777777" w:rsidR="00E7308D" w:rsidRDefault="00E7308D"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B6B6"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23EF" w14:textId="77777777"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715852">
        <w:rPr>
          <w:rStyle w:val="Hyperlink"/>
          <w:rFonts w:ascii="Calibri" w:hAnsi="Calibri" w:cs="Times New Roman"/>
          <w:lang w:eastAsia="zh-CN" w:bidi="ar-SA"/>
        </w:rPr>
        <w:t>www.itu.int</w:t>
      </w:r>
      <w:proofErr w:type="spellEnd"/>
      <w:r w:rsidRPr="00715852">
        <w:rPr>
          <w:rStyle w:val="Hyperlink"/>
          <w:rFonts w:ascii="Calibri" w:hAnsi="Calibri" w:cs="Times New Roman"/>
          <w:lang w:eastAsia="zh-CN" w:bidi="ar-SA"/>
        </w:rPr>
        <w:t>/plenipotentiary/</w:t>
      </w:r>
      <w:r w:rsidRPr="00715852">
        <w:rPr>
          <w:rStyle w:val="Hyperlink"/>
          <w:rFonts w:ascii="Calibri" w:hAnsi="Calibri" w:cs="Times New Roman"/>
          <w:sz w:val="20"/>
          <w:szCs w:val="20"/>
          <w:lang w:eastAsia="zh-CN" w:bidi="ar-SA"/>
        </w:rPr>
        <w:t xml:space="preserve"> </w:t>
      </w:r>
      <w:r w:rsidRPr="00715852">
        <w:rPr>
          <w:rStyle w:val="Hyperlink"/>
          <w:rFonts w:ascii="Symbol" w:hAnsi="Symbol" w:cs="Times New Roman"/>
          <w:szCs w:val="20"/>
          <w:lang w:eastAsia="zh-CN" w:bidi="ar-SA"/>
        </w:rPr>
        <w: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5585" w14:textId="1747912E" w:rsidR="00CF64D3" w:rsidRPr="00CF64D3" w:rsidRDefault="00CF64D3" w:rsidP="00CF64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AC24" w14:textId="77777777" w:rsidR="00CF64D3" w:rsidRPr="00CF64D3" w:rsidRDefault="00CF64D3" w:rsidP="00CF64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087D" w14:textId="77777777" w:rsidR="00CF64D3" w:rsidRPr="00CF64D3" w:rsidRDefault="00CF64D3" w:rsidP="00CF64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D8C3" w14:textId="77777777" w:rsidR="00CF64D3" w:rsidRPr="00CF64D3" w:rsidRDefault="00CF64D3" w:rsidP="00CF64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5A76" w14:textId="77777777" w:rsidR="00351900" w:rsidRPr="00CF64D3" w:rsidRDefault="00351900" w:rsidP="00CF6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77921" w14:textId="77777777" w:rsidR="00E7308D" w:rsidRDefault="00E7308D">
      <w:r>
        <w:t>_______________</w:t>
      </w:r>
    </w:p>
  </w:footnote>
  <w:footnote w:type="continuationSeparator" w:id="0">
    <w:p w14:paraId="0944167D" w14:textId="77777777" w:rsidR="00E7308D" w:rsidRDefault="00E7308D"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E4A9" w14:textId="5EF84100"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w:t>
    </w:r>
    <w:r w:rsidR="00096B8A">
      <w:rPr>
        <w:rStyle w:val="PageNumber"/>
        <w:rFonts w:ascii="Calibri" w:hAnsi="Calibri"/>
      </w:rPr>
      <w:t>72</w:t>
    </w:r>
    <w:r w:rsidR="00515E95">
      <w:rPr>
        <w:rStyle w:val="PageNumber"/>
        <w:rFonts w:ascii="Calibri" w:hAnsi="Calibri"/>
      </w:rPr>
      <w: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B873" w14:textId="77777777" w:rsidR="00CF64D3" w:rsidRPr="003A0ECA" w:rsidRDefault="00CF64D3" w:rsidP="00CF64D3">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Pr>
        <w:rStyle w:val="PageNumber"/>
        <w:rFonts w:ascii="Calibri" w:hAnsi="Calibri"/>
        <w:rtl/>
      </w:rPr>
      <w:t>4</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PP2</w:t>
    </w:r>
    <w:r>
      <w:rPr>
        <w:rStyle w:val="PageNumber"/>
        <w:rFonts w:ascii="Calibri" w:hAnsi="Calibri"/>
      </w:rPr>
      <w:t>6</w:t>
    </w:r>
    <w:proofErr w:type="spellEnd"/>
    <w:r w:rsidRPr="003A0ECA">
      <w:rPr>
        <w:rStyle w:val="PageNumber"/>
        <w:rFonts w:ascii="Calibri" w:hAnsi="Calibri"/>
      </w:rPr>
      <w:t>/</w:t>
    </w:r>
    <w:r>
      <w:rPr>
        <w:rStyle w:val="PageNumber"/>
        <w:rFonts w:ascii="Calibri" w:hAnsi="Calibri"/>
      </w:rPr>
      <w:t>72-A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DC21" w14:textId="77777777" w:rsidR="00CF64D3" w:rsidRPr="003A0ECA" w:rsidRDefault="00CF64D3" w:rsidP="00CF64D3">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Pr>
        <w:rStyle w:val="PageNumber"/>
        <w:rFonts w:ascii="Calibri" w:hAnsi="Calibri"/>
        <w:rtl/>
      </w:rPr>
      <w:t>4</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PP2</w:t>
    </w:r>
    <w:r>
      <w:rPr>
        <w:rStyle w:val="PageNumber"/>
        <w:rFonts w:ascii="Calibri" w:hAnsi="Calibri"/>
      </w:rPr>
      <w:t>6</w:t>
    </w:r>
    <w:proofErr w:type="spellEnd"/>
    <w:r w:rsidRPr="003A0ECA">
      <w:rPr>
        <w:rStyle w:val="PageNumber"/>
        <w:rFonts w:ascii="Calibri" w:hAnsi="Calibri"/>
      </w:rPr>
      <w:t>/</w:t>
    </w:r>
    <w:r>
      <w:rPr>
        <w:rStyle w:val="PageNumber"/>
        <w:rFonts w:ascii="Calibri" w:hAnsi="Calibri"/>
      </w:rPr>
      <w:t>72-A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0E67" w14:textId="77777777" w:rsidR="00CF64D3" w:rsidRPr="003A0ECA" w:rsidRDefault="00CF64D3" w:rsidP="00CF64D3">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Pr>
        <w:rStyle w:val="PageNumber"/>
        <w:rFonts w:ascii="Calibri" w:hAnsi="Calibri"/>
        <w:rtl/>
      </w:rPr>
      <w:t>4</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PP2</w:t>
    </w:r>
    <w:r>
      <w:rPr>
        <w:rStyle w:val="PageNumber"/>
        <w:rFonts w:ascii="Calibri" w:hAnsi="Calibri"/>
      </w:rPr>
      <w:t>6</w:t>
    </w:r>
    <w:proofErr w:type="spellEnd"/>
    <w:r w:rsidRPr="003A0ECA">
      <w:rPr>
        <w:rStyle w:val="PageNumber"/>
        <w:rFonts w:ascii="Calibri" w:hAnsi="Calibri"/>
      </w:rPr>
      <w:t>/</w:t>
    </w:r>
    <w:r>
      <w:rPr>
        <w:rStyle w:val="PageNumber"/>
        <w:rFonts w:ascii="Calibri" w:hAnsi="Calibri"/>
      </w:rPr>
      <w:t>72-A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F77B" w14:textId="77777777" w:rsidR="00CF64D3" w:rsidRPr="003A0ECA" w:rsidRDefault="00CF64D3" w:rsidP="00CF64D3">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Pr>
        <w:rStyle w:val="PageNumber"/>
        <w:rFonts w:ascii="Calibri" w:hAnsi="Calibri"/>
        <w:rtl/>
      </w:rPr>
      <w:t>4</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PP2</w:t>
    </w:r>
    <w:r>
      <w:rPr>
        <w:rStyle w:val="PageNumber"/>
        <w:rFonts w:ascii="Calibri" w:hAnsi="Calibri"/>
      </w:rPr>
      <w:t>6</w:t>
    </w:r>
    <w:proofErr w:type="spellEnd"/>
    <w:r w:rsidRPr="003A0ECA">
      <w:rPr>
        <w:rStyle w:val="PageNumber"/>
        <w:rFonts w:ascii="Calibri" w:hAnsi="Calibri"/>
      </w:rPr>
      <w:t>/</w:t>
    </w:r>
    <w:r>
      <w:rPr>
        <w:rStyle w:val="PageNumber"/>
        <w:rFonts w:ascii="Calibri" w:hAnsi="Calibri"/>
      </w:rPr>
      <w:t>72-A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BE6D" w14:textId="77777777" w:rsidR="00351900" w:rsidRPr="003A0ECA" w:rsidRDefault="00351900" w:rsidP="00CF64D3">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Pr>
        <w:rStyle w:val="PageNumber"/>
        <w:rFonts w:ascii="Calibri" w:hAnsi="Calibri"/>
        <w:rtl/>
      </w:rPr>
      <w:t>4</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PP2</w:t>
    </w:r>
    <w:r>
      <w:rPr>
        <w:rStyle w:val="PageNumber"/>
        <w:rFonts w:ascii="Calibri" w:hAnsi="Calibri"/>
      </w:rPr>
      <w:t>6</w:t>
    </w:r>
    <w:proofErr w:type="spellEnd"/>
    <w:r w:rsidRPr="003A0ECA">
      <w:rPr>
        <w:rStyle w:val="PageNumber"/>
        <w:rFonts w:ascii="Calibri" w:hAnsi="Calibri"/>
      </w:rPr>
      <w:t>/</w:t>
    </w:r>
    <w:r>
      <w:rPr>
        <w:rStyle w:val="PageNumber"/>
        <w:rFonts w:ascii="Calibri" w:hAnsi="Calibri"/>
      </w:rPr>
      <w:t>72-A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233931315">
    <w:abstractNumId w:val="9"/>
  </w:num>
  <w:num w:numId="2" w16cid:durableId="914127299">
    <w:abstractNumId w:val="7"/>
  </w:num>
  <w:num w:numId="3" w16cid:durableId="1585994297">
    <w:abstractNumId w:val="6"/>
  </w:num>
  <w:num w:numId="4" w16cid:durableId="573785827">
    <w:abstractNumId w:val="5"/>
  </w:num>
  <w:num w:numId="5" w16cid:durableId="1383751857">
    <w:abstractNumId w:val="4"/>
  </w:num>
  <w:num w:numId="6" w16cid:durableId="1243834943">
    <w:abstractNumId w:val="8"/>
  </w:num>
  <w:num w:numId="7" w16cid:durableId="2132937174">
    <w:abstractNumId w:val="3"/>
  </w:num>
  <w:num w:numId="8" w16cid:durableId="1552183590">
    <w:abstractNumId w:val="2"/>
  </w:num>
  <w:num w:numId="9" w16cid:durableId="1365474630">
    <w:abstractNumId w:val="1"/>
  </w:num>
  <w:num w:numId="10" w16cid:durableId="1109469370">
    <w:abstractNumId w:val="0"/>
  </w:num>
  <w:num w:numId="11" w16cid:durableId="816721419">
    <w:abstractNumId w:val="12"/>
  </w:num>
  <w:num w:numId="12" w16cid:durableId="1270433576">
    <w:abstractNumId w:val="10"/>
  </w:num>
  <w:num w:numId="13" w16cid:durableId="19431424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76B"/>
    <w:rsid w:val="00001516"/>
    <w:rsid w:val="00003ED5"/>
    <w:rsid w:val="00004A19"/>
    <w:rsid w:val="00005A03"/>
    <w:rsid w:val="00006678"/>
    <w:rsid w:val="000075F1"/>
    <w:rsid w:val="00012756"/>
    <w:rsid w:val="00014526"/>
    <w:rsid w:val="00014808"/>
    <w:rsid w:val="00015A2C"/>
    <w:rsid w:val="00015D0B"/>
    <w:rsid w:val="000171F8"/>
    <w:rsid w:val="00022AB9"/>
    <w:rsid w:val="00022ACB"/>
    <w:rsid w:val="000273BE"/>
    <w:rsid w:val="00027664"/>
    <w:rsid w:val="00032200"/>
    <w:rsid w:val="0003560D"/>
    <w:rsid w:val="00040CA3"/>
    <w:rsid w:val="000410FE"/>
    <w:rsid w:val="000413B4"/>
    <w:rsid w:val="00043743"/>
    <w:rsid w:val="00046E96"/>
    <w:rsid w:val="00046FB4"/>
    <w:rsid w:val="00050C62"/>
    <w:rsid w:val="00051A7D"/>
    <w:rsid w:val="00053565"/>
    <w:rsid w:val="00053D23"/>
    <w:rsid w:val="00055685"/>
    <w:rsid w:val="00056603"/>
    <w:rsid w:val="00056E73"/>
    <w:rsid w:val="0005749E"/>
    <w:rsid w:val="00057CBE"/>
    <w:rsid w:val="00061630"/>
    <w:rsid w:val="000640DE"/>
    <w:rsid w:val="00066678"/>
    <w:rsid w:val="000715BE"/>
    <w:rsid w:val="00074E5D"/>
    <w:rsid w:val="00075C7A"/>
    <w:rsid w:val="00081C03"/>
    <w:rsid w:val="00083144"/>
    <w:rsid w:val="00091C44"/>
    <w:rsid w:val="00093C07"/>
    <w:rsid w:val="00093D7D"/>
    <w:rsid w:val="00093EE3"/>
    <w:rsid w:val="000960D3"/>
    <w:rsid w:val="000969A1"/>
    <w:rsid w:val="00096B8A"/>
    <w:rsid w:val="00097232"/>
    <w:rsid w:val="000972E1"/>
    <w:rsid w:val="000A557E"/>
    <w:rsid w:val="000A6DD9"/>
    <w:rsid w:val="000B13CF"/>
    <w:rsid w:val="000B169B"/>
    <w:rsid w:val="000B2234"/>
    <w:rsid w:val="000B339E"/>
    <w:rsid w:val="000B5B65"/>
    <w:rsid w:val="000B6006"/>
    <w:rsid w:val="000B6571"/>
    <w:rsid w:val="000C0CA9"/>
    <w:rsid w:val="000C29AB"/>
    <w:rsid w:val="000C2A75"/>
    <w:rsid w:val="000C4701"/>
    <w:rsid w:val="000C527E"/>
    <w:rsid w:val="000C535F"/>
    <w:rsid w:val="000D0B72"/>
    <w:rsid w:val="000D1672"/>
    <w:rsid w:val="000E04FE"/>
    <w:rsid w:val="000E085F"/>
    <w:rsid w:val="000E15D9"/>
    <w:rsid w:val="000E20E0"/>
    <w:rsid w:val="000E2948"/>
    <w:rsid w:val="000E4A80"/>
    <w:rsid w:val="000E4C7A"/>
    <w:rsid w:val="000E5571"/>
    <w:rsid w:val="000E6611"/>
    <w:rsid w:val="000E7218"/>
    <w:rsid w:val="000E7431"/>
    <w:rsid w:val="000F043E"/>
    <w:rsid w:val="000F256B"/>
    <w:rsid w:val="000F4A88"/>
    <w:rsid w:val="000F528D"/>
    <w:rsid w:val="000F702D"/>
    <w:rsid w:val="001053CF"/>
    <w:rsid w:val="00106F0A"/>
    <w:rsid w:val="0011238D"/>
    <w:rsid w:val="00112FD0"/>
    <w:rsid w:val="00115591"/>
    <w:rsid w:val="0011763A"/>
    <w:rsid w:val="001177C4"/>
    <w:rsid w:val="00117D4E"/>
    <w:rsid w:val="00124807"/>
    <w:rsid w:val="001252B0"/>
    <w:rsid w:val="00126205"/>
    <w:rsid w:val="001276BF"/>
    <w:rsid w:val="00127D4A"/>
    <w:rsid w:val="00130211"/>
    <w:rsid w:val="0013130B"/>
    <w:rsid w:val="001409D8"/>
    <w:rsid w:val="00143E0E"/>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3BFA"/>
    <w:rsid w:val="001853C0"/>
    <w:rsid w:val="00186039"/>
    <w:rsid w:val="00186AFE"/>
    <w:rsid w:val="001918E2"/>
    <w:rsid w:val="00191BDB"/>
    <w:rsid w:val="0019477A"/>
    <w:rsid w:val="0019549A"/>
    <w:rsid w:val="00195991"/>
    <w:rsid w:val="00196714"/>
    <w:rsid w:val="001A0EEB"/>
    <w:rsid w:val="001A1760"/>
    <w:rsid w:val="001A21B3"/>
    <w:rsid w:val="001A5347"/>
    <w:rsid w:val="001A676B"/>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142F"/>
    <w:rsid w:val="001E40A8"/>
    <w:rsid w:val="001E5562"/>
    <w:rsid w:val="001E7F8A"/>
    <w:rsid w:val="001F0201"/>
    <w:rsid w:val="001F09C7"/>
    <w:rsid w:val="001F0B24"/>
    <w:rsid w:val="001F352A"/>
    <w:rsid w:val="001F5D70"/>
    <w:rsid w:val="001F6B6F"/>
    <w:rsid w:val="00200F44"/>
    <w:rsid w:val="002010C2"/>
    <w:rsid w:val="00201372"/>
    <w:rsid w:val="00201A93"/>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0ED1"/>
    <w:rsid w:val="002471D5"/>
    <w:rsid w:val="00247E9F"/>
    <w:rsid w:val="00252971"/>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02B"/>
    <w:rsid w:val="002A2EA3"/>
    <w:rsid w:val="002A4852"/>
    <w:rsid w:val="002A57E3"/>
    <w:rsid w:val="002A689F"/>
    <w:rsid w:val="002A71E6"/>
    <w:rsid w:val="002B018A"/>
    <w:rsid w:val="002B0CD9"/>
    <w:rsid w:val="002B317F"/>
    <w:rsid w:val="002B684C"/>
    <w:rsid w:val="002B6C81"/>
    <w:rsid w:val="002B6D09"/>
    <w:rsid w:val="002B75A7"/>
    <w:rsid w:val="002B78B3"/>
    <w:rsid w:val="002C0FE5"/>
    <w:rsid w:val="002C13B9"/>
    <w:rsid w:val="002C25AF"/>
    <w:rsid w:val="002C3D13"/>
    <w:rsid w:val="002D1213"/>
    <w:rsid w:val="002D207A"/>
    <w:rsid w:val="002E0372"/>
    <w:rsid w:val="002E120B"/>
    <w:rsid w:val="002E20D6"/>
    <w:rsid w:val="002E24F7"/>
    <w:rsid w:val="002E6A9F"/>
    <w:rsid w:val="002E79C6"/>
    <w:rsid w:val="002F0B1D"/>
    <w:rsid w:val="002F3DC3"/>
    <w:rsid w:val="002F5546"/>
    <w:rsid w:val="002F6EA1"/>
    <w:rsid w:val="002F6FAE"/>
    <w:rsid w:val="002F736F"/>
    <w:rsid w:val="002F7461"/>
    <w:rsid w:val="00302911"/>
    <w:rsid w:val="00303069"/>
    <w:rsid w:val="00303861"/>
    <w:rsid w:val="003039A5"/>
    <w:rsid w:val="00304676"/>
    <w:rsid w:val="00304AA7"/>
    <w:rsid w:val="00306982"/>
    <w:rsid w:val="003076C8"/>
    <w:rsid w:val="0031047C"/>
    <w:rsid w:val="0031501E"/>
    <w:rsid w:val="00324167"/>
    <w:rsid w:val="0032611B"/>
    <w:rsid w:val="00326A4C"/>
    <w:rsid w:val="00333132"/>
    <w:rsid w:val="003340A3"/>
    <w:rsid w:val="00335B35"/>
    <w:rsid w:val="00337F61"/>
    <w:rsid w:val="00342815"/>
    <w:rsid w:val="003466E8"/>
    <w:rsid w:val="003466E9"/>
    <w:rsid w:val="00351900"/>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5FE0"/>
    <w:rsid w:val="003963B1"/>
    <w:rsid w:val="00397865"/>
    <w:rsid w:val="00397B27"/>
    <w:rsid w:val="003A0ECA"/>
    <w:rsid w:val="003A1506"/>
    <w:rsid w:val="003A185D"/>
    <w:rsid w:val="003A3F14"/>
    <w:rsid w:val="003A434B"/>
    <w:rsid w:val="003A61DC"/>
    <w:rsid w:val="003A761D"/>
    <w:rsid w:val="003A774C"/>
    <w:rsid w:val="003A7C81"/>
    <w:rsid w:val="003B5608"/>
    <w:rsid w:val="003B6955"/>
    <w:rsid w:val="003B6ED7"/>
    <w:rsid w:val="003C0AA9"/>
    <w:rsid w:val="003C2B77"/>
    <w:rsid w:val="003C36E0"/>
    <w:rsid w:val="003C42DE"/>
    <w:rsid w:val="003C49EA"/>
    <w:rsid w:val="003D3510"/>
    <w:rsid w:val="003D39E0"/>
    <w:rsid w:val="003D59E8"/>
    <w:rsid w:val="003E018F"/>
    <w:rsid w:val="003E10FA"/>
    <w:rsid w:val="003E1E43"/>
    <w:rsid w:val="003E2766"/>
    <w:rsid w:val="003E4824"/>
    <w:rsid w:val="003E601A"/>
    <w:rsid w:val="003E6D8C"/>
    <w:rsid w:val="003F2B2C"/>
    <w:rsid w:val="003F2E9D"/>
    <w:rsid w:val="003F428F"/>
    <w:rsid w:val="003F4292"/>
    <w:rsid w:val="003F77A8"/>
    <w:rsid w:val="00400692"/>
    <w:rsid w:val="00401244"/>
    <w:rsid w:val="004014B0"/>
    <w:rsid w:val="00401F0D"/>
    <w:rsid w:val="00405596"/>
    <w:rsid w:val="00406179"/>
    <w:rsid w:val="00406227"/>
    <w:rsid w:val="0040663B"/>
    <w:rsid w:val="00413C36"/>
    <w:rsid w:val="004147E3"/>
    <w:rsid w:val="00414B82"/>
    <w:rsid w:val="00414DDA"/>
    <w:rsid w:val="00416440"/>
    <w:rsid w:val="00417CF3"/>
    <w:rsid w:val="004220EA"/>
    <w:rsid w:val="00423108"/>
    <w:rsid w:val="0042363E"/>
    <w:rsid w:val="00425658"/>
    <w:rsid w:val="00426AC1"/>
    <w:rsid w:val="00433A34"/>
    <w:rsid w:val="004340DE"/>
    <w:rsid w:val="0043422D"/>
    <w:rsid w:val="004423B0"/>
    <w:rsid w:val="00444228"/>
    <w:rsid w:val="00445219"/>
    <w:rsid w:val="004453AC"/>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0937"/>
    <w:rsid w:val="00481B25"/>
    <w:rsid w:val="00482265"/>
    <w:rsid w:val="0048341F"/>
    <w:rsid w:val="00484AB9"/>
    <w:rsid w:val="004869DA"/>
    <w:rsid w:val="00487880"/>
    <w:rsid w:val="004958CB"/>
    <w:rsid w:val="004A1AC1"/>
    <w:rsid w:val="004A63FE"/>
    <w:rsid w:val="004B0FAC"/>
    <w:rsid w:val="004B39C5"/>
    <w:rsid w:val="004B677A"/>
    <w:rsid w:val="004B67AA"/>
    <w:rsid w:val="004C1B71"/>
    <w:rsid w:val="004C75AD"/>
    <w:rsid w:val="004D0CCC"/>
    <w:rsid w:val="004D2102"/>
    <w:rsid w:val="004D2AEB"/>
    <w:rsid w:val="004D4476"/>
    <w:rsid w:val="004D5FA3"/>
    <w:rsid w:val="004E150E"/>
    <w:rsid w:val="004E1595"/>
    <w:rsid w:val="004E16BE"/>
    <w:rsid w:val="004E197A"/>
    <w:rsid w:val="004E237A"/>
    <w:rsid w:val="004E34F1"/>
    <w:rsid w:val="004E39E8"/>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1D11"/>
    <w:rsid w:val="00523007"/>
    <w:rsid w:val="00523132"/>
    <w:rsid w:val="00523135"/>
    <w:rsid w:val="00523E26"/>
    <w:rsid w:val="005242A2"/>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14AD"/>
    <w:rsid w:val="0056395A"/>
    <w:rsid w:val="00565E64"/>
    <w:rsid w:val="00567130"/>
    <w:rsid w:val="00573BC2"/>
    <w:rsid w:val="005741E5"/>
    <w:rsid w:val="00575907"/>
    <w:rsid w:val="00576C04"/>
    <w:rsid w:val="00577207"/>
    <w:rsid w:val="00577F3A"/>
    <w:rsid w:val="005805E4"/>
    <w:rsid w:val="00580BF0"/>
    <w:rsid w:val="00582912"/>
    <w:rsid w:val="00585E02"/>
    <w:rsid w:val="00586488"/>
    <w:rsid w:val="00587AA8"/>
    <w:rsid w:val="00587D48"/>
    <w:rsid w:val="00590E3C"/>
    <w:rsid w:val="00591767"/>
    <w:rsid w:val="00591945"/>
    <w:rsid w:val="00593E0A"/>
    <w:rsid w:val="00596322"/>
    <w:rsid w:val="00597756"/>
    <w:rsid w:val="005979F8"/>
    <w:rsid w:val="005A224E"/>
    <w:rsid w:val="005A25DF"/>
    <w:rsid w:val="005A26CF"/>
    <w:rsid w:val="005A29CA"/>
    <w:rsid w:val="005A2AD2"/>
    <w:rsid w:val="005A35D1"/>
    <w:rsid w:val="005A3D1D"/>
    <w:rsid w:val="005A5A48"/>
    <w:rsid w:val="005A636A"/>
    <w:rsid w:val="005B2B67"/>
    <w:rsid w:val="005B32D6"/>
    <w:rsid w:val="005B38DC"/>
    <w:rsid w:val="005B6639"/>
    <w:rsid w:val="005C0289"/>
    <w:rsid w:val="005C1D03"/>
    <w:rsid w:val="005C4053"/>
    <w:rsid w:val="005C4FB8"/>
    <w:rsid w:val="005D1D95"/>
    <w:rsid w:val="005D20FB"/>
    <w:rsid w:val="005D2B25"/>
    <w:rsid w:val="005E1350"/>
    <w:rsid w:val="005E2751"/>
    <w:rsid w:val="005E2B39"/>
    <w:rsid w:val="005E3BFC"/>
    <w:rsid w:val="005E4059"/>
    <w:rsid w:val="005E4B45"/>
    <w:rsid w:val="005E4B7D"/>
    <w:rsid w:val="005E6673"/>
    <w:rsid w:val="005F0D0D"/>
    <w:rsid w:val="005F1778"/>
    <w:rsid w:val="005F2ABF"/>
    <w:rsid w:val="005F416E"/>
    <w:rsid w:val="005F7DC9"/>
    <w:rsid w:val="00601D98"/>
    <w:rsid w:val="0060333E"/>
    <w:rsid w:val="006037EB"/>
    <w:rsid w:val="00603B49"/>
    <w:rsid w:val="006042F4"/>
    <w:rsid w:val="00604DAF"/>
    <w:rsid w:val="00611488"/>
    <w:rsid w:val="00611B15"/>
    <w:rsid w:val="00615689"/>
    <w:rsid w:val="00617145"/>
    <w:rsid w:val="0061732C"/>
    <w:rsid w:val="00617AE4"/>
    <w:rsid w:val="00617BE4"/>
    <w:rsid w:val="00620258"/>
    <w:rsid w:val="00620660"/>
    <w:rsid w:val="00620F32"/>
    <w:rsid w:val="006213E7"/>
    <w:rsid w:val="0062228A"/>
    <w:rsid w:val="00624588"/>
    <w:rsid w:val="006422DC"/>
    <w:rsid w:val="006438BD"/>
    <w:rsid w:val="00646482"/>
    <w:rsid w:val="00646A3A"/>
    <w:rsid w:val="00650A04"/>
    <w:rsid w:val="00650B49"/>
    <w:rsid w:val="00651F6B"/>
    <w:rsid w:val="00652C0B"/>
    <w:rsid w:val="0065503D"/>
    <w:rsid w:val="00662527"/>
    <w:rsid w:val="006629E0"/>
    <w:rsid w:val="0066480D"/>
    <w:rsid w:val="0067065E"/>
    <w:rsid w:val="00671E73"/>
    <w:rsid w:val="00674479"/>
    <w:rsid w:val="00674599"/>
    <w:rsid w:val="00675185"/>
    <w:rsid w:val="006776EA"/>
    <w:rsid w:val="00680F62"/>
    <w:rsid w:val="00681B31"/>
    <w:rsid w:val="00683971"/>
    <w:rsid w:val="0068645F"/>
    <w:rsid w:val="006868A9"/>
    <w:rsid w:val="00686D43"/>
    <w:rsid w:val="0069021A"/>
    <w:rsid w:val="006909AD"/>
    <w:rsid w:val="00691A34"/>
    <w:rsid w:val="00692440"/>
    <w:rsid w:val="006927F6"/>
    <w:rsid w:val="00695E26"/>
    <w:rsid w:val="00697E5C"/>
    <w:rsid w:val="006A03CF"/>
    <w:rsid w:val="006A10AC"/>
    <w:rsid w:val="006A1BA5"/>
    <w:rsid w:val="006A48B7"/>
    <w:rsid w:val="006A55B6"/>
    <w:rsid w:val="006B02BD"/>
    <w:rsid w:val="006B3AEE"/>
    <w:rsid w:val="006B4985"/>
    <w:rsid w:val="006B4F10"/>
    <w:rsid w:val="006B7A84"/>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7BD"/>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5852"/>
    <w:rsid w:val="0071655E"/>
    <w:rsid w:val="00716FEB"/>
    <w:rsid w:val="007254CB"/>
    <w:rsid w:val="00727D3E"/>
    <w:rsid w:val="00730F00"/>
    <w:rsid w:val="007323C3"/>
    <w:rsid w:val="0073319E"/>
    <w:rsid w:val="00733F7E"/>
    <w:rsid w:val="00734C6D"/>
    <w:rsid w:val="007403C5"/>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678D5"/>
    <w:rsid w:val="0077489F"/>
    <w:rsid w:val="007838F5"/>
    <w:rsid w:val="007844D3"/>
    <w:rsid w:val="0078485E"/>
    <w:rsid w:val="00785921"/>
    <w:rsid w:val="007872AB"/>
    <w:rsid w:val="00792410"/>
    <w:rsid w:val="00792684"/>
    <w:rsid w:val="0079304C"/>
    <w:rsid w:val="007939EF"/>
    <w:rsid w:val="00794F1D"/>
    <w:rsid w:val="00796273"/>
    <w:rsid w:val="007A3270"/>
    <w:rsid w:val="007A6FF5"/>
    <w:rsid w:val="007B2866"/>
    <w:rsid w:val="007C43A3"/>
    <w:rsid w:val="007D06DC"/>
    <w:rsid w:val="007D40C4"/>
    <w:rsid w:val="007E13E6"/>
    <w:rsid w:val="007E2C59"/>
    <w:rsid w:val="007E383B"/>
    <w:rsid w:val="007E3B62"/>
    <w:rsid w:val="007E4520"/>
    <w:rsid w:val="007E4ADF"/>
    <w:rsid w:val="007E4BC7"/>
    <w:rsid w:val="007E6D15"/>
    <w:rsid w:val="007E7230"/>
    <w:rsid w:val="007F23A3"/>
    <w:rsid w:val="007F2ECE"/>
    <w:rsid w:val="007F7D80"/>
    <w:rsid w:val="008038E4"/>
    <w:rsid w:val="008075D5"/>
    <w:rsid w:val="008107EC"/>
    <w:rsid w:val="00811230"/>
    <w:rsid w:val="0082338B"/>
    <w:rsid w:val="00824C34"/>
    <w:rsid w:val="00826EF1"/>
    <w:rsid w:val="008300E4"/>
    <w:rsid w:val="0083067B"/>
    <w:rsid w:val="00841726"/>
    <w:rsid w:val="00843D0C"/>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74AD7"/>
    <w:rsid w:val="00884B66"/>
    <w:rsid w:val="008923DA"/>
    <w:rsid w:val="008929EA"/>
    <w:rsid w:val="00892E80"/>
    <w:rsid w:val="008930C3"/>
    <w:rsid w:val="00893734"/>
    <w:rsid w:val="00896B87"/>
    <w:rsid w:val="008A14A2"/>
    <w:rsid w:val="008A29FB"/>
    <w:rsid w:val="008A36AB"/>
    <w:rsid w:val="008A665D"/>
    <w:rsid w:val="008A6C11"/>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E6E75"/>
    <w:rsid w:val="008F284F"/>
    <w:rsid w:val="008F2D4D"/>
    <w:rsid w:val="008F5294"/>
    <w:rsid w:val="008F54F7"/>
    <w:rsid w:val="008F7023"/>
    <w:rsid w:val="008F75D7"/>
    <w:rsid w:val="008F7D3C"/>
    <w:rsid w:val="00901E88"/>
    <w:rsid w:val="00901F82"/>
    <w:rsid w:val="00906137"/>
    <w:rsid w:val="00906DD5"/>
    <w:rsid w:val="00911089"/>
    <w:rsid w:val="00914DE4"/>
    <w:rsid w:val="00917FB3"/>
    <w:rsid w:val="0092540A"/>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185B"/>
    <w:rsid w:val="00993930"/>
    <w:rsid w:val="009A005F"/>
    <w:rsid w:val="009A0410"/>
    <w:rsid w:val="009A0D5B"/>
    <w:rsid w:val="009A14D3"/>
    <w:rsid w:val="009A47A2"/>
    <w:rsid w:val="009A56BE"/>
    <w:rsid w:val="009A5778"/>
    <w:rsid w:val="009A5B8C"/>
    <w:rsid w:val="009A5F91"/>
    <w:rsid w:val="009A6AAC"/>
    <w:rsid w:val="009A7334"/>
    <w:rsid w:val="009B1A1B"/>
    <w:rsid w:val="009B2293"/>
    <w:rsid w:val="009B26E8"/>
    <w:rsid w:val="009B52ED"/>
    <w:rsid w:val="009B5C6C"/>
    <w:rsid w:val="009B6118"/>
    <w:rsid w:val="009C061B"/>
    <w:rsid w:val="009C06F0"/>
    <w:rsid w:val="009C36BA"/>
    <w:rsid w:val="009C3D0B"/>
    <w:rsid w:val="009C5388"/>
    <w:rsid w:val="009C6891"/>
    <w:rsid w:val="009C7F00"/>
    <w:rsid w:val="009D0064"/>
    <w:rsid w:val="009D201E"/>
    <w:rsid w:val="009D20D2"/>
    <w:rsid w:val="009D5674"/>
    <w:rsid w:val="009E0255"/>
    <w:rsid w:val="009E369F"/>
    <w:rsid w:val="009F279B"/>
    <w:rsid w:val="009F67AE"/>
    <w:rsid w:val="009F79BB"/>
    <w:rsid w:val="00A009FF"/>
    <w:rsid w:val="00A00B7A"/>
    <w:rsid w:val="00A01D3A"/>
    <w:rsid w:val="00A035A3"/>
    <w:rsid w:val="00A06CB2"/>
    <w:rsid w:val="00A07160"/>
    <w:rsid w:val="00A104C3"/>
    <w:rsid w:val="00A11C33"/>
    <w:rsid w:val="00A16046"/>
    <w:rsid w:val="00A225DB"/>
    <w:rsid w:val="00A2287A"/>
    <w:rsid w:val="00A24DEC"/>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5176"/>
    <w:rsid w:val="00A57C1B"/>
    <w:rsid w:val="00A57D5D"/>
    <w:rsid w:val="00A6044D"/>
    <w:rsid w:val="00A6137B"/>
    <w:rsid w:val="00A61DCD"/>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30EA"/>
    <w:rsid w:val="00A9407A"/>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C644B"/>
    <w:rsid w:val="00AD2170"/>
    <w:rsid w:val="00AD39A1"/>
    <w:rsid w:val="00AD5D22"/>
    <w:rsid w:val="00AD6074"/>
    <w:rsid w:val="00AD615F"/>
    <w:rsid w:val="00AD63C8"/>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2E2"/>
    <w:rsid w:val="00B10B0D"/>
    <w:rsid w:val="00B12422"/>
    <w:rsid w:val="00B124BA"/>
    <w:rsid w:val="00B1377C"/>
    <w:rsid w:val="00B14684"/>
    <w:rsid w:val="00B14E40"/>
    <w:rsid w:val="00B1523B"/>
    <w:rsid w:val="00B1733E"/>
    <w:rsid w:val="00B17B1D"/>
    <w:rsid w:val="00B22596"/>
    <w:rsid w:val="00B26D73"/>
    <w:rsid w:val="00B27061"/>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1EA3"/>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1D5A"/>
    <w:rsid w:val="00BC2098"/>
    <w:rsid w:val="00BC3BDB"/>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0972"/>
    <w:rsid w:val="00C04511"/>
    <w:rsid w:val="00C0646F"/>
    <w:rsid w:val="00C07CF1"/>
    <w:rsid w:val="00C120B3"/>
    <w:rsid w:val="00C12EC6"/>
    <w:rsid w:val="00C12F1B"/>
    <w:rsid w:val="00C159BA"/>
    <w:rsid w:val="00C15F45"/>
    <w:rsid w:val="00C16846"/>
    <w:rsid w:val="00C20731"/>
    <w:rsid w:val="00C2153F"/>
    <w:rsid w:val="00C2311B"/>
    <w:rsid w:val="00C238F5"/>
    <w:rsid w:val="00C25616"/>
    <w:rsid w:val="00C25737"/>
    <w:rsid w:val="00C30A67"/>
    <w:rsid w:val="00C32565"/>
    <w:rsid w:val="00C341F3"/>
    <w:rsid w:val="00C430C6"/>
    <w:rsid w:val="00C43888"/>
    <w:rsid w:val="00C439BE"/>
    <w:rsid w:val="00C4495B"/>
    <w:rsid w:val="00C45205"/>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6BD6"/>
    <w:rsid w:val="00C938C1"/>
    <w:rsid w:val="00C976F3"/>
    <w:rsid w:val="00CA0C39"/>
    <w:rsid w:val="00CA33B8"/>
    <w:rsid w:val="00CA38C9"/>
    <w:rsid w:val="00CA428E"/>
    <w:rsid w:val="00CA4E93"/>
    <w:rsid w:val="00CA65A0"/>
    <w:rsid w:val="00CB1C43"/>
    <w:rsid w:val="00CB3394"/>
    <w:rsid w:val="00CB5F2E"/>
    <w:rsid w:val="00CB617D"/>
    <w:rsid w:val="00CB681D"/>
    <w:rsid w:val="00CC0218"/>
    <w:rsid w:val="00CC1C62"/>
    <w:rsid w:val="00CC6C27"/>
    <w:rsid w:val="00CC719B"/>
    <w:rsid w:val="00CC7B25"/>
    <w:rsid w:val="00CC7DDA"/>
    <w:rsid w:val="00CC7E0B"/>
    <w:rsid w:val="00CD7B99"/>
    <w:rsid w:val="00CD7C7E"/>
    <w:rsid w:val="00CE114D"/>
    <w:rsid w:val="00CE3355"/>
    <w:rsid w:val="00CE40BB"/>
    <w:rsid w:val="00CE4F75"/>
    <w:rsid w:val="00CF1782"/>
    <w:rsid w:val="00CF2597"/>
    <w:rsid w:val="00CF36EA"/>
    <w:rsid w:val="00CF64D3"/>
    <w:rsid w:val="00CF6871"/>
    <w:rsid w:val="00CF7365"/>
    <w:rsid w:val="00CF78EF"/>
    <w:rsid w:val="00D00B30"/>
    <w:rsid w:val="00D03896"/>
    <w:rsid w:val="00D0648B"/>
    <w:rsid w:val="00D0720C"/>
    <w:rsid w:val="00D10091"/>
    <w:rsid w:val="00D11C9F"/>
    <w:rsid w:val="00D133EB"/>
    <w:rsid w:val="00D157CE"/>
    <w:rsid w:val="00D1678B"/>
    <w:rsid w:val="00D22C9A"/>
    <w:rsid w:val="00D2304D"/>
    <w:rsid w:val="00D23636"/>
    <w:rsid w:val="00D31F48"/>
    <w:rsid w:val="00D36206"/>
    <w:rsid w:val="00D409A0"/>
    <w:rsid w:val="00D4153A"/>
    <w:rsid w:val="00D44B82"/>
    <w:rsid w:val="00D462D0"/>
    <w:rsid w:val="00D469FE"/>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7D4"/>
    <w:rsid w:val="00D90B8A"/>
    <w:rsid w:val="00D92E12"/>
    <w:rsid w:val="00D9476C"/>
    <w:rsid w:val="00D95974"/>
    <w:rsid w:val="00D9683B"/>
    <w:rsid w:val="00DA0273"/>
    <w:rsid w:val="00DA3015"/>
    <w:rsid w:val="00DA41BB"/>
    <w:rsid w:val="00DA686F"/>
    <w:rsid w:val="00DB0333"/>
    <w:rsid w:val="00DB5EB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1441A"/>
    <w:rsid w:val="00E15DCF"/>
    <w:rsid w:val="00E20102"/>
    <w:rsid w:val="00E20CF4"/>
    <w:rsid w:val="00E224C4"/>
    <w:rsid w:val="00E24590"/>
    <w:rsid w:val="00E275BA"/>
    <w:rsid w:val="00E331FF"/>
    <w:rsid w:val="00E33424"/>
    <w:rsid w:val="00E350E8"/>
    <w:rsid w:val="00E35AD7"/>
    <w:rsid w:val="00E36718"/>
    <w:rsid w:val="00E375FB"/>
    <w:rsid w:val="00E376E3"/>
    <w:rsid w:val="00E42FCB"/>
    <w:rsid w:val="00E46F32"/>
    <w:rsid w:val="00E50C87"/>
    <w:rsid w:val="00E51FB8"/>
    <w:rsid w:val="00E521B4"/>
    <w:rsid w:val="00E53CED"/>
    <w:rsid w:val="00E54571"/>
    <w:rsid w:val="00E5552F"/>
    <w:rsid w:val="00E556D1"/>
    <w:rsid w:val="00E56E57"/>
    <w:rsid w:val="00E5739B"/>
    <w:rsid w:val="00E623BB"/>
    <w:rsid w:val="00E657C9"/>
    <w:rsid w:val="00E65EEA"/>
    <w:rsid w:val="00E67950"/>
    <w:rsid w:val="00E7308D"/>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D3A80"/>
    <w:rsid w:val="00EE0792"/>
    <w:rsid w:val="00EE1A7B"/>
    <w:rsid w:val="00EE3215"/>
    <w:rsid w:val="00EE4316"/>
    <w:rsid w:val="00EF013D"/>
    <w:rsid w:val="00EF0779"/>
    <w:rsid w:val="00EF0E82"/>
    <w:rsid w:val="00EF19AF"/>
    <w:rsid w:val="00EF2642"/>
    <w:rsid w:val="00EF3681"/>
    <w:rsid w:val="00EF3ABE"/>
    <w:rsid w:val="00EF4C72"/>
    <w:rsid w:val="00EF5E87"/>
    <w:rsid w:val="00EF6879"/>
    <w:rsid w:val="00EF693F"/>
    <w:rsid w:val="00EF6BA4"/>
    <w:rsid w:val="00F02035"/>
    <w:rsid w:val="00F03CC5"/>
    <w:rsid w:val="00F0715F"/>
    <w:rsid w:val="00F075B5"/>
    <w:rsid w:val="00F114D5"/>
    <w:rsid w:val="00F15EBE"/>
    <w:rsid w:val="00F20226"/>
    <w:rsid w:val="00F20B32"/>
    <w:rsid w:val="00F20BC2"/>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099"/>
    <w:rsid w:val="00F725F7"/>
    <w:rsid w:val="00F7357C"/>
    <w:rsid w:val="00F74219"/>
    <w:rsid w:val="00F74D46"/>
    <w:rsid w:val="00F77CA2"/>
    <w:rsid w:val="00F85BE7"/>
    <w:rsid w:val="00F8664E"/>
    <w:rsid w:val="00F86FF8"/>
    <w:rsid w:val="00F90C7C"/>
    <w:rsid w:val="00F91F22"/>
    <w:rsid w:val="00F946E0"/>
    <w:rsid w:val="00F94814"/>
    <w:rsid w:val="00F97163"/>
    <w:rsid w:val="00FA70B4"/>
    <w:rsid w:val="00FB1C68"/>
    <w:rsid w:val="00FB1FB3"/>
    <w:rsid w:val="00FB26C7"/>
    <w:rsid w:val="00FB341B"/>
    <w:rsid w:val="00FB4823"/>
    <w:rsid w:val="00FB4EC6"/>
    <w:rsid w:val="00FB56C5"/>
    <w:rsid w:val="00FB604C"/>
    <w:rsid w:val="00FB6A46"/>
    <w:rsid w:val="00FC2245"/>
    <w:rsid w:val="00FC394F"/>
    <w:rsid w:val="00FC48AA"/>
    <w:rsid w:val="00FC525F"/>
    <w:rsid w:val="00FC57F6"/>
    <w:rsid w:val="00FC6C56"/>
    <w:rsid w:val="00FC790C"/>
    <w:rsid w:val="00FD315B"/>
    <w:rsid w:val="00FD4A6E"/>
    <w:rsid w:val="00FD5319"/>
    <w:rsid w:val="00FD57B4"/>
    <w:rsid w:val="00FD7B1D"/>
    <w:rsid w:val="00FE0070"/>
    <w:rsid w:val="00FE4C68"/>
    <w:rsid w:val="00FE5410"/>
    <w:rsid w:val="00FE6E96"/>
    <w:rsid w:val="00FE7FCA"/>
    <w:rsid w:val="00FF28DD"/>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0EFD81"/>
  <w15:docId w15:val="{96D1C977-F057-4487-A3AE-F725E009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521D11"/>
    <w:rPr>
      <w:color w:val="0070C0"/>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715852"/>
    <w:rPr>
      <w:color w:val="605E5C"/>
      <w:shd w:val="clear" w:color="auto" w:fill="E1DFDD"/>
    </w:rPr>
  </w:style>
  <w:style w:type="paragraph" w:customStyle="1" w:styleId="Figure">
    <w:name w:val="Figure"/>
    <w:basedOn w:val="Normal"/>
    <w:rsid w:val="00CF64D3"/>
    <w:pPr>
      <w:bidi w:val="0"/>
      <w:spacing w:after="240" w:line="240" w:lineRule="auto"/>
      <w:jc w:val="center"/>
    </w:pPr>
    <w:rPr>
      <w:rFonts w:ascii="Times New Roman" w:eastAsia="Times New Roman" w:hAnsi="CG Times" w:cs="Simplified Arabic" w:hint="cs"/>
      <w:noProof/>
      <w:sz w:val="24"/>
      <w:szCs w:val="30"/>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L-C-0116/en"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md/S26-CL-C-0041/en"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hyperlink" Target="https://www.itu.int/md/S26-CL-C-0041/en"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itu.int/md/S26-CL-C-0046/en" TargetMode="Externa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bas\ITU\ITU\Riz,%20Imad%20-%20Arabic%20Pool%20Drive\Templates\Arabic%20Templates%202026\SG\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PA_PP26 New.dotx</Template>
  <TotalTime>0</TotalTime>
  <Pages>11</Pages>
  <Words>2315</Words>
  <Characters>12411</Characters>
  <Application>Microsoft Office Word</Application>
  <DocSecurity>0</DocSecurity>
  <Lines>287</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After-Service Health Insurance (ASHI) liability update</dc:title>
  <dc:subject>Plenipotentiary Conference (PP-26)</dc:subject>
  <cp:keywords>PP-26, PP26, ITU</cp:keywords>
  <dc:description/>
  <dcterms:created xsi:type="dcterms:W3CDTF">2026-10-28T12:32:00Z</dcterms:created>
  <dcterms:modified xsi:type="dcterms:W3CDTF">2026-10-28T12:32:00Z</dcterms:modified>
  <cp:category>Conference document</cp:category>
</cp:coreProperties>
</file>