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15074D" w14:paraId="09D098FF" w14:textId="77777777" w:rsidTr="005A329F">
        <w:trPr>
          <w:cantSplit/>
          <w:jc w:val="center"/>
        </w:trPr>
        <w:tc>
          <w:tcPr>
            <w:tcW w:w="10031" w:type="dxa"/>
            <w:gridSpan w:val="2"/>
            <w:tcMar>
              <w:left w:w="0" w:type="dxa"/>
              <w:right w:w="0" w:type="dxa"/>
            </w:tcMar>
            <w:vAlign w:val="center"/>
          </w:tcPr>
          <w:p w14:paraId="38B16DDD" w14:textId="77777777" w:rsidR="00BF32F2" w:rsidRPr="0015074D" w:rsidRDefault="00BF32F2" w:rsidP="00BF32F2">
            <w:pPr>
              <w:spacing w:before="0" w:line="240" w:lineRule="atLeast"/>
              <w:rPr>
                <w:rFonts w:cstheme="minorHAnsi"/>
                <w:lang w:val="es-ES"/>
              </w:rPr>
            </w:pPr>
            <w:bookmarkStart w:id="0" w:name="ditulogo"/>
            <w:bookmarkEnd w:id="0"/>
            <w:r w:rsidRPr="0015074D">
              <w:rPr>
                <w:rFonts w:cstheme="minorHAnsi"/>
                <w:noProof/>
                <w:lang w:val="es-ES"/>
              </w:rPr>
              <w:drawing>
                <wp:anchor distT="0" distB="0" distL="0" distR="0" simplePos="0" relativeHeight="251658240" behindDoc="1" locked="0" layoutInCell="1" allowOverlap="1" wp14:anchorId="4235B07B" wp14:editId="20C0414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15074D" w14:paraId="277C8D85" w14:textId="77777777" w:rsidTr="005A329F">
        <w:trPr>
          <w:cantSplit/>
          <w:trHeight w:val="283"/>
          <w:jc w:val="center"/>
        </w:trPr>
        <w:tc>
          <w:tcPr>
            <w:tcW w:w="10031" w:type="dxa"/>
            <w:gridSpan w:val="2"/>
            <w:tcBorders>
              <w:bottom w:val="single" w:sz="12" w:space="0" w:color="71716F"/>
            </w:tcBorders>
          </w:tcPr>
          <w:p w14:paraId="228A1CB8" w14:textId="77777777" w:rsidR="00277985" w:rsidRPr="0015074D" w:rsidRDefault="00277985" w:rsidP="00BF32F2">
            <w:pPr>
              <w:spacing w:before="0" w:line="240" w:lineRule="atLeast"/>
              <w:rPr>
                <w:rFonts w:cstheme="minorHAnsi"/>
                <w:b/>
                <w:smallCaps/>
                <w:szCs w:val="24"/>
                <w:lang w:val="es-ES"/>
              </w:rPr>
            </w:pPr>
            <w:bookmarkStart w:id="1" w:name="dhead"/>
          </w:p>
        </w:tc>
      </w:tr>
      <w:tr w:rsidR="00255FA1" w:rsidRPr="0015074D" w14:paraId="13B740CF" w14:textId="77777777" w:rsidTr="005A329F">
        <w:trPr>
          <w:cantSplit/>
          <w:trHeight w:val="255"/>
          <w:jc w:val="center"/>
        </w:trPr>
        <w:tc>
          <w:tcPr>
            <w:tcW w:w="7229" w:type="dxa"/>
            <w:tcBorders>
              <w:top w:val="single" w:sz="12" w:space="0" w:color="71716F"/>
            </w:tcBorders>
          </w:tcPr>
          <w:p w14:paraId="704DF683" w14:textId="77777777" w:rsidR="00255FA1" w:rsidRPr="0015074D"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9F6FF90" w14:textId="13B66014" w:rsidR="00255FA1" w:rsidRPr="004E322D" w:rsidRDefault="004E322D" w:rsidP="004E322D">
            <w:pPr>
              <w:spacing w:before="0"/>
              <w:rPr>
                <w:rFonts w:cstheme="minorHAnsi"/>
                <w:b/>
                <w:bCs/>
                <w:szCs w:val="24"/>
                <w:lang w:val="es-ES"/>
              </w:rPr>
            </w:pPr>
            <w:r w:rsidRPr="004E322D">
              <w:rPr>
                <w:rFonts w:cstheme="minorHAnsi"/>
                <w:b/>
                <w:bCs/>
                <w:szCs w:val="24"/>
              </w:rPr>
              <w:t>Revisión 1 a</w:t>
            </w:r>
            <w:r w:rsidRPr="004E322D">
              <w:rPr>
                <w:rFonts w:cstheme="minorHAnsi"/>
                <w:b/>
                <w:bCs/>
                <w:szCs w:val="24"/>
              </w:rPr>
              <w:t>l</w:t>
            </w:r>
          </w:p>
        </w:tc>
      </w:tr>
      <w:bookmarkEnd w:id="1"/>
      <w:tr w:rsidR="00075113" w:rsidRPr="0015074D" w14:paraId="5529B45C" w14:textId="77777777" w:rsidTr="005A329F">
        <w:trPr>
          <w:cantSplit/>
          <w:jc w:val="center"/>
        </w:trPr>
        <w:tc>
          <w:tcPr>
            <w:tcW w:w="7229" w:type="dxa"/>
          </w:tcPr>
          <w:p w14:paraId="783E04A9" w14:textId="77777777" w:rsidR="00075113" w:rsidRPr="0015074D" w:rsidRDefault="00075113" w:rsidP="00075113">
            <w:pPr>
              <w:pStyle w:val="Committee"/>
              <w:framePr w:hSpace="0" w:wrap="auto" w:hAnchor="text" w:yAlign="inline"/>
              <w:spacing w:after="0" w:line="240" w:lineRule="auto"/>
              <w:rPr>
                <w:lang w:val="es-ES"/>
              </w:rPr>
            </w:pPr>
            <w:r w:rsidRPr="0015074D">
              <w:rPr>
                <w:lang w:val="es-ES"/>
              </w:rPr>
              <w:t>SESIÓN PLENARIA</w:t>
            </w:r>
          </w:p>
        </w:tc>
        <w:tc>
          <w:tcPr>
            <w:tcW w:w="2802" w:type="dxa"/>
          </w:tcPr>
          <w:p w14:paraId="7E45C1D3" w14:textId="5FDBBAAE" w:rsidR="00075113" w:rsidRPr="0015074D" w:rsidRDefault="00075113" w:rsidP="00075113">
            <w:pPr>
              <w:spacing w:before="0"/>
              <w:rPr>
                <w:rFonts w:cstheme="minorHAnsi"/>
                <w:szCs w:val="24"/>
                <w:lang w:val="es-ES"/>
              </w:rPr>
            </w:pPr>
            <w:r w:rsidRPr="0015074D">
              <w:rPr>
                <w:rFonts w:cstheme="minorHAnsi"/>
                <w:b/>
                <w:szCs w:val="24"/>
                <w:lang w:val="es-ES"/>
              </w:rPr>
              <w:t xml:space="preserve">Documento </w:t>
            </w:r>
            <w:r w:rsidR="00614B3B" w:rsidRPr="0015074D">
              <w:rPr>
                <w:rFonts w:cstheme="minorHAnsi"/>
                <w:b/>
                <w:szCs w:val="24"/>
                <w:lang w:val="es-ES"/>
              </w:rPr>
              <w:t>70</w:t>
            </w:r>
            <w:r w:rsidRPr="0015074D">
              <w:rPr>
                <w:rFonts w:cstheme="minorHAnsi"/>
                <w:b/>
                <w:szCs w:val="24"/>
                <w:lang w:val="es-ES"/>
              </w:rPr>
              <w:t>-S</w:t>
            </w:r>
          </w:p>
        </w:tc>
      </w:tr>
      <w:tr w:rsidR="00075113" w:rsidRPr="0015074D" w14:paraId="58B9147E" w14:textId="77777777" w:rsidTr="005A329F">
        <w:trPr>
          <w:cantSplit/>
          <w:jc w:val="center"/>
        </w:trPr>
        <w:tc>
          <w:tcPr>
            <w:tcW w:w="7229" w:type="dxa"/>
          </w:tcPr>
          <w:p w14:paraId="3BF91F3D" w14:textId="77777777" w:rsidR="00075113" w:rsidRPr="0015074D" w:rsidRDefault="00075113" w:rsidP="00075113">
            <w:pPr>
              <w:spacing w:before="0"/>
              <w:rPr>
                <w:rFonts w:cstheme="minorHAnsi"/>
                <w:b/>
                <w:szCs w:val="24"/>
                <w:lang w:val="es-ES"/>
              </w:rPr>
            </w:pPr>
          </w:p>
        </w:tc>
        <w:tc>
          <w:tcPr>
            <w:tcW w:w="2802" w:type="dxa"/>
          </w:tcPr>
          <w:p w14:paraId="5F303DA0" w14:textId="177948CA" w:rsidR="00075113" w:rsidRPr="0015074D" w:rsidRDefault="0008557E" w:rsidP="00075113">
            <w:pPr>
              <w:spacing w:before="0"/>
              <w:rPr>
                <w:rFonts w:cstheme="minorHAnsi"/>
                <w:b/>
                <w:szCs w:val="24"/>
                <w:lang w:val="es-ES"/>
              </w:rPr>
            </w:pPr>
            <w:r w:rsidRPr="0015074D">
              <w:rPr>
                <w:rFonts w:cstheme="minorHAnsi"/>
                <w:b/>
                <w:szCs w:val="24"/>
                <w:lang w:val="es-ES"/>
              </w:rPr>
              <w:t xml:space="preserve">23 </w:t>
            </w:r>
            <w:r w:rsidR="00614B3B" w:rsidRPr="0015074D">
              <w:rPr>
                <w:rFonts w:cstheme="minorHAnsi"/>
                <w:b/>
                <w:szCs w:val="24"/>
                <w:lang w:val="es-ES"/>
              </w:rPr>
              <w:t>de octubre de 2026</w:t>
            </w:r>
          </w:p>
        </w:tc>
      </w:tr>
      <w:tr w:rsidR="00075113" w:rsidRPr="0015074D" w14:paraId="369A8418" w14:textId="77777777" w:rsidTr="005A329F">
        <w:trPr>
          <w:cantSplit/>
          <w:jc w:val="center"/>
        </w:trPr>
        <w:tc>
          <w:tcPr>
            <w:tcW w:w="7229" w:type="dxa"/>
          </w:tcPr>
          <w:p w14:paraId="4F53F8CB" w14:textId="77777777" w:rsidR="00075113" w:rsidRPr="0015074D" w:rsidRDefault="00075113" w:rsidP="00075113">
            <w:pPr>
              <w:spacing w:before="0"/>
              <w:rPr>
                <w:rFonts w:cstheme="minorHAnsi"/>
                <w:b/>
                <w:smallCaps/>
                <w:szCs w:val="24"/>
                <w:lang w:val="es-ES"/>
              </w:rPr>
            </w:pPr>
          </w:p>
        </w:tc>
        <w:tc>
          <w:tcPr>
            <w:tcW w:w="2802" w:type="dxa"/>
          </w:tcPr>
          <w:p w14:paraId="637C6779" w14:textId="77777777" w:rsidR="00075113" w:rsidRPr="0015074D" w:rsidRDefault="00075113" w:rsidP="00075113">
            <w:pPr>
              <w:spacing w:before="0"/>
              <w:rPr>
                <w:rFonts w:cstheme="minorHAnsi"/>
                <w:b/>
                <w:szCs w:val="24"/>
                <w:lang w:val="es-ES"/>
              </w:rPr>
            </w:pPr>
            <w:r w:rsidRPr="0015074D">
              <w:rPr>
                <w:rFonts w:cstheme="minorHAnsi"/>
                <w:b/>
                <w:szCs w:val="24"/>
                <w:lang w:val="es-ES"/>
              </w:rPr>
              <w:t>Original: inglés</w:t>
            </w:r>
          </w:p>
        </w:tc>
      </w:tr>
      <w:tr w:rsidR="00075113" w:rsidRPr="0015074D" w14:paraId="4EB39A4B" w14:textId="77777777" w:rsidTr="005A329F">
        <w:trPr>
          <w:cantSplit/>
          <w:jc w:val="center"/>
        </w:trPr>
        <w:tc>
          <w:tcPr>
            <w:tcW w:w="10031" w:type="dxa"/>
            <w:gridSpan w:val="2"/>
          </w:tcPr>
          <w:p w14:paraId="60CA5F37" w14:textId="77777777" w:rsidR="00075113" w:rsidRPr="0015074D" w:rsidRDefault="00075113" w:rsidP="00075113">
            <w:pPr>
              <w:spacing w:before="0" w:line="240" w:lineRule="atLeast"/>
              <w:rPr>
                <w:rFonts w:cstheme="minorHAnsi"/>
                <w:b/>
                <w:szCs w:val="24"/>
                <w:lang w:val="es-ES"/>
              </w:rPr>
            </w:pPr>
          </w:p>
        </w:tc>
      </w:tr>
      <w:tr w:rsidR="00075113" w:rsidRPr="0015074D" w14:paraId="52E74085" w14:textId="77777777" w:rsidTr="005A329F">
        <w:trPr>
          <w:cantSplit/>
          <w:jc w:val="center"/>
        </w:trPr>
        <w:tc>
          <w:tcPr>
            <w:tcW w:w="10031" w:type="dxa"/>
            <w:gridSpan w:val="2"/>
          </w:tcPr>
          <w:p w14:paraId="5B331CDD" w14:textId="6B9529F6" w:rsidR="00075113" w:rsidRPr="0015074D" w:rsidRDefault="00614B3B" w:rsidP="00075113">
            <w:pPr>
              <w:pStyle w:val="Source"/>
              <w:rPr>
                <w:lang w:val="es-ES"/>
              </w:rPr>
            </w:pPr>
            <w:bookmarkStart w:id="2" w:name="dsource" w:colFirst="0" w:colLast="0"/>
            <w:r w:rsidRPr="0015074D">
              <w:rPr>
                <w:lang w:val="es-ES"/>
              </w:rPr>
              <w:t>Informe de la Secretaria Genera</w:t>
            </w:r>
            <w:r w:rsidR="00D166DD" w:rsidRPr="0015074D">
              <w:rPr>
                <w:lang w:val="es-ES"/>
              </w:rPr>
              <w:t>l</w:t>
            </w:r>
          </w:p>
        </w:tc>
      </w:tr>
      <w:tr w:rsidR="00075113" w:rsidRPr="0015074D" w14:paraId="691A4E8F" w14:textId="77777777" w:rsidTr="005A329F">
        <w:trPr>
          <w:cantSplit/>
          <w:jc w:val="center"/>
        </w:trPr>
        <w:tc>
          <w:tcPr>
            <w:tcW w:w="10031" w:type="dxa"/>
            <w:gridSpan w:val="2"/>
          </w:tcPr>
          <w:p w14:paraId="0CA32049" w14:textId="7437CFBD" w:rsidR="00075113" w:rsidRPr="0015074D" w:rsidRDefault="00614B3B" w:rsidP="0008557E">
            <w:pPr>
              <w:pStyle w:val="Title1"/>
              <w:rPr>
                <w:lang w:val="es-ES"/>
              </w:rPr>
            </w:pPr>
            <w:bookmarkStart w:id="3" w:name="dtitle1" w:colFirst="0" w:colLast="0"/>
            <w:bookmarkEnd w:id="2"/>
            <w:r w:rsidRPr="0015074D">
              <w:rPr>
                <w:lang w:val="es-ES"/>
              </w:rPr>
              <w:t xml:space="preserve">Resolución 1436 –repercusiones </w:t>
            </w:r>
            <w:r w:rsidR="0008557E" w:rsidRPr="0015074D">
              <w:rPr>
                <w:lang w:val="es-ES"/>
              </w:rPr>
              <w:t>en</w:t>
            </w:r>
            <w:r w:rsidRPr="0015074D">
              <w:rPr>
                <w:lang w:val="es-ES"/>
              </w:rPr>
              <w:t xml:space="preserve"> la infraestructura</w:t>
            </w:r>
            <w:r w:rsidR="007F0A56" w:rsidRPr="0015074D">
              <w:rPr>
                <w:lang w:val="es-ES"/>
              </w:rPr>
              <w:br/>
            </w:r>
            <w:r w:rsidRPr="0015074D">
              <w:rPr>
                <w:lang w:val="es-ES"/>
              </w:rPr>
              <w:t xml:space="preserve">de telecomunicaciones/TIC </w:t>
            </w:r>
            <w:r w:rsidR="0008557E" w:rsidRPr="0015074D">
              <w:rPr>
                <w:lang w:val="es-ES"/>
              </w:rPr>
              <w:t xml:space="preserve">CIVIL </w:t>
            </w:r>
            <w:r w:rsidRPr="0015074D">
              <w:rPr>
                <w:lang w:val="es-ES"/>
              </w:rPr>
              <w:t>en Bahrein, Kuwait,</w:t>
            </w:r>
            <w:r w:rsidR="007F0A56" w:rsidRPr="0015074D">
              <w:rPr>
                <w:lang w:val="es-ES"/>
              </w:rPr>
              <w:br/>
            </w:r>
            <w:r w:rsidRPr="0015074D">
              <w:rPr>
                <w:lang w:val="es-ES"/>
              </w:rPr>
              <w:t>los</w:t>
            </w:r>
            <w:r w:rsidR="007F0A56" w:rsidRPr="0015074D">
              <w:rPr>
                <w:lang w:val="es-ES"/>
              </w:rPr>
              <w:t xml:space="preserve"> </w:t>
            </w:r>
            <w:r w:rsidRPr="0015074D">
              <w:rPr>
                <w:lang w:val="es-ES"/>
              </w:rPr>
              <w:t>Emiratos Árabes Unidos y Jordania</w:t>
            </w:r>
            <w:r w:rsidR="0008557E" w:rsidRPr="0015074D">
              <w:rPr>
                <w:lang w:val="es-ES"/>
              </w:rPr>
              <w:t xml:space="preserve"> y</w:t>
            </w:r>
            <w:r w:rsidR="007F0A56" w:rsidRPr="0015074D">
              <w:rPr>
                <w:lang w:val="es-ES"/>
              </w:rPr>
              <w:br/>
            </w:r>
            <w:r w:rsidR="0008557E" w:rsidRPr="0015074D">
              <w:rPr>
                <w:lang w:val="es-ES"/>
              </w:rPr>
              <w:t>sus implicaciones</w:t>
            </w:r>
            <w:r w:rsidR="007F0A56" w:rsidRPr="0015074D">
              <w:rPr>
                <w:lang w:val="es-ES"/>
              </w:rPr>
              <w:t xml:space="preserve"> </w:t>
            </w:r>
            <w:r w:rsidR="0008557E" w:rsidRPr="0015074D">
              <w:rPr>
                <w:lang w:val="es-ES"/>
              </w:rPr>
              <w:t>para la conectividad</w:t>
            </w:r>
            <w:r w:rsidR="007F0A56" w:rsidRPr="0015074D">
              <w:rPr>
                <w:lang w:val="es-ES"/>
              </w:rPr>
              <w:br/>
            </w:r>
            <w:r w:rsidR="0008557E" w:rsidRPr="0015074D">
              <w:rPr>
                <w:lang w:val="es-ES"/>
              </w:rPr>
              <w:t>regional y mundial</w:t>
            </w:r>
          </w:p>
        </w:tc>
      </w:tr>
      <w:tr w:rsidR="00075113" w:rsidRPr="0015074D" w14:paraId="32B085AC" w14:textId="77777777" w:rsidTr="005A329F">
        <w:trPr>
          <w:cantSplit/>
          <w:jc w:val="center"/>
        </w:trPr>
        <w:tc>
          <w:tcPr>
            <w:tcW w:w="10031" w:type="dxa"/>
            <w:gridSpan w:val="2"/>
          </w:tcPr>
          <w:p w14:paraId="3144AD13" w14:textId="3417BDFE" w:rsidR="00075113" w:rsidRPr="0015074D" w:rsidRDefault="00614B3B" w:rsidP="00075113">
            <w:pPr>
              <w:pStyle w:val="Title2"/>
              <w:rPr>
                <w:lang w:val="es-ES"/>
              </w:rPr>
            </w:pPr>
            <w:bookmarkStart w:id="4" w:name="dtitle2" w:colFirst="0" w:colLast="0"/>
            <w:bookmarkEnd w:id="3"/>
            <w:r w:rsidRPr="0015074D">
              <w:rPr>
                <w:color w:val="000000"/>
                <w:lang w:val="es-ES"/>
              </w:rPr>
              <w:t>Informe provisional</w:t>
            </w:r>
          </w:p>
        </w:tc>
      </w:tr>
      <w:tr w:rsidR="00075113" w:rsidRPr="0015074D" w14:paraId="0E1809EA" w14:textId="77777777" w:rsidTr="005A329F">
        <w:trPr>
          <w:cantSplit/>
          <w:jc w:val="center"/>
        </w:trPr>
        <w:tc>
          <w:tcPr>
            <w:tcW w:w="10031" w:type="dxa"/>
            <w:gridSpan w:val="2"/>
          </w:tcPr>
          <w:p w14:paraId="3904F42C" w14:textId="77777777" w:rsidR="00075113" w:rsidRPr="0015074D" w:rsidRDefault="00075113" w:rsidP="00075113">
            <w:pPr>
              <w:pStyle w:val="Agendaitem"/>
              <w:rPr>
                <w:lang w:val="es-ES"/>
              </w:rPr>
            </w:pPr>
            <w:bookmarkStart w:id="5" w:name="dtitle3" w:colFirst="0" w:colLast="0"/>
            <w:bookmarkEnd w:id="4"/>
          </w:p>
        </w:tc>
      </w:tr>
      <w:bookmarkEnd w:id="5"/>
    </w:tbl>
    <w:p w14:paraId="4B4105E3" w14:textId="5098CFA6" w:rsidR="00504FD4" w:rsidRPr="0015074D" w:rsidRDefault="00504FD4" w:rsidP="00930E84">
      <w:pPr>
        <w:rPr>
          <w:lang w:val="es-ES"/>
        </w:rPr>
      </w:pPr>
    </w:p>
    <w:tbl>
      <w:tblPr>
        <w:tblStyle w:val="TableGrid"/>
        <w:tblW w:w="0" w:type="auto"/>
        <w:jc w:val="center"/>
        <w:tblLook w:val="04A0" w:firstRow="1" w:lastRow="0" w:firstColumn="1" w:lastColumn="0" w:noHBand="0" w:noVBand="1"/>
      </w:tblPr>
      <w:tblGrid>
        <w:gridCol w:w="8222"/>
      </w:tblGrid>
      <w:tr w:rsidR="00614B3B" w:rsidRPr="0015074D" w14:paraId="37000E58" w14:textId="77777777" w:rsidTr="00CE2E37">
        <w:trPr>
          <w:jc w:val="center"/>
        </w:trPr>
        <w:tc>
          <w:tcPr>
            <w:tcW w:w="8222" w:type="dxa"/>
          </w:tcPr>
          <w:p w14:paraId="070750F8" w14:textId="77777777" w:rsidR="00614B3B" w:rsidRPr="0015074D" w:rsidRDefault="00614B3B" w:rsidP="00614B3B">
            <w:pPr>
              <w:pStyle w:val="Headingb"/>
              <w:rPr>
                <w:lang w:val="es-ES"/>
              </w:rPr>
            </w:pPr>
            <w:r w:rsidRPr="0015074D">
              <w:rPr>
                <w:lang w:val="es-ES"/>
              </w:rPr>
              <w:lastRenderedPageBreak/>
              <w:t>Resumen</w:t>
            </w:r>
          </w:p>
          <w:p w14:paraId="3EB9FC2E" w14:textId="77777777" w:rsidR="00614B3B" w:rsidRPr="0015074D" w:rsidRDefault="00614B3B" w:rsidP="00EC2C12">
            <w:pPr>
              <w:rPr>
                <w:lang w:val="es-ES"/>
              </w:rPr>
            </w:pPr>
            <w:r w:rsidRPr="0015074D">
              <w:rPr>
                <w:lang w:val="es-ES"/>
              </w:rPr>
              <w:t>De conformidad con la Resolución 1436 del Consejo, el presente documento contiene un informe provisional sobre las repercusiones de los ataques a la infraestructura de telecomunicaciones/TIC en Bahrein, Kuwait, los Emiratos Árabes Unidos y Jordania, con una evaluación de los daños. Presenta las repercusiones preliminares, en particular las derivadas de los daños causados a los centros de datos de Bahrein y los Emiratos Árabes Unidos. Además, en el informe se destaca el mayor riesgo de vulnerabilidad de los cables submarinos y la red básica Internet que conecta a los respectivos países. El mismo informe se presenta a la última reunión del Consejo de 2026.</w:t>
            </w:r>
          </w:p>
          <w:p w14:paraId="000C527F" w14:textId="77777777" w:rsidR="00614B3B" w:rsidRPr="0015074D" w:rsidRDefault="00614B3B" w:rsidP="00614B3B">
            <w:pPr>
              <w:pStyle w:val="Headingb"/>
              <w:rPr>
                <w:lang w:val="es-ES"/>
              </w:rPr>
            </w:pPr>
            <w:r w:rsidRPr="0015074D">
              <w:rPr>
                <w:lang w:val="es-ES"/>
              </w:rPr>
              <w:t>Acción</w:t>
            </w:r>
            <w:r w:rsidRPr="0015074D">
              <w:rPr>
                <w:bCs/>
                <w:color w:val="000000"/>
                <w:lang w:val="es-ES"/>
              </w:rPr>
              <w:t xml:space="preserve"> </w:t>
            </w:r>
            <w:r w:rsidRPr="0015074D">
              <w:rPr>
                <w:lang w:val="es-ES"/>
              </w:rPr>
              <w:t>solicitada</w:t>
            </w:r>
          </w:p>
          <w:p w14:paraId="73C5872F" w14:textId="4D80A43D" w:rsidR="00614B3B" w:rsidRPr="0015074D" w:rsidRDefault="00614B3B" w:rsidP="00EC2C12">
            <w:pPr>
              <w:rPr>
                <w:lang w:val="es-ES"/>
              </w:rPr>
            </w:pPr>
            <w:r w:rsidRPr="0015074D">
              <w:rPr>
                <w:lang w:val="es-ES"/>
              </w:rPr>
              <w:t xml:space="preserve">Se invita a la Conferencia de Plenipotenciarios a </w:t>
            </w:r>
            <w:r w:rsidRPr="0015074D">
              <w:rPr>
                <w:b/>
                <w:bCs/>
                <w:lang w:val="es-ES"/>
              </w:rPr>
              <w:t>examinar</w:t>
            </w:r>
            <w:r w:rsidRPr="0015074D">
              <w:rPr>
                <w:lang w:val="es-ES"/>
              </w:rPr>
              <w:t xml:space="preserve"> el presente informe y a </w:t>
            </w:r>
            <w:r w:rsidRPr="0015074D">
              <w:rPr>
                <w:b/>
                <w:bCs/>
                <w:lang w:val="es-ES"/>
              </w:rPr>
              <w:t>acordar</w:t>
            </w:r>
            <w:r w:rsidRPr="0015074D">
              <w:rPr>
                <w:lang w:val="es-ES"/>
              </w:rPr>
              <w:t xml:space="preserve"> ampliar la presentación del informe completo a la reunión del Consejo de</w:t>
            </w:r>
            <w:r w:rsidR="00CE2E37" w:rsidRPr="0015074D">
              <w:rPr>
                <w:lang w:val="es-ES"/>
              </w:rPr>
              <w:t> </w:t>
            </w:r>
            <w:r w:rsidRPr="0015074D">
              <w:rPr>
                <w:lang w:val="es-ES"/>
              </w:rPr>
              <w:t>2027.</w:t>
            </w:r>
            <w:bookmarkStart w:id="6" w:name="OLE_LINK1"/>
            <w:bookmarkEnd w:id="6"/>
          </w:p>
          <w:p w14:paraId="7BE006FD" w14:textId="77777777" w:rsidR="00614B3B" w:rsidRPr="0015074D" w:rsidRDefault="00614B3B" w:rsidP="00EC2C12">
            <w:pPr>
              <w:pStyle w:val="Headingb"/>
              <w:rPr>
                <w:lang w:val="es-ES"/>
              </w:rPr>
            </w:pPr>
            <w:r w:rsidRPr="0015074D">
              <w:rPr>
                <w:lang w:val="es-ES"/>
              </w:rPr>
              <w:t>Consecuencias financieras</w:t>
            </w:r>
          </w:p>
          <w:p w14:paraId="5C791B8F" w14:textId="77777777" w:rsidR="00614B3B" w:rsidRPr="0015074D" w:rsidRDefault="00614B3B" w:rsidP="00EC2C12">
            <w:pPr>
              <w:rPr>
                <w:lang w:val="es-ES"/>
              </w:rPr>
            </w:pPr>
            <w:r w:rsidRPr="0015074D">
              <w:rPr>
                <w:lang w:val="es-ES"/>
              </w:rPr>
              <w:t>Sin repercusiones adicionales.</w:t>
            </w:r>
          </w:p>
          <w:p w14:paraId="2D231C56" w14:textId="77777777" w:rsidR="00614B3B" w:rsidRPr="0015074D" w:rsidRDefault="00614B3B" w:rsidP="00614B3B">
            <w:pPr>
              <w:jc w:val="center"/>
              <w:rPr>
                <w:lang w:val="es-ES"/>
              </w:rPr>
            </w:pPr>
            <w:r w:rsidRPr="0015074D">
              <w:rPr>
                <w:color w:val="000000"/>
                <w:lang w:val="es-ES"/>
              </w:rPr>
              <w:t>______________</w:t>
            </w:r>
          </w:p>
          <w:p w14:paraId="3702CB7C" w14:textId="77777777" w:rsidR="00614B3B" w:rsidRPr="0015074D" w:rsidRDefault="00614B3B" w:rsidP="00614B3B">
            <w:pPr>
              <w:pStyle w:val="Headingb"/>
              <w:rPr>
                <w:lang w:val="es-ES"/>
              </w:rPr>
            </w:pPr>
            <w:r w:rsidRPr="0015074D">
              <w:rPr>
                <w:lang w:val="es-ES"/>
              </w:rPr>
              <w:t>Referencias</w:t>
            </w:r>
          </w:p>
          <w:p w14:paraId="65F3047D" w14:textId="3BE82548" w:rsidR="00614B3B" w:rsidRPr="0015074D" w:rsidRDefault="00614B3B" w:rsidP="00614B3B">
            <w:pPr>
              <w:rPr>
                <w:lang w:val="es-ES"/>
              </w:rPr>
            </w:pPr>
            <w:r w:rsidRPr="0015074D">
              <w:rPr>
                <w:i/>
                <w:iCs/>
                <w:color w:val="000000"/>
                <w:sz w:val="22"/>
                <w:szCs w:val="22"/>
                <w:lang w:val="es-ES"/>
              </w:rPr>
              <w:t xml:space="preserve">Resolución </w:t>
            </w:r>
            <w:hyperlink r:id="rId9" w:history="1">
              <w:r w:rsidRPr="0015074D">
                <w:rPr>
                  <w:rStyle w:val="Hyperlink"/>
                  <w:i/>
                  <w:iCs/>
                  <w:sz w:val="22"/>
                  <w:szCs w:val="22"/>
                  <w:lang w:val="es-ES"/>
                </w:rPr>
                <w:t>1436 (C26)</w:t>
              </w:r>
            </w:hyperlink>
            <w:r w:rsidRPr="0015074D">
              <w:rPr>
                <w:i/>
                <w:iCs/>
                <w:color w:val="000000"/>
                <w:sz w:val="22"/>
                <w:szCs w:val="22"/>
                <w:lang w:val="es-ES"/>
              </w:rPr>
              <w:t xml:space="preserve"> del Consejo de la UIT.</w:t>
            </w:r>
          </w:p>
        </w:tc>
      </w:tr>
    </w:tbl>
    <w:p w14:paraId="1162E115" w14:textId="77777777" w:rsidR="00614B3B" w:rsidRPr="0015074D" w:rsidRDefault="00614B3B" w:rsidP="00930E84">
      <w:pPr>
        <w:rPr>
          <w:lang w:val="es-ES"/>
        </w:rPr>
      </w:pPr>
    </w:p>
    <w:p w14:paraId="645EA21F" w14:textId="77777777" w:rsidR="00614B3B" w:rsidRPr="0015074D" w:rsidRDefault="00255FA1" w:rsidP="00614B3B">
      <w:pPr>
        <w:pStyle w:val="Heading1"/>
        <w:rPr>
          <w:lang w:val="es-ES"/>
        </w:rPr>
      </w:pPr>
      <w:r w:rsidRPr="0015074D">
        <w:rPr>
          <w:rStyle w:val="PageNumber"/>
          <w:lang w:val="es-ES"/>
        </w:rPr>
        <w:br w:type="page"/>
      </w:r>
      <w:r w:rsidR="00614B3B" w:rsidRPr="0015074D">
        <w:rPr>
          <w:bCs/>
          <w:lang w:val="es-ES"/>
        </w:rPr>
        <w:lastRenderedPageBreak/>
        <w:t>1</w:t>
      </w:r>
      <w:r w:rsidR="00614B3B" w:rsidRPr="0015074D">
        <w:rPr>
          <w:lang w:val="es-ES"/>
        </w:rPr>
        <w:tab/>
        <w:t xml:space="preserve">Antecedentes </w:t>
      </w:r>
    </w:p>
    <w:p w14:paraId="1D7E5A14" w14:textId="10729303" w:rsidR="00614B3B" w:rsidRPr="0015074D" w:rsidRDefault="00614B3B" w:rsidP="00EC2C12">
      <w:pPr>
        <w:rPr>
          <w:lang w:val="es-ES"/>
        </w:rPr>
      </w:pPr>
      <w:r w:rsidRPr="0015074D">
        <w:rPr>
          <w:lang w:val="es-ES"/>
        </w:rPr>
        <w:t>En su reunión de 2026, el Consejo de la UIT adoptó la Resolución</w:t>
      </w:r>
      <w:r w:rsidR="005676B3" w:rsidRPr="0015074D">
        <w:rPr>
          <w:lang w:val="es-ES"/>
        </w:rPr>
        <w:t> </w:t>
      </w:r>
      <w:r w:rsidRPr="0015074D">
        <w:rPr>
          <w:lang w:val="es-ES"/>
        </w:rPr>
        <w:t>1436 sobre las repercusiones de los ataques a la infraestructura de telecomunicaciones/TIC de Bahrein, Kuwait, los Emiratos Árabes Unidos y Jordania, y sus consecuencias para la conectividad regional y mundial</w:t>
      </w:r>
      <w:r w:rsidRPr="0015074D">
        <w:rPr>
          <w:rStyle w:val="FootnoteReference"/>
          <w:lang w:val="es-ES"/>
        </w:rPr>
        <w:footnoteReference w:id="1"/>
      </w:r>
      <w:r w:rsidR="00CE43E8" w:rsidRPr="0015074D">
        <w:rPr>
          <w:lang w:val="es-ES"/>
        </w:rPr>
        <w:t>.</w:t>
      </w:r>
      <w:r w:rsidRPr="0015074D">
        <w:rPr>
          <w:lang w:val="es-ES"/>
        </w:rPr>
        <w:t xml:space="preserve"> En la Resolución</w:t>
      </w:r>
      <w:r w:rsidR="005676B3" w:rsidRPr="0015074D">
        <w:rPr>
          <w:lang w:val="es-ES"/>
        </w:rPr>
        <w:t> </w:t>
      </w:r>
      <w:r w:rsidRPr="0015074D">
        <w:rPr>
          <w:lang w:val="es-ES"/>
        </w:rPr>
        <w:t>1436 se encarga a los Directores de las tres Oficinas que supervisen y presenten informes periódicos sobre los ataques a la infraestructura de telecomunicaciones y TIC en Bahrein, Kuwait, los Emiratos Árabes Unidos y Jordania, y que evalúen la repercusión de estos ataques en la infraestructura, los servicios y los programas de la UIT de telecomunicaciones.</w:t>
      </w:r>
    </w:p>
    <w:p w14:paraId="13526A70" w14:textId="1BFABC05" w:rsidR="00614B3B" w:rsidRPr="0015074D" w:rsidRDefault="00614B3B" w:rsidP="00EC2C12">
      <w:pPr>
        <w:rPr>
          <w:lang w:val="es-ES"/>
        </w:rPr>
      </w:pPr>
      <w:r w:rsidRPr="0015074D">
        <w:rPr>
          <w:lang w:val="es-ES"/>
        </w:rPr>
        <w:t>Por consiguiente, sobre la base de las instrucciones establecidas en la Resolución</w:t>
      </w:r>
      <w:r w:rsidR="00127649" w:rsidRPr="0015074D">
        <w:rPr>
          <w:lang w:val="es-ES"/>
        </w:rPr>
        <w:t> </w:t>
      </w:r>
      <w:r w:rsidRPr="0015074D">
        <w:rPr>
          <w:lang w:val="es-ES"/>
        </w:rPr>
        <w:t>1436, este informe provisional</w:t>
      </w:r>
      <w:r w:rsidR="00127649" w:rsidRPr="0015074D">
        <w:rPr>
          <w:lang w:val="es-ES"/>
        </w:rPr>
        <w:t xml:space="preserve"> </w:t>
      </w:r>
      <w:r w:rsidRPr="0015074D">
        <w:rPr>
          <w:lang w:val="es-ES"/>
        </w:rPr>
        <w:t>tiene por objeto proporcionar una evaluación analítica que aborde:</w:t>
      </w:r>
    </w:p>
    <w:p w14:paraId="5BCA14DD" w14:textId="524BE6EB" w:rsidR="00614B3B" w:rsidRPr="0015074D" w:rsidRDefault="00127649" w:rsidP="00EC2C12">
      <w:pPr>
        <w:pStyle w:val="enumlev1"/>
        <w:rPr>
          <w:lang w:val="es-ES"/>
        </w:rPr>
      </w:pPr>
      <w:r w:rsidRPr="0015074D">
        <w:rPr>
          <w:lang w:val="es-ES"/>
        </w:rPr>
        <w:t>•</w:t>
      </w:r>
      <w:r w:rsidRPr="0015074D">
        <w:rPr>
          <w:lang w:val="es-ES"/>
        </w:rPr>
        <w:tab/>
      </w:r>
      <w:r w:rsidR="00614B3B" w:rsidRPr="0015074D">
        <w:rPr>
          <w:lang w:val="es-ES"/>
        </w:rPr>
        <w:t>La identificación de los eventos e infraestructura y servicios de telecomunicaciones/TIC afectados en Bahrein, Kuwait, los Emiratos Árabes Unidos y Jordania.</w:t>
      </w:r>
    </w:p>
    <w:p w14:paraId="728F5BBE" w14:textId="5F6261AF" w:rsidR="00614B3B" w:rsidRPr="0015074D" w:rsidRDefault="00127649" w:rsidP="00EC2C12">
      <w:pPr>
        <w:pStyle w:val="enumlev1"/>
        <w:rPr>
          <w:lang w:val="es-ES"/>
        </w:rPr>
      </w:pPr>
      <w:r w:rsidRPr="0015074D">
        <w:rPr>
          <w:lang w:val="es-ES"/>
        </w:rPr>
        <w:t>•</w:t>
      </w:r>
      <w:r w:rsidRPr="0015074D">
        <w:rPr>
          <w:lang w:val="es-ES"/>
        </w:rPr>
        <w:tab/>
      </w:r>
      <w:r w:rsidR="00614B3B" w:rsidRPr="0015074D">
        <w:rPr>
          <w:lang w:val="es-ES"/>
        </w:rPr>
        <w:t>La evaluación de los daños y las repercusiones de los ataques contra los servicios e infraestructuras de telecomunicaciones en Bahrein, Kuwait, los Emiratos Árabes Unidos y Jordania, incluidas sus consecuencias a nivel mundial.</w:t>
      </w:r>
    </w:p>
    <w:p w14:paraId="00BF72BA" w14:textId="5C4A574E" w:rsidR="00614B3B" w:rsidRPr="0015074D" w:rsidRDefault="00614B3B" w:rsidP="00EC2C12">
      <w:pPr>
        <w:rPr>
          <w:sz w:val="22"/>
          <w:szCs w:val="22"/>
          <w:lang w:val="es-ES"/>
        </w:rPr>
      </w:pPr>
      <w:r w:rsidRPr="0015074D">
        <w:rPr>
          <w:lang w:val="es-ES"/>
        </w:rPr>
        <w:t>En este informe provisional se presentan resultados preliminares basados en la literatura y en un examen documental de la información y los datos disponibles públicamente. Para completar el informe final es necesario recopilar y analizar más datos, entre otros, de fuentes primarias. Si el Consejo y/o la Conferencia de Plenipotenciarios de la UIT lo consideran oportuno, el informe final podrá presentarse en la reunión del Consejo de 2027.</w:t>
      </w:r>
    </w:p>
    <w:p w14:paraId="4BA0EFDC" w14:textId="77777777" w:rsidR="00614B3B" w:rsidRPr="0015074D" w:rsidRDefault="00614B3B" w:rsidP="008905B6">
      <w:pPr>
        <w:pStyle w:val="Heading1"/>
        <w:rPr>
          <w:lang w:val="es-ES"/>
        </w:rPr>
      </w:pPr>
      <w:r w:rsidRPr="0015074D">
        <w:rPr>
          <w:lang w:val="es-ES"/>
        </w:rPr>
        <w:t>2</w:t>
      </w:r>
      <w:r w:rsidRPr="0015074D">
        <w:rPr>
          <w:lang w:val="es-ES"/>
        </w:rPr>
        <w:tab/>
        <w:t>Eventos, activos afectados y repercusiones</w:t>
      </w:r>
    </w:p>
    <w:p w14:paraId="781E9DCA" w14:textId="77777777" w:rsidR="00614B3B" w:rsidRPr="0015074D" w:rsidRDefault="00614B3B" w:rsidP="00EC2C12">
      <w:pPr>
        <w:rPr>
          <w:lang w:val="es-ES"/>
        </w:rPr>
      </w:pPr>
      <w:r w:rsidRPr="0015074D">
        <w:rPr>
          <w:lang w:val="es-ES"/>
        </w:rPr>
        <w:t>En esta sección se enumeran los eventos en los que los ataques han afectado a la infraestructura de telecomunicaciones y TIC. Sobre la base de la información disponible públicamente, fue posible identificar los eventos relacionados en Bahrein y los Emiratos Árabes Unidos, que se enumeran en esta sección. A medida que avance la evaluación con la incorporación de fuentes de datos adicionales, en particular de fuentes primarias, podría revelarse repercusiones directas adicionales en la infraestructura de las TIC y las telecomunicaciones en los cuatro países.</w:t>
      </w:r>
    </w:p>
    <w:p w14:paraId="49985601" w14:textId="77777777" w:rsidR="00614B3B" w:rsidRPr="0015074D" w:rsidRDefault="00614B3B" w:rsidP="008B16F1">
      <w:pPr>
        <w:pStyle w:val="Heading2"/>
        <w:rPr>
          <w:lang w:val="es-ES"/>
        </w:rPr>
      </w:pPr>
      <w:r w:rsidRPr="0015074D">
        <w:rPr>
          <w:lang w:val="es-ES"/>
        </w:rPr>
        <w:t>2.1</w:t>
      </w:r>
      <w:r w:rsidRPr="0015074D">
        <w:rPr>
          <w:lang w:val="es-ES"/>
        </w:rPr>
        <w:tab/>
        <w:t>Marzo de 2026: daños a los centros de datos de Amazon Web Services en los Emiratos Árabes Unidos y Bahrein</w:t>
      </w:r>
    </w:p>
    <w:p w14:paraId="74283582" w14:textId="48B9A0A6" w:rsidR="00614B3B" w:rsidRPr="0015074D" w:rsidRDefault="00614B3B" w:rsidP="00EC2C12">
      <w:pPr>
        <w:rPr>
          <w:color w:val="0F141A"/>
          <w:lang w:val="es-ES"/>
        </w:rPr>
      </w:pPr>
      <w:r w:rsidRPr="0015074D">
        <w:rPr>
          <w:lang w:val="es-ES"/>
        </w:rPr>
        <w:t>El 1 de marzo de 2026, Amazon Web Services (AWS) comunicó haber sufrido una degradación en sus servicios en dos de sus Regiones</w:t>
      </w:r>
      <w:r w:rsidRPr="0015074D">
        <w:rPr>
          <w:rStyle w:val="FootnoteReference"/>
          <w:rFonts w:cs="Calibri"/>
          <w:lang w:val="es-ES"/>
        </w:rPr>
        <w:footnoteReference w:id="2"/>
      </w:r>
      <w:r w:rsidRPr="0015074D">
        <w:rPr>
          <w:szCs w:val="24"/>
          <w:lang w:val="es-ES"/>
        </w:rPr>
        <w:t>, a saber, ME</w:t>
      </w:r>
      <w:r w:rsidR="00127649" w:rsidRPr="0015074D">
        <w:rPr>
          <w:szCs w:val="24"/>
          <w:lang w:val="es-ES"/>
        </w:rPr>
        <w:noBreakHyphen/>
      </w:r>
      <w:r w:rsidRPr="0015074D">
        <w:rPr>
          <w:szCs w:val="24"/>
          <w:lang w:val="es-ES"/>
        </w:rPr>
        <w:t>CENTRAL</w:t>
      </w:r>
      <w:r w:rsidR="00127649" w:rsidRPr="0015074D">
        <w:rPr>
          <w:szCs w:val="24"/>
          <w:lang w:val="es-ES"/>
        </w:rPr>
        <w:noBreakHyphen/>
      </w:r>
      <w:r w:rsidRPr="0015074D">
        <w:rPr>
          <w:szCs w:val="24"/>
          <w:lang w:val="es-ES"/>
        </w:rPr>
        <w:t xml:space="preserve">1 en los Emiratos Árabes Unidos y </w:t>
      </w:r>
      <w:r w:rsidRPr="0015074D">
        <w:rPr>
          <w:szCs w:val="24"/>
          <w:lang w:val="es-ES"/>
        </w:rPr>
        <w:lastRenderedPageBreak/>
        <w:t>ME</w:t>
      </w:r>
      <w:r w:rsidR="00127649" w:rsidRPr="0015074D">
        <w:rPr>
          <w:szCs w:val="24"/>
          <w:lang w:val="es-ES"/>
        </w:rPr>
        <w:noBreakHyphen/>
      </w:r>
      <w:r w:rsidRPr="0015074D">
        <w:rPr>
          <w:szCs w:val="24"/>
          <w:lang w:val="es-ES"/>
        </w:rPr>
        <w:t>SOUTH</w:t>
      </w:r>
      <w:r w:rsidR="00127649" w:rsidRPr="0015074D">
        <w:rPr>
          <w:szCs w:val="24"/>
          <w:lang w:val="es-ES"/>
        </w:rPr>
        <w:noBreakHyphen/>
      </w:r>
      <w:r w:rsidRPr="0015074D">
        <w:rPr>
          <w:szCs w:val="24"/>
          <w:lang w:val="es-ES"/>
        </w:rPr>
        <w:t>1 en Bahrein</w:t>
      </w:r>
      <w:r w:rsidRPr="0015074D">
        <w:rPr>
          <w:rStyle w:val="FootnoteReference"/>
          <w:rFonts w:cs="Calibri"/>
          <w:color w:val="0F141A"/>
          <w:szCs w:val="16"/>
          <w:lang w:val="es-ES"/>
        </w:rPr>
        <w:footnoteReference w:id="3"/>
      </w:r>
      <w:r w:rsidR="00127649" w:rsidRPr="0015074D">
        <w:rPr>
          <w:szCs w:val="24"/>
          <w:vertAlign w:val="superscript"/>
          <w:lang w:val="es-ES"/>
        </w:rPr>
        <w:t>,</w:t>
      </w:r>
      <w:r w:rsidRPr="0015074D">
        <w:rPr>
          <w:rStyle w:val="FootnoteReference"/>
          <w:rFonts w:cs="Calibri"/>
          <w:color w:val="0F141A"/>
          <w:szCs w:val="16"/>
          <w:lang w:val="es-ES"/>
        </w:rPr>
        <w:footnoteReference w:id="4"/>
      </w:r>
      <w:r w:rsidR="00CE43E8" w:rsidRPr="0015074D">
        <w:rPr>
          <w:lang w:val="es-ES"/>
        </w:rPr>
        <w:t xml:space="preserve">. </w:t>
      </w:r>
      <w:r w:rsidRPr="0015074D">
        <w:rPr>
          <w:lang w:val="es-ES"/>
        </w:rPr>
        <w:t>Los anuncios iniciales indicaban que los problemas de suministro eléctrico y de conectividad estaban degradando los servicios en una zona de disponibilidad en cada región. Las actualizaciones posteriores de los días 1 y 2 de marzo seguían destacando que los servicios de AWS se veían afectados por problemas de alimentación y conectividad, al tiempo que indicaban que los equipos de AWS estaban trabajando para restaurar el servicio.</w:t>
      </w:r>
    </w:p>
    <w:p w14:paraId="49A8154A" w14:textId="6F43164E" w:rsidR="003F0F74" w:rsidRPr="0015074D" w:rsidRDefault="00614B3B" w:rsidP="00675665">
      <w:pPr>
        <w:rPr>
          <w:lang w:val="es-ES"/>
        </w:rPr>
      </w:pPr>
      <w:r w:rsidRPr="0015074D">
        <w:rPr>
          <w:lang w:val="es-ES"/>
        </w:rPr>
        <w:t>Más tarde, en la madrugada del 3 de marzo de 2026 (hora estándar del Golfo), AWS relacionó las repercusiones en el servicio con el conflicto en Oriente</w:t>
      </w:r>
      <w:r w:rsidR="00CE43E8" w:rsidRPr="0015074D">
        <w:rPr>
          <w:lang w:val="es-ES"/>
        </w:rPr>
        <w:t xml:space="preserve"> </w:t>
      </w:r>
      <w:r w:rsidRPr="0015074D">
        <w:rPr>
          <w:lang w:val="es-ES"/>
        </w:rPr>
        <w:t xml:space="preserve">Medio y declaró claramente que ambas regiones habían sido alcanzadas por drones y aconsejó a los clientes que </w:t>
      </w:r>
      <w:r w:rsidR="00E002B8" w:rsidRPr="0015074D">
        <w:rPr>
          <w:lang w:val="es-ES"/>
        </w:rPr>
        <w:t>"</w:t>
      </w:r>
      <w:r w:rsidRPr="0015074D">
        <w:rPr>
          <w:lang w:val="es-ES"/>
        </w:rPr>
        <w:t>pusieran en práctica sus planes de recuperación en caso de catástrofe, se recuperaran de las copias de seguridad remotas almacenadas en otras regiones y actualizaran sus aplicaciones para desviar el tráfico de las regiones afectadas</w:t>
      </w:r>
      <w:r w:rsidR="00E002B8" w:rsidRPr="0015074D">
        <w:rPr>
          <w:lang w:val="es-ES"/>
        </w:rPr>
        <w:t>"</w:t>
      </w:r>
      <w:r w:rsidRPr="0015074D">
        <w:rPr>
          <w:rStyle w:val="FootnoteReference"/>
          <w:rFonts w:cs="Calibri"/>
          <w:lang w:val="es-ES"/>
        </w:rPr>
        <w:footnoteReference w:id="5"/>
      </w:r>
      <w:r w:rsidR="003F0F74" w:rsidRPr="0015074D">
        <w:rPr>
          <w:vertAlign w:val="superscript"/>
          <w:lang w:val="es-ES"/>
        </w:rPr>
        <w:t>,</w:t>
      </w:r>
      <w:r w:rsidRPr="0015074D">
        <w:rPr>
          <w:rStyle w:val="FootnoteReference"/>
          <w:lang w:val="es-ES"/>
        </w:rPr>
        <w:footnoteReference w:id="6"/>
      </w:r>
      <w:bookmarkStart w:id="7" w:name="_Ref241173034"/>
      <w:bookmarkStart w:id="8" w:name="_Ref241173387"/>
      <w:bookmarkEnd w:id="7"/>
      <w:bookmarkEnd w:id="8"/>
      <w:r w:rsidR="003F0F74" w:rsidRPr="0015074D">
        <w:rPr>
          <w:lang w:val="es-ES"/>
        </w:rPr>
        <w:t>.</w:t>
      </w:r>
    </w:p>
    <w:p w14:paraId="343DCC89" w14:textId="68236D57" w:rsidR="00614B3B" w:rsidRPr="0015074D" w:rsidRDefault="00614B3B" w:rsidP="00675665">
      <w:pPr>
        <w:rPr>
          <w:lang w:val="es-ES"/>
        </w:rPr>
      </w:pPr>
      <w:r w:rsidRPr="0015074D">
        <w:rPr>
          <w:lang w:val="es-ES"/>
        </w:rPr>
        <w:t>Según el sitio web de salud del servicio de AWS</w:t>
      </w:r>
      <w:r w:rsidRPr="0015074D">
        <w:rPr>
          <w:vertAlign w:val="superscript"/>
          <w:lang w:val="es-ES"/>
        </w:rPr>
        <w:t>5</w:t>
      </w:r>
      <w:r w:rsidR="003F0F74" w:rsidRPr="0015074D">
        <w:rPr>
          <w:vertAlign w:val="superscript"/>
          <w:lang w:val="es-ES"/>
        </w:rPr>
        <w:t>,</w:t>
      </w:r>
      <w:r w:rsidRPr="0015074D">
        <w:rPr>
          <w:vertAlign w:val="superscript"/>
          <w:lang w:val="es-ES"/>
        </w:rPr>
        <w:t>6</w:t>
      </w:r>
      <w:r w:rsidRPr="0015074D">
        <w:rPr>
          <w:lang w:val="es-ES"/>
        </w:rPr>
        <w:t>, AWS informó inicialmente que los daños se limitaban a dos de las tres zonas de disponibilidad de la región de Emiratos Árabes Unidos (ME</w:t>
      </w:r>
      <w:r w:rsidR="003F0F74" w:rsidRPr="0015074D">
        <w:rPr>
          <w:lang w:val="es-ES"/>
        </w:rPr>
        <w:noBreakHyphen/>
      </w:r>
      <w:r w:rsidRPr="0015074D">
        <w:rPr>
          <w:lang w:val="es-ES"/>
        </w:rPr>
        <w:t>CENTRAL</w:t>
      </w:r>
      <w:r w:rsidR="003F0F74" w:rsidRPr="0015074D">
        <w:rPr>
          <w:lang w:val="es-ES"/>
        </w:rPr>
        <w:noBreakHyphen/>
      </w:r>
      <w:r w:rsidRPr="0015074D">
        <w:rPr>
          <w:lang w:val="es-ES"/>
        </w:rPr>
        <w:t>1) y a una de las tres zonas de disponibilidad de la región de Bahrein (ME</w:t>
      </w:r>
      <w:r w:rsidR="008A44D5" w:rsidRPr="0015074D">
        <w:rPr>
          <w:lang w:val="es-ES"/>
        </w:rPr>
        <w:noBreakHyphen/>
      </w:r>
      <w:r w:rsidRPr="0015074D">
        <w:rPr>
          <w:lang w:val="es-ES"/>
        </w:rPr>
        <w:t>SOUTH</w:t>
      </w:r>
      <w:r w:rsidR="008A44D5" w:rsidRPr="0015074D">
        <w:rPr>
          <w:lang w:val="es-ES"/>
        </w:rPr>
        <w:noBreakHyphen/>
      </w:r>
      <w:r w:rsidRPr="0015074D">
        <w:rPr>
          <w:lang w:val="es-ES"/>
        </w:rPr>
        <w:t>1). Más tarde, el 30 de abril de 2026, la AWS informó de que todas las zonas de disponibilidad en ambas regiones AWS se habían visto afectadas por la situación en Oriente Medio y que la recuperación de las regiones ME</w:t>
      </w:r>
      <w:r w:rsidR="008A44D5" w:rsidRPr="0015074D">
        <w:rPr>
          <w:lang w:val="es-ES"/>
        </w:rPr>
        <w:noBreakHyphen/>
      </w:r>
      <w:r w:rsidRPr="0015074D">
        <w:rPr>
          <w:lang w:val="es-ES"/>
        </w:rPr>
        <w:t>CENTRAL</w:t>
      </w:r>
      <w:r w:rsidR="008A44D5" w:rsidRPr="0015074D">
        <w:rPr>
          <w:lang w:val="es-ES"/>
        </w:rPr>
        <w:noBreakHyphen/>
      </w:r>
      <w:r w:rsidRPr="0015074D">
        <w:rPr>
          <w:lang w:val="es-ES"/>
        </w:rPr>
        <w:t>1 y ME</w:t>
      </w:r>
      <w:r w:rsidR="008A44D5" w:rsidRPr="0015074D">
        <w:rPr>
          <w:lang w:val="es-ES"/>
        </w:rPr>
        <w:noBreakHyphen/>
      </w:r>
      <w:r w:rsidRPr="0015074D">
        <w:rPr>
          <w:lang w:val="es-ES"/>
        </w:rPr>
        <w:t>SOUTH</w:t>
      </w:r>
      <w:r w:rsidR="008A44D5" w:rsidRPr="0015074D">
        <w:rPr>
          <w:lang w:val="es-ES"/>
        </w:rPr>
        <w:noBreakHyphen/>
      </w:r>
      <w:r w:rsidRPr="0015074D">
        <w:rPr>
          <w:lang w:val="es-ES"/>
        </w:rPr>
        <w:t>1 llevaría varios meses.</w:t>
      </w:r>
      <w:r w:rsidR="00CE43E8" w:rsidRPr="0015074D">
        <w:rPr>
          <w:lang w:val="es-ES"/>
        </w:rPr>
        <w:t xml:space="preserve"> </w:t>
      </w:r>
      <w:r w:rsidRPr="0015074D">
        <w:rPr>
          <w:lang w:val="es-ES"/>
        </w:rPr>
        <w:t>El</w:t>
      </w:r>
      <w:r w:rsidR="008A44D5" w:rsidRPr="0015074D">
        <w:rPr>
          <w:lang w:val="es-ES"/>
        </w:rPr>
        <w:t> </w:t>
      </w:r>
      <w:r w:rsidRPr="0015074D">
        <w:rPr>
          <w:lang w:val="es-ES"/>
        </w:rPr>
        <w:t>15</w:t>
      </w:r>
      <w:r w:rsidR="008A44D5" w:rsidRPr="0015074D">
        <w:rPr>
          <w:lang w:val="es-ES"/>
        </w:rPr>
        <w:t> </w:t>
      </w:r>
      <w:r w:rsidRPr="0015074D">
        <w:rPr>
          <w:lang w:val="es-ES"/>
        </w:rPr>
        <w:t>de</w:t>
      </w:r>
      <w:r w:rsidR="00CE43E8" w:rsidRPr="0015074D">
        <w:rPr>
          <w:lang w:val="es-ES"/>
        </w:rPr>
        <w:t xml:space="preserve"> </w:t>
      </w:r>
      <w:r w:rsidRPr="0015074D">
        <w:rPr>
          <w:lang w:val="es-ES"/>
        </w:rPr>
        <w:t>septiembre de 2026, AWS informó de que los datos alojados exclusivamente en la región ME</w:t>
      </w:r>
      <w:r w:rsidR="008A44D5" w:rsidRPr="0015074D">
        <w:rPr>
          <w:lang w:val="es-ES"/>
        </w:rPr>
        <w:noBreakHyphen/>
      </w:r>
      <w:r w:rsidRPr="0015074D">
        <w:rPr>
          <w:lang w:val="es-ES"/>
        </w:rPr>
        <w:t>SOUTH</w:t>
      </w:r>
      <w:r w:rsidR="008A44D5" w:rsidRPr="0015074D">
        <w:rPr>
          <w:lang w:val="es-ES"/>
        </w:rPr>
        <w:noBreakHyphen/>
      </w:r>
      <w:r w:rsidRPr="0015074D">
        <w:rPr>
          <w:lang w:val="es-ES"/>
        </w:rPr>
        <w:t>1 (Bahrein) no podían restablecerse, y que lo mismo se aplicaba a una de las tres zonas de disponibilidad de ME</w:t>
      </w:r>
      <w:r w:rsidR="008A44D5" w:rsidRPr="0015074D">
        <w:rPr>
          <w:lang w:val="es-ES"/>
        </w:rPr>
        <w:noBreakHyphen/>
      </w:r>
      <w:r w:rsidRPr="0015074D">
        <w:rPr>
          <w:lang w:val="es-ES"/>
        </w:rPr>
        <w:t>CENTRAL</w:t>
      </w:r>
      <w:r w:rsidR="008A44D5" w:rsidRPr="0015074D">
        <w:rPr>
          <w:lang w:val="es-ES"/>
        </w:rPr>
        <w:noBreakHyphen/>
      </w:r>
      <w:r w:rsidRPr="0015074D">
        <w:rPr>
          <w:lang w:val="es-ES"/>
        </w:rPr>
        <w:t>1 (Emiratos Árabes Unidos). AWS reiteró su consejo a los clientes para que restablezcan sus operaciones en otras regiones.</w:t>
      </w:r>
    </w:p>
    <w:p w14:paraId="2A58DDDA" w14:textId="77777777" w:rsidR="00CA5F66" w:rsidRPr="0015074D" w:rsidRDefault="00CA5F66" w:rsidP="00675665">
      <w:pPr>
        <w:rPr>
          <w:lang w:val="es-ES"/>
        </w:rPr>
      </w:pPr>
      <w:r w:rsidRPr="0015074D">
        <w:rPr>
          <w:lang w:val="es-ES"/>
        </w:rPr>
        <w:br w:type="page"/>
      </w:r>
    </w:p>
    <w:p w14:paraId="41DC7AD6" w14:textId="524E8BDF" w:rsidR="00614B3B" w:rsidRPr="0015074D" w:rsidRDefault="00614B3B" w:rsidP="00DA5516">
      <w:pPr>
        <w:spacing w:after="120"/>
        <w:rPr>
          <w:lang w:val="es-ES"/>
        </w:rPr>
      </w:pPr>
      <w:r w:rsidRPr="0015074D">
        <w:rPr>
          <w:lang w:val="es-ES"/>
        </w:rPr>
        <w:lastRenderedPageBreak/>
        <w:t>Los datos del radar Cloudflare muestran una rápida disminución del tráfico en ambas regiones, lo que puede reflejar tanto la indisponibilidad del servicio como la migración de las cargas de trabajo de los clientes a otras regiones. Como se muestra en la Figura 1, las peticiones HTTP a direcciones</w:t>
      </w:r>
      <w:r w:rsidR="008A44D5" w:rsidRPr="0015074D">
        <w:rPr>
          <w:lang w:val="es-ES"/>
        </w:rPr>
        <w:t> </w:t>
      </w:r>
      <w:r w:rsidRPr="0015074D">
        <w:rPr>
          <w:lang w:val="es-ES"/>
        </w:rPr>
        <w:t>IP atendidas desde las regiones ME</w:t>
      </w:r>
      <w:r w:rsidR="008A44D5" w:rsidRPr="0015074D">
        <w:rPr>
          <w:lang w:val="es-ES"/>
        </w:rPr>
        <w:noBreakHyphen/>
      </w:r>
      <w:r w:rsidRPr="0015074D">
        <w:rPr>
          <w:lang w:val="es-ES"/>
        </w:rPr>
        <w:t>CENTRAL</w:t>
      </w:r>
      <w:r w:rsidR="008A44D5" w:rsidRPr="0015074D">
        <w:rPr>
          <w:lang w:val="es-ES"/>
        </w:rPr>
        <w:noBreakHyphen/>
      </w:r>
      <w:r w:rsidRPr="0015074D">
        <w:rPr>
          <w:lang w:val="es-ES"/>
        </w:rPr>
        <w:t>1</w:t>
      </w:r>
      <w:r w:rsidRPr="0015074D">
        <w:rPr>
          <w:rStyle w:val="FootnoteReference"/>
          <w:lang w:val="es-ES"/>
        </w:rPr>
        <w:footnoteReference w:id="7"/>
      </w:r>
      <w:r w:rsidRPr="0015074D">
        <w:rPr>
          <w:lang w:val="es-ES"/>
        </w:rPr>
        <w:t xml:space="preserve"> y ME</w:t>
      </w:r>
      <w:r w:rsidR="008A44D5" w:rsidRPr="0015074D">
        <w:rPr>
          <w:lang w:val="es-ES"/>
        </w:rPr>
        <w:noBreakHyphen/>
      </w:r>
      <w:r w:rsidRPr="0015074D">
        <w:rPr>
          <w:lang w:val="es-ES"/>
        </w:rPr>
        <w:t>SOUTH</w:t>
      </w:r>
      <w:r w:rsidR="008A44D5" w:rsidRPr="0015074D">
        <w:rPr>
          <w:lang w:val="es-ES"/>
        </w:rPr>
        <w:noBreakHyphen/>
      </w:r>
      <w:r w:rsidRPr="0015074D">
        <w:rPr>
          <w:lang w:val="es-ES"/>
        </w:rPr>
        <w:t>1</w:t>
      </w:r>
      <w:r w:rsidRPr="0015074D">
        <w:rPr>
          <w:rStyle w:val="FootnoteReference"/>
          <w:lang w:val="es-ES"/>
        </w:rPr>
        <w:footnoteReference w:id="8"/>
      </w:r>
      <w:r w:rsidRPr="0015074D">
        <w:rPr>
          <w:lang w:val="es-ES"/>
        </w:rPr>
        <w:t xml:space="preserve"> han disminuido drásticamente desde el 2 de marzo de 2026.</w:t>
      </w:r>
      <w:bookmarkStart w:id="9" w:name="_Ref242118353"/>
      <w:bookmarkStart w:id="10" w:name="_Ref242118362"/>
      <w:bookmarkEnd w:id="9"/>
      <w:bookmarkEnd w:id="10"/>
    </w:p>
    <w:tbl>
      <w:tblPr>
        <w:tblStyle w:val="TableGridLight"/>
        <w:tblW w:w="0" w:type="auto"/>
        <w:tblLayout w:type="fixed"/>
        <w:tblCellMar>
          <w:left w:w="0" w:type="dxa"/>
          <w:right w:w="0" w:type="dxa"/>
        </w:tblCellMar>
        <w:tblLook w:val="04A0" w:firstRow="1" w:lastRow="0" w:firstColumn="1" w:lastColumn="0" w:noHBand="0" w:noVBand="1"/>
      </w:tblPr>
      <w:tblGrid>
        <w:gridCol w:w="4817"/>
        <w:gridCol w:w="4818"/>
      </w:tblGrid>
      <w:tr w:rsidR="00614B3B" w:rsidRPr="0015074D" w14:paraId="3F29F825" w14:textId="77777777" w:rsidTr="00A84259">
        <w:tc>
          <w:tcPr>
            <w:tcW w:w="4817" w:type="dxa"/>
          </w:tcPr>
          <w:p w14:paraId="42614021" w14:textId="45FF72F9" w:rsidR="00614B3B" w:rsidRPr="0015074D" w:rsidRDefault="00A84259" w:rsidP="00A84259">
            <w:pPr>
              <w:pStyle w:val="Figure"/>
              <w:spacing w:before="0"/>
              <w:rPr>
                <w:lang w:val="es-ES"/>
              </w:rPr>
            </w:pPr>
            <w:r w:rsidRPr="0015074D">
              <w:rPr>
                <w:lang w:val="es-ES"/>
              </w:rPr>
              <w:drawing>
                <wp:inline distT="0" distB="0" distL="0" distR="0" wp14:anchorId="73EA932B" wp14:editId="6C1ED4C8">
                  <wp:extent cx="2968488" cy="22368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4225" cy="2241173"/>
                          </a:xfrm>
                          <a:prstGeom prst="rect">
                            <a:avLst/>
                          </a:prstGeom>
                        </pic:spPr>
                      </pic:pic>
                    </a:graphicData>
                  </a:graphic>
                </wp:inline>
              </w:drawing>
            </w:r>
          </w:p>
        </w:tc>
        <w:tc>
          <w:tcPr>
            <w:tcW w:w="4818" w:type="dxa"/>
          </w:tcPr>
          <w:p w14:paraId="27E60A68" w14:textId="3CDA6E9A" w:rsidR="00614B3B" w:rsidRPr="0015074D" w:rsidRDefault="005A4D7A" w:rsidP="00A84259">
            <w:pPr>
              <w:pStyle w:val="Figure"/>
              <w:spacing w:before="0"/>
              <w:rPr>
                <w:lang w:val="es-ES"/>
              </w:rPr>
            </w:pPr>
            <w:r w:rsidRPr="0015074D">
              <w:rPr>
                <w:lang w:val="es-ES"/>
              </w:rPr>
              <w:drawing>
                <wp:inline distT="0" distB="0" distL="0" distR="0" wp14:anchorId="22D1EB94" wp14:editId="5A2489D7">
                  <wp:extent cx="2993061" cy="2254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6317" cy="2264117"/>
                          </a:xfrm>
                          <a:prstGeom prst="rect">
                            <a:avLst/>
                          </a:prstGeom>
                        </pic:spPr>
                      </pic:pic>
                    </a:graphicData>
                  </a:graphic>
                </wp:inline>
              </w:drawing>
            </w:r>
          </w:p>
        </w:tc>
      </w:tr>
    </w:tbl>
    <w:p w14:paraId="48217E67" w14:textId="25644B58" w:rsidR="00614B3B" w:rsidRPr="0015074D" w:rsidRDefault="00614B3B" w:rsidP="00790591">
      <w:pPr>
        <w:pStyle w:val="FigureNotitle"/>
        <w:rPr>
          <w:lang w:val="es-ES"/>
        </w:rPr>
      </w:pPr>
      <w:bookmarkStart w:id="11" w:name="_Ref240550321"/>
      <w:bookmarkStart w:id="12" w:name="_Ref240550240"/>
      <w:r w:rsidRPr="0015074D">
        <w:rPr>
          <w:lang w:val="es-ES"/>
        </w:rPr>
        <w:t>Figura 1 – Volumen de peticiones HTTP para las regiones AWS de ME-CENTRAL-1 (EAU) y ME</w:t>
      </w:r>
      <w:r w:rsidR="00FE77E5" w:rsidRPr="0015074D">
        <w:rPr>
          <w:lang w:val="es-ES"/>
        </w:rPr>
        <w:noBreakHyphen/>
      </w:r>
      <w:r w:rsidRPr="0015074D">
        <w:rPr>
          <w:lang w:val="es-ES"/>
        </w:rPr>
        <w:t>SOUTH-1 (Bahrein). Fuente: Cloudflare Radar</w:t>
      </w:r>
      <w:r w:rsidRPr="0015074D">
        <w:rPr>
          <w:rStyle w:val="FootnoteReference"/>
          <w:color w:val="000000" w:themeColor="text1"/>
          <w:lang w:val="es-ES"/>
        </w:rPr>
        <w:t>7</w:t>
      </w:r>
      <w:r w:rsidR="00894151" w:rsidRPr="0015074D">
        <w:rPr>
          <w:rStyle w:val="FootnoteReference"/>
          <w:color w:val="000000" w:themeColor="text1"/>
          <w:lang w:val="es-ES"/>
        </w:rPr>
        <w:t>,</w:t>
      </w:r>
      <w:r w:rsidRPr="0015074D">
        <w:rPr>
          <w:rStyle w:val="FootnoteReference"/>
          <w:color w:val="000000" w:themeColor="text1"/>
          <w:lang w:val="es-ES"/>
        </w:rPr>
        <w:t>8</w:t>
      </w:r>
      <w:bookmarkEnd w:id="11"/>
      <w:bookmarkEnd w:id="12"/>
    </w:p>
    <w:p w14:paraId="5A9F9D51" w14:textId="0119A753" w:rsidR="00E54818" w:rsidRPr="0015074D" w:rsidRDefault="00614B3B" w:rsidP="00CA6343">
      <w:pPr>
        <w:pStyle w:val="Figurelegend"/>
        <w:rPr>
          <w:lang w:val="es-ES"/>
        </w:rPr>
      </w:pPr>
      <w:r w:rsidRPr="0015074D">
        <w:rPr>
          <w:lang w:val="es-ES"/>
        </w:rPr>
        <w:t>Leyenda: Series temporales de peticiones HTTP en el mundo (Peticiones HTTP al origen a lo largo del tiempo) Métrica: Peticiones Origen: Amazon Región: me-central-1 / Peticiones / 77</w:t>
      </w:r>
      <w:r w:rsidR="00790591" w:rsidRPr="0015074D">
        <w:rPr>
          <w:lang w:val="es-ES"/>
        </w:rPr>
        <w:t> </w:t>
      </w:r>
      <w:r w:rsidRPr="0015074D">
        <w:rPr>
          <w:lang w:val="es-ES"/>
        </w:rPr>
        <w:t>% reducción / 96</w:t>
      </w:r>
      <w:r w:rsidR="00790591" w:rsidRPr="0015074D">
        <w:rPr>
          <w:lang w:val="es-ES"/>
        </w:rPr>
        <w:t> </w:t>
      </w:r>
      <w:r w:rsidRPr="0015074D">
        <w:rPr>
          <w:lang w:val="es-ES"/>
        </w:rPr>
        <w:t>% reducción</w:t>
      </w:r>
      <w:r w:rsidR="005430A6" w:rsidRPr="0015074D">
        <w:rPr>
          <w:lang w:val="es-ES"/>
        </w:rPr>
        <w:t xml:space="preserve"> / 1 de febrero de 2026</w:t>
      </w:r>
      <w:r w:rsidR="005430A6" w:rsidRPr="0015074D">
        <w:rPr>
          <w:rFonts w:cstheme="minorHAnsi"/>
          <w:lang w:val="es-ES"/>
        </w:rPr>
        <w:t>→</w:t>
      </w:r>
      <w:r w:rsidR="005430A6" w:rsidRPr="0015074D">
        <w:rPr>
          <w:lang w:val="es-ES"/>
        </w:rPr>
        <w:t>16 de septiembre de 2026, 23.43 h UTC</w:t>
      </w:r>
    </w:p>
    <w:p w14:paraId="087646C5" w14:textId="77777777" w:rsidR="00614B3B" w:rsidRPr="0015074D" w:rsidRDefault="00614B3B" w:rsidP="008905B6">
      <w:pPr>
        <w:pStyle w:val="Heading2"/>
        <w:rPr>
          <w:lang w:val="es-ES"/>
        </w:rPr>
      </w:pPr>
      <w:r w:rsidRPr="0015074D">
        <w:rPr>
          <w:lang w:val="es-ES"/>
        </w:rPr>
        <w:t>2.2</w:t>
      </w:r>
      <w:r w:rsidRPr="0015074D">
        <w:rPr>
          <w:lang w:val="es-ES"/>
        </w:rPr>
        <w:tab/>
        <w:t>Importancia de los centros de datos AWS en los Emiratos Árabes Unidos y Bahrein para los servicios TIC públicos y privados</w:t>
      </w:r>
    </w:p>
    <w:p w14:paraId="3C85A10C" w14:textId="1FB15C53" w:rsidR="00614B3B" w:rsidRPr="0015074D" w:rsidRDefault="00614B3B" w:rsidP="00D00EAF">
      <w:pPr>
        <w:rPr>
          <w:lang w:val="es-ES"/>
        </w:rPr>
      </w:pPr>
      <w:r w:rsidRPr="0015074D">
        <w:rPr>
          <w:lang w:val="es-ES"/>
        </w:rPr>
        <w:t>Las dos regiones de AWS en Bahrein y en los Emiratos Árabes Unidos representan infraestructuras TIC críticas para ambos países y para la región en general. La región AWS ME</w:t>
      </w:r>
      <w:r w:rsidR="00D00EAF" w:rsidRPr="0015074D">
        <w:rPr>
          <w:lang w:val="es-ES"/>
        </w:rPr>
        <w:noBreakHyphen/>
      </w:r>
      <w:r w:rsidRPr="0015074D">
        <w:rPr>
          <w:lang w:val="es-ES"/>
        </w:rPr>
        <w:t>CENTRAL</w:t>
      </w:r>
      <w:r w:rsidR="00D00EAF" w:rsidRPr="0015074D">
        <w:rPr>
          <w:lang w:val="es-ES"/>
        </w:rPr>
        <w:noBreakHyphen/>
      </w:r>
      <w:r w:rsidRPr="0015074D">
        <w:rPr>
          <w:lang w:val="es-ES"/>
        </w:rPr>
        <w:t>1 en los</w:t>
      </w:r>
      <w:r w:rsidR="00D00EAF" w:rsidRPr="0015074D">
        <w:rPr>
          <w:lang w:val="es-ES"/>
        </w:rPr>
        <w:t> </w:t>
      </w:r>
      <w:r w:rsidRPr="0015074D">
        <w:rPr>
          <w:lang w:val="es-ES"/>
        </w:rPr>
        <w:t>Emiratos Árabes Unidos, creada en 2022</w:t>
      </w:r>
      <w:r w:rsidRPr="0015074D">
        <w:rPr>
          <w:rStyle w:val="FootnoteReference"/>
          <w:lang w:val="es-ES"/>
        </w:rPr>
        <w:footnoteReference w:id="9"/>
      </w:r>
      <w:r w:rsidR="00D00EAF" w:rsidRPr="0015074D">
        <w:rPr>
          <w:lang w:val="es-ES"/>
        </w:rPr>
        <w:t xml:space="preserve">, </w:t>
      </w:r>
      <w:r w:rsidRPr="0015074D">
        <w:rPr>
          <w:lang w:val="es-ES"/>
        </w:rPr>
        <w:t>y la región ME</w:t>
      </w:r>
      <w:r w:rsidR="00D00EAF" w:rsidRPr="0015074D">
        <w:rPr>
          <w:lang w:val="es-ES"/>
        </w:rPr>
        <w:noBreakHyphen/>
      </w:r>
      <w:r w:rsidRPr="0015074D">
        <w:rPr>
          <w:lang w:val="es-ES"/>
        </w:rPr>
        <w:t>SOUTH</w:t>
      </w:r>
      <w:r w:rsidR="00D00EAF" w:rsidRPr="0015074D">
        <w:rPr>
          <w:lang w:val="es-ES"/>
        </w:rPr>
        <w:noBreakHyphen/>
      </w:r>
      <w:r w:rsidRPr="0015074D">
        <w:rPr>
          <w:lang w:val="es-ES"/>
        </w:rPr>
        <w:t>1 en Bahrein, creada en</w:t>
      </w:r>
      <w:r w:rsidR="00D00EAF" w:rsidRPr="0015074D">
        <w:rPr>
          <w:lang w:val="es-ES"/>
        </w:rPr>
        <w:t> </w:t>
      </w:r>
      <w:r w:rsidRPr="0015074D">
        <w:rPr>
          <w:lang w:val="es-ES"/>
        </w:rPr>
        <w:t>2019</w:t>
      </w:r>
      <w:r w:rsidRPr="0015074D">
        <w:rPr>
          <w:rStyle w:val="FootnoteReference"/>
          <w:lang w:val="es-ES"/>
        </w:rPr>
        <w:footnoteReference w:id="10"/>
      </w:r>
      <w:r w:rsidR="00D00EAF" w:rsidRPr="0015074D">
        <w:rPr>
          <w:lang w:val="es-ES"/>
        </w:rPr>
        <w:t xml:space="preserve">, </w:t>
      </w:r>
      <w:r w:rsidRPr="0015074D">
        <w:rPr>
          <w:lang w:val="es-ES"/>
        </w:rPr>
        <w:t>son las únicas dos regiones AWS en la zona del Golfo; aparte de la región AWS en Israel, son las únicas regiones AWS activas en todo Oriente Medio y el norte de África.</w:t>
      </w:r>
    </w:p>
    <w:p w14:paraId="6D802D03" w14:textId="722F953F" w:rsidR="00614B3B" w:rsidRPr="0015074D" w:rsidRDefault="00614B3B" w:rsidP="00EC2C12">
      <w:pPr>
        <w:rPr>
          <w:lang w:val="es-ES"/>
        </w:rPr>
      </w:pPr>
      <w:r w:rsidRPr="0015074D">
        <w:rPr>
          <w:lang w:val="es-ES"/>
        </w:rPr>
        <w:t>AWS informó de que las dos Regiones, Bahrein y los Emiratos Árabes Unidos, atienden a muchos clientes privados en cada país y en todo el mundo. AWS también destacó la ventaja de tres zonas de disponibilidad para la continuidad de las actividades y la baja latencia que ofrecen estas regiones debido a su proximidad.</w:t>
      </w:r>
    </w:p>
    <w:p w14:paraId="694BBC41" w14:textId="534CB90F" w:rsidR="00614B3B" w:rsidRPr="0015074D" w:rsidRDefault="00614B3B" w:rsidP="00EC2C12">
      <w:pPr>
        <w:rPr>
          <w:lang w:val="es-ES"/>
        </w:rPr>
      </w:pPr>
      <w:r w:rsidRPr="0015074D">
        <w:rPr>
          <w:lang w:val="es-ES"/>
        </w:rPr>
        <w:t xml:space="preserve">Además, los centros de datos de estas dos regiones AWS se consideraban un componente de las iniciativas nacionales de transformación digital. Bahrein, en particular, puso en marcha una </w:t>
      </w:r>
      <w:r w:rsidRPr="0015074D">
        <w:rPr>
          <w:lang w:val="es-ES"/>
        </w:rPr>
        <w:lastRenderedPageBreak/>
        <w:t xml:space="preserve">estrategia </w:t>
      </w:r>
      <w:r w:rsidR="00E002B8" w:rsidRPr="0015074D">
        <w:rPr>
          <w:lang w:val="es-ES"/>
        </w:rPr>
        <w:t>"</w:t>
      </w:r>
      <w:r w:rsidRPr="0015074D">
        <w:rPr>
          <w:lang w:val="es-ES"/>
        </w:rPr>
        <w:t>Cloud</w:t>
      </w:r>
      <w:r w:rsidR="00E002B8" w:rsidRPr="0015074D">
        <w:rPr>
          <w:lang w:val="es-ES"/>
        </w:rPr>
        <w:t> </w:t>
      </w:r>
      <w:r w:rsidRPr="0015074D">
        <w:rPr>
          <w:lang w:val="es-ES"/>
        </w:rPr>
        <w:t>First</w:t>
      </w:r>
      <w:r w:rsidR="00E002B8" w:rsidRPr="0015074D">
        <w:rPr>
          <w:lang w:val="es-ES"/>
        </w:rPr>
        <w:t>"</w:t>
      </w:r>
      <w:r w:rsidRPr="0015074D">
        <w:rPr>
          <w:lang w:val="es-ES"/>
        </w:rPr>
        <w:t xml:space="preserve"> en 2017</w:t>
      </w:r>
      <w:r w:rsidRPr="0015074D">
        <w:rPr>
          <w:rStyle w:val="FootnoteReference"/>
          <w:lang w:val="es-ES"/>
        </w:rPr>
        <w:footnoteReference w:id="11"/>
      </w:r>
      <w:r w:rsidR="00DF3399" w:rsidRPr="0015074D">
        <w:rPr>
          <w:lang w:val="es-ES"/>
        </w:rPr>
        <w:t xml:space="preserve">, </w:t>
      </w:r>
      <w:r w:rsidRPr="0015074D">
        <w:rPr>
          <w:lang w:val="es-ES"/>
        </w:rPr>
        <w:t>de la que se desprende que la computación en la nube es un factor habilitador clave para la transformación digital y debe preferirse a la infraestructura in situ. Como resultado, el 85</w:t>
      </w:r>
      <w:r w:rsidR="00E002B8" w:rsidRPr="0015074D">
        <w:rPr>
          <w:lang w:val="es-ES"/>
        </w:rPr>
        <w:t> </w:t>
      </w:r>
      <w:r w:rsidRPr="0015074D">
        <w:rPr>
          <w:lang w:val="es-ES"/>
        </w:rPr>
        <w:t>% de todos los datos gubernamentales se han transferido a AWS en abril</w:t>
      </w:r>
      <w:r w:rsidR="00E002B8" w:rsidRPr="0015074D">
        <w:rPr>
          <w:lang w:val="es-ES"/>
        </w:rPr>
        <w:t> </w:t>
      </w:r>
      <w:r w:rsidRPr="0015074D">
        <w:rPr>
          <w:lang w:val="es-ES"/>
        </w:rPr>
        <w:t>de</w:t>
      </w:r>
      <w:r w:rsidR="00E002B8" w:rsidRPr="0015074D">
        <w:rPr>
          <w:lang w:val="es-ES"/>
        </w:rPr>
        <w:t> </w:t>
      </w:r>
      <w:r w:rsidRPr="0015074D">
        <w:rPr>
          <w:lang w:val="es-ES"/>
        </w:rPr>
        <w:t>2023</w:t>
      </w:r>
      <w:r w:rsidRPr="0015074D">
        <w:rPr>
          <w:rStyle w:val="FootnoteReference"/>
          <w:lang w:val="es-ES"/>
        </w:rPr>
        <w:footnoteReference w:id="12"/>
      </w:r>
      <w:r w:rsidR="00DF3399" w:rsidRPr="0015074D">
        <w:rPr>
          <w:lang w:val="es-ES"/>
        </w:rPr>
        <w:t xml:space="preserve">. </w:t>
      </w:r>
      <w:r w:rsidRPr="0015074D">
        <w:rPr>
          <w:lang w:val="es-ES"/>
        </w:rPr>
        <w:t>En 2025, según el Programa de Transformación de la Nube de Bahrein, 72</w:t>
      </w:r>
      <w:r w:rsidR="00E002B8" w:rsidRPr="0015074D">
        <w:rPr>
          <w:lang w:val="es-ES"/>
        </w:rPr>
        <w:t> </w:t>
      </w:r>
      <w:r w:rsidRPr="0015074D">
        <w:rPr>
          <w:lang w:val="es-ES"/>
        </w:rPr>
        <w:t>entidades gubernamentales que ofrecen más de 1</w:t>
      </w:r>
      <w:r w:rsidR="00E002B8" w:rsidRPr="0015074D">
        <w:rPr>
          <w:lang w:val="es-ES"/>
        </w:rPr>
        <w:t> </w:t>
      </w:r>
      <w:r w:rsidRPr="0015074D">
        <w:rPr>
          <w:lang w:val="es-ES"/>
        </w:rPr>
        <w:t>385 servicios gubernamentales y 570</w:t>
      </w:r>
      <w:r w:rsidR="00E002B8" w:rsidRPr="0015074D">
        <w:rPr>
          <w:lang w:val="es-ES"/>
        </w:rPr>
        <w:t> </w:t>
      </w:r>
      <w:r w:rsidRPr="0015074D">
        <w:rPr>
          <w:lang w:val="es-ES"/>
        </w:rPr>
        <w:t xml:space="preserve">servicios electrónicos han migrado a la nube. </w:t>
      </w:r>
    </w:p>
    <w:p w14:paraId="198206AC" w14:textId="6107B2D1" w:rsidR="00614B3B" w:rsidRPr="0015074D" w:rsidRDefault="00614B3B" w:rsidP="00EC2C12">
      <w:pPr>
        <w:rPr>
          <w:lang w:val="es-ES"/>
        </w:rPr>
      </w:pPr>
      <w:r w:rsidRPr="0015074D">
        <w:rPr>
          <w:lang w:val="es-ES"/>
        </w:rPr>
        <w:t>Además, las leyes de soberanía y protección de datos exigen que ciertos tipos de datos residan en el territorio de cada país. Por ejemplo, de acuerdo con la Ley Federal N</w:t>
      </w:r>
      <w:r w:rsidR="001C50F5" w:rsidRPr="0015074D">
        <w:rPr>
          <w:lang w:val="es-ES"/>
        </w:rPr>
        <w:t>.</w:t>
      </w:r>
      <w:r w:rsidRPr="0015074D">
        <w:rPr>
          <w:lang w:val="es-ES"/>
        </w:rPr>
        <w:t>º</w:t>
      </w:r>
      <w:r w:rsidR="001C50F5" w:rsidRPr="0015074D">
        <w:rPr>
          <w:lang w:val="es-ES"/>
        </w:rPr>
        <w:t> </w:t>
      </w:r>
      <w:r w:rsidRPr="0015074D">
        <w:rPr>
          <w:lang w:val="es-ES"/>
        </w:rPr>
        <w:t>2 de los</w:t>
      </w:r>
      <w:r w:rsidR="001C50F5" w:rsidRPr="0015074D">
        <w:rPr>
          <w:lang w:val="es-ES"/>
        </w:rPr>
        <w:t xml:space="preserve"> </w:t>
      </w:r>
      <w:r w:rsidRPr="0015074D">
        <w:rPr>
          <w:lang w:val="es-ES"/>
        </w:rPr>
        <w:t>Emiratos</w:t>
      </w:r>
      <w:r w:rsidR="001C50F5" w:rsidRPr="0015074D">
        <w:rPr>
          <w:lang w:val="es-ES"/>
        </w:rPr>
        <w:t> </w:t>
      </w:r>
      <w:r w:rsidRPr="0015074D">
        <w:rPr>
          <w:lang w:val="es-ES"/>
        </w:rPr>
        <w:t>Árabes</w:t>
      </w:r>
      <w:r w:rsidR="001C50F5" w:rsidRPr="0015074D">
        <w:rPr>
          <w:lang w:val="es-ES"/>
        </w:rPr>
        <w:t> </w:t>
      </w:r>
      <w:r w:rsidRPr="0015074D">
        <w:rPr>
          <w:lang w:val="es-ES"/>
        </w:rPr>
        <w:t>Unidos de 2019, está prohibido almacenar o procesar datos sanitarios fuera de los</w:t>
      </w:r>
      <w:r w:rsidR="00DA5516" w:rsidRPr="0015074D">
        <w:rPr>
          <w:lang w:val="es-ES"/>
        </w:rPr>
        <w:t> </w:t>
      </w:r>
      <w:r w:rsidRPr="0015074D">
        <w:rPr>
          <w:lang w:val="es-ES"/>
        </w:rPr>
        <w:t>Emiratos</w:t>
      </w:r>
      <w:r w:rsidR="00DA5516" w:rsidRPr="0015074D">
        <w:rPr>
          <w:lang w:val="es-ES"/>
        </w:rPr>
        <w:t> </w:t>
      </w:r>
      <w:r w:rsidRPr="0015074D">
        <w:rPr>
          <w:lang w:val="es-ES"/>
        </w:rPr>
        <w:t>Árabes</w:t>
      </w:r>
      <w:r w:rsidR="00DA5516" w:rsidRPr="0015074D">
        <w:rPr>
          <w:lang w:val="es-ES"/>
        </w:rPr>
        <w:t> </w:t>
      </w:r>
      <w:r w:rsidRPr="0015074D">
        <w:rPr>
          <w:lang w:val="es-ES"/>
        </w:rPr>
        <w:t>Unidos</w:t>
      </w:r>
      <w:r w:rsidRPr="0015074D">
        <w:rPr>
          <w:rStyle w:val="FootnoteReference"/>
          <w:lang w:val="es-ES"/>
        </w:rPr>
        <w:footnoteReference w:id="13"/>
      </w:r>
      <w:r w:rsidR="001C50F5" w:rsidRPr="0015074D">
        <w:rPr>
          <w:lang w:val="es-ES"/>
        </w:rPr>
        <w:t xml:space="preserve">. </w:t>
      </w:r>
      <w:r w:rsidRPr="0015074D">
        <w:rPr>
          <w:lang w:val="es-ES"/>
        </w:rPr>
        <w:t>Del mismo modo, el Banco Central de los Emiratos Árabes Unidos exige a las instituciones financieras con licencia que garanticen que los datos de los consumidores y las transacciones permanezcan en los Emiratos Árabes Unidos</w:t>
      </w:r>
      <w:r w:rsidRPr="0015074D">
        <w:rPr>
          <w:rStyle w:val="FootnoteReference"/>
          <w:lang w:val="es-ES"/>
        </w:rPr>
        <w:footnoteReference w:id="14"/>
      </w:r>
      <w:r w:rsidR="001C50F5" w:rsidRPr="0015074D">
        <w:rPr>
          <w:lang w:val="es-ES"/>
        </w:rPr>
        <w:t>.</w:t>
      </w:r>
    </w:p>
    <w:p w14:paraId="2C46AE08" w14:textId="70605412" w:rsidR="00614B3B" w:rsidRPr="0015074D" w:rsidRDefault="00614B3B" w:rsidP="00EC2C12">
      <w:pPr>
        <w:rPr>
          <w:lang w:val="es-ES"/>
        </w:rPr>
      </w:pPr>
      <w:r w:rsidRPr="0015074D">
        <w:rPr>
          <w:lang w:val="es-ES"/>
        </w:rPr>
        <w:t>Por consiguiente, los centros de datos instalados en Bahrein y los Emiratos Árabes Unidos no solo ayudan a los organismos públicos de estos dos países a cumplir la normativa local, sino que también permiten a otros países de la región beneficiarse de la proximidad cuando la normativa lo permite. Por ejemplo, el Jefe del Sector de Tecnologías de la Información de la Autoridad de Reglamentación de las Tecnologías de la Comunicación y la Información de Kuwait (CITRA) destacó las oportunidades de utilizar la infraestructura de nube pública con una clasificación de datos adecuada en una entrevista con AWS</w:t>
      </w:r>
      <w:r w:rsidRPr="0015074D">
        <w:rPr>
          <w:rStyle w:val="FootnoteReference"/>
          <w:lang w:val="es-ES"/>
        </w:rPr>
        <w:footnoteReference w:id="15"/>
      </w:r>
      <w:r w:rsidR="001C50F5" w:rsidRPr="0015074D">
        <w:rPr>
          <w:lang w:val="es-ES"/>
        </w:rPr>
        <w:t>.</w:t>
      </w:r>
    </w:p>
    <w:p w14:paraId="2E8F2F91" w14:textId="77777777" w:rsidR="00614B3B" w:rsidRPr="0015074D" w:rsidRDefault="00614B3B" w:rsidP="00F06912">
      <w:pPr>
        <w:pStyle w:val="Heading2"/>
        <w:rPr>
          <w:lang w:val="es-ES"/>
        </w:rPr>
      </w:pPr>
      <w:r w:rsidRPr="0015074D">
        <w:rPr>
          <w:lang w:val="es-ES"/>
        </w:rPr>
        <w:t>2.3</w:t>
      </w:r>
      <w:r w:rsidRPr="0015074D">
        <w:rPr>
          <w:lang w:val="es-ES"/>
        </w:rPr>
        <w:tab/>
        <w:t>Repercusiones de los ataques a los centros de datos de AWS en los Emiratos Árabes Unidos y Bahrein</w:t>
      </w:r>
    </w:p>
    <w:p w14:paraId="46208C2A" w14:textId="08DC3373" w:rsidR="00614B3B" w:rsidRPr="0015074D" w:rsidRDefault="00614B3B" w:rsidP="00ED3591">
      <w:pPr>
        <w:rPr>
          <w:lang w:val="es-ES"/>
        </w:rPr>
      </w:pPr>
      <w:r w:rsidRPr="0015074D">
        <w:rPr>
          <w:lang w:val="es-ES"/>
        </w:rPr>
        <w:t>Aunque la evaluación detallada de las repercusiones y los daños de los ataques a los centros de datos de AWS en Bahrein y los Emiratos Árabes Unidos se abordarán en los próximos pasos, las primeras señales indican pérdidas significativas en varias categorías. La primera categoría de daños abarca las interrupciones del servicio digital o la indisponibilidad que comenzaron con los ataques y continuaron hasta que se completó la migración a una nueva región AWS o se ejecutaron planes de respaldo empresarial. Por ejemplo, Abu</w:t>
      </w:r>
      <w:r w:rsidR="00ED3591" w:rsidRPr="0015074D">
        <w:rPr>
          <w:lang w:val="es-ES"/>
        </w:rPr>
        <w:t> </w:t>
      </w:r>
      <w:r w:rsidRPr="0015074D">
        <w:rPr>
          <w:lang w:val="es-ES"/>
        </w:rPr>
        <w:t>Dhabi</w:t>
      </w:r>
      <w:r w:rsidR="00ED3591" w:rsidRPr="0015074D">
        <w:rPr>
          <w:lang w:val="es-ES"/>
        </w:rPr>
        <w:t> </w:t>
      </w:r>
      <w:r w:rsidRPr="0015074D">
        <w:rPr>
          <w:lang w:val="es-ES"/>
        </w:rPr>
        <w:t>Commercial</w:t>
      </w:r>
      <w:r w:rsidR="00ED3591" w:rsidRPr="0015074D">
        <w:rPr>
          <w:lang w:val="es-ES"/>
        </w:rPr>
        <w:t> </w:t>
      </w:r>
      <w:r w:rsidRPr="0015074D">
        <w:rPr>
          <w:lang w:val="es-ES"/>
        </w:rPr>
        <w:t>Bank (ADCB) declaró que tardaron 48</w:t>
      </w:r>
      <w:r w:rsidR="00ED3591" w:rsidRPr="0015074D">
        <w:rPr>
          <w:lang w:val="es-ES"/>
        </w:rPr>
        <w:t> </w:t>
      </w:r>
      <w:r w:rsidRPr="0015074D">
        <w:rPr>
          <w:lang w:val="es-ES"/>
        </w:rPr>
        <w:t>horas en restablecer los servicios bancarios en línea</w:t>
      </w:r>
      <w:r w:rsidRPr="0015074D">
        <w:rPr>
          <w:rStyle w:val="FootnoteReference"/>
          <w:lang w:val="es-ES"/>
        </w:rPr>
        <w:footnoteReference w:id="16"/>
      </w:r>
      <w:r w:rsidR="00492F3A" w:rsidRPr="0015074D">
        <w:rPr>
          <w:lang w:val="es-ES"/>
        </w:rPr>
        <w:t>.</w:t>
      </w:r>
    </w:p>
    <w:p w14:paraId="69AE13D4" w14:textId="6E5D47C6" w:rsidR="00614B3B" w:rsidRPr="0015074D" w:rsidRDefault="00614B3B" w:rsidP="00EC2C12">
      <w:pPr>
        <w:rPr>
          <w:lang w:val="es-ES"/>
        </w:rPr>
      </w:pPr>
      <w:r w:rsidRPr="0015074D">
        <w:rPr>
          <w:lang w:val="es-ES"/>
        </w:rPr>
        <w:lastRenderedPageBreak/>
        <w:t>La segunda categoría de daños se deriva del coste adicional de la migración y explotación de servicios digitales en diferentes regiones y proveedores de la nube, incluidos los planes de continuidad de las actividades contingentes, como la copia de seguridad de los datos en diferentes ubicaciones</w:t>
      </w:r>
      <w:r w:rsidRPr="0015074D">
        <w:rPr>
          <w:rStyle w:val="FootnoteReference"/>
          <w:lang w:val="es-ES"/>
        </w:rPr>
        <w:footnoteReference w:id="17"/>
      </w:r>
      <w:r w:rsidR="00ED3591" w:rsidRPr="0015074D">
        <w:rPr>
          <w:lang w:val="es-ES"/>
        </w:rPr>
        <w:t>.</w:t>
      </w:r>
    </w:p>
    <w:p w14:paraId="563B8D6C" w14:textId="1926566C" w:rsidR="00614B3B" w:rsidRPr="0015074D" w:rsidRDefault="00614B3B" w:rsidP="00EC2C12">
      <w:pPr>
        <w:rPr>
          <w:lang w:val="es-ES"/>
        </w:rPr>
      </w:pPr>
      <w:r w:rsidRPr="0015074D">
        <w:rPr>
          <w:lang w:val="es-ES"/>
        </w:rPr>
        <w:t>La tercera categoría se refiere a la ambición a largo plazo de Oriente</w:t>
      </w:r>
      <w:r w:rsidR="00ED3591" w:rsidRPr="0015074D">
        <w:rPr>
          <w:lang w:val="es-ES"/>
        </w:rPr>
        <w:t> </w:t>
      </w:r>
      <w:r w:rsidRPr="0015074D">
        <w:rPr>
          <w:lang w:val="es-ES"/>
        </w:rPr>
        <w:t>Medio como centro de IA e infraestructura digital</w:t>
      </w:r>
      <w:r w:rsidRPr="0015074D">
        <w:rPr>
          <w:rStyle w:val="FootnoteReference"/>
          <w:lang w:val="es-ES"/>
        </w:rPr>
        <w:footnoteReference w:id="18"/>
      </w:r>
      <w:r w:rsidR="00ED3591" w:rsidRPr="0015074D">
        <w:rPr>
          <w:lang w:val="es-ES"/>
        </w:rPr>
        <w:t xml:space="preserve">. </w:t>
      </w:r>
      <w:r w:rsidRPr="0015074D">
        <w:rPr>
          <w:lang w:val="es-ES"/>
        </w:rPr>
        <w:t>La posterior indisponibilidad de la región ME</w:t>
      </w:r>
      <w:r w:rsidR="00ED3591" w:rsidRPr="0015074D">
        <w:rPr>
          <w:lang w:val="es-ES"/>
        </w:rPr>
        <w:noBreakHyphen/>
      </w:r>
      <w:r w:rsidRPr="0015074D">
        <w:rPr>
          <w:lang w:val="es-ES"/>
        </w:rPr>
        <w:t>SUR</w:t>
      </w:r>
      <w:r w:rsidR="00ED3591" w:rsidRPr="0015074D">
        <w:rPr>
          <w:lang w:val="es-ES"/>
        </w:rPr>
        <w:noBreakHyphen/>
      </w:r>
      <w:r w:rsidRPr="0015074D">
        <w:rPr>
          <w:lang w:val="es-ES"/>
        </w:rPr>
        <w:t>1 y la confirmación de AWS de que los datos alojados exclusivamente allí no podían ser restablecidos</w:t>
      </w:r>
      <w:r w:rsidRPr="0015074D">
        <w:rPr>
          <w:rStyle w:val="FootnoteReference"/>
          <w:lang w:val="es-ES"/>
        </w:rPr>
        <w:footnoteReference w:id="19"/>
      </w:r>
      <w:r w:rsidRPr="0015074D">
        <w:rPr>
          <w:lang w:val="es-ES"/>
        </w:rPr>
        <w:t xml:space="preserve"> parecen no tener precedentes en un conflicto armado.</w:t>
      </w:r>
    </w:p>
    <w:p w14:paraId="45AD472B" w14:textId="161046F0" w:rsidR="00614B3B" w:rsidRPr="0015074D" w:rsidRDefault="00614B3B" w:rsidP="00EC2C12">
      <w:pPr>
        <w:rPr>
          <w:lang w:val="es-ES"/>
        </w:rPr>
      </w:pPr>
      <w:r w:rsidRPr="0015074D">
        <w:rPr>
          <w:lang w:val="es-ES"/>
        </w:rPr>
        <w:t>Como señala el Baker Institute for Public Policy de la Universidad Rice</w:t>
      </w:r>
      <w:r w:rsidRPr="0015074D">
        <w:rPr>
          <w:rStyle w:val="FootnoteReference"/>
          <w:lang w:val="es-ES"/>
        </w:rPr>
        <w:footnoteReference w:id="20"/>
      </w:r>
      <w:r w:rsidR="00ED3591" w:rsidRPr="0015074D">
        <w:rPr>
          <w:lang w:val="es-ES"/>
        </w:rPr>
        <w:t xml:space="preserve">, </w:t>
      </w:r>
      <w:r w:rsidRPr="0015074D">
        <w:rPr>
          <w:lang w:val="es-ES"/>
        </w:rPr>
        <w:t>las consecuencias de estos ataques van más allá de los daños financieros y se extienden a la confianza de los inversores en la construcción y explotación de centros de datos en la región. Con todo, como el conflicto sigue en curso, la repercusión total en la confianza y en la imagen a largo plazo de la región seguirá siendo incierta.</w:t>
      </w:r>
    </w:p>
    <w:p w14:paraId="23901BC8" w14:textId="470911F8" w:rsidR="00614B3B" w:rsidRPr="0015074D" w:rsidRDefault="00614B3B" w:rsidP="00FE77E5">
      <w:pPr>
        <w:pStyle w:val="Heading2"/>
        <w:rPr>
          <w:lang w:val="es-ES"/>
        </w:rPr>
      </w:pPr>
      <w:r w:rsidRPr="0015074D">
        <w:rPr>
          <w:lang w:val="es-ES"/>
        </w:rPr>
        <w:t>2.4</w:t>
      </w:r>
      <w:r w:rsidRPr="0015074D">
        <w:rPr>
          <w:lang w:val="es-ES"/>
        </w:rPr>
        <w:tab/>
        <w:t>Marzo</w:t>
      </w:r>
      <w:r w:rsidR="00ED3591" w:rsidRPr="0015074D">
        <w:rPr>
          <w:lang w:val="es-ES"/>
        </w:rPr>
        <w:noBreakHyphen/>
      </w:r>
      <w:r w:rsidRPr="0015074D">
        <w:rPr>
          <w:lang w:val="es-ES"/>
        </w:rPr>
        <w:t>abril de 2026: Ataques a proveedores de servicios de telecomunicaciones</w:t>
      </w:r>
    </w:p>
    <w:p w14:paraId="6A86955B" w14:textId="18373855" w:rsidR="00614B3B" w:rsidRPr="0015074D" w:rsidRDefault="00614B3B" w:rsidP="00EC2C12">
      <w:pPr>
        <w:rPr>
          <w:lang w:val="es-ES"/>
        </w:rPr>
      </w:pPr>
      <w:r w:rsidRPr="0015074D">
        <w:rPr>
          <w:lang w:val="es-ES"/>
        </w:rPr>
        <w:t>Los medios de comunicación indicaron que se lanzaron varios ataques contra proveedores de servicios de telecomunicaciones en la región (por ejemplo, la oficina de Thuray</w:t>
      </w:r>
      <w:r w:rsidR="00D726A5" w:rsidRPr="0015074D">
        <w:rPr>
          <w:lang w:val="es-ES"/>
        </w:rPr>
        <w:t>a</w:t>
      </w:r>
      <w:r w:rsidR="00ED3591" w:rsidRPr="0015074D">
        <w:rPr>
          <w:lang w:val="es-ES"/>
        </w:rPr>
        <w:t> </w:t>
      </w:r>
      <w:r w:rsidRPr="0015074D">
        <w:rPr>
          <w:lang w:val="es-ES"/>
        </w:rPr>
        <w:t>Telecom</w:t>
      </w:r>
      <w:r w:rsidRPr="0015074D">
        <w:rPr>
          <w:rStyle w:val="FootnoteReference"/>
          <w:lang w:val="es-ES"/>
        </w:rPr>
        <w:footnoteReference w:id="21"/>
      </w:r>
      <w:r w:rsidR="00ED3591" w:rsidRPr="0015074D">
        <w:rPr>
          <w:lang w:val="es-ES"/>
        </w:rPr>
        <w:t xml:space="preserve">, </w:t>
      </w:r>
      <w:r w:rsidRPr="0015074D">
        <w:rPr>
          <w:lang w:val="es-ES"/>
        </w:rPr>
        <w:t>la oficina de du</w:t>
      </w:r>
      <w:r w:rsidR="00ED3591" w:rsidRPr="0015074D">
        <w:rPr>
          <w:lang w:val="es-ES"/>
        </w:rPr>
        <w:t> </w:t>
      </w:r>
      <w:r w:rsidRPr="0015074D">
        <w:rPr>
          <w:lang w:val="es-ES"/>
        </w:rPr>
        <w:t>Telecommunications)</w:t>
      </w:r>
      <w:r w:rsidRPr="0015074D">
        <w:rPr>
          <w:rStyle w:val="FootnoteReference"/>
          <w:lang w:val="es-ES"/>
        </w:rPr>
        <w:footnoteReference w:id="22"/>
      </w:r>
      <w:r w:rsidR="00ED3591" w:rsidRPr="0015074D">
        <w:rPr>
          <w:lang w:val="es-ES"/>
        </w:rPr>
        <w:t xml:space="preserve">. </w:t>
      </w:r>
      <w:r w:rsidRPr="0015074D">
        <w:rPr>
          <w:lang w:val="es-ES"/>
        </w:rPr>
        <w:t>Dado que este informe provisional se basa en una metodología de investigación documental y debido a la falta de detalles accesibles al público que puedan utilizarse para validar los ataques y los daños causados, se recopilarán más datos y pruebas en las próximas etapas de esta evaluación para evaluar los informes de los medios y evaluar los daños causados por ello</w:t>
      </w:r>
      <w:r w:rsidR="00ED3591" w:rsidRPr="0015074D">
        <w:rPr>
          <w:lang w:val="es-ES"/>
        </w:rPr>
        <w:t xml:space="preserve">s, </w:t>
      </w:r>
      <w:r w:rsidRPr="0015074D">
        <w:rPr>
          <w:lang w:val="es-ES"/>
        </w:rPr>
        <w:t>así como cualquier otro ataque que pudiera haber sido denunciado por los medios de comunicación.</w:t>
      </w:r>
    </w:p>
    <w:p w14:paraId="481CABC2" w14:textId="77777777" w:rsidR="00614B3B" w:rsidRPr="0015074D" w:rsidRDefault="00614B3B" w:rsidP="008905B6">
      <w:pPr>
        <w:pStyle w:val="Heading1"/>
        <w:rPr>
          <w:lang w:val="es-ES"/>
        </w:rPr>
      </w:pPr>
      <w:r w:rsidRPr="0015074D">
        <w:rPr>
          <w:lang w:val="es-ES"/>
        </w:rPr>
        <w:lastRenderedPageBreak/>
        <w:t>3</w:t>
      </w:r>
      <w:r w:rsidRPr="0015074D">
        <w:rPr>
          <w:lang w:val="es-ES"/>
        </w:rPr>
        <w:tab/>
        <w:t>Interferencia al sistema mundial de navegación por satélite (GNSS)</w:t>
      </w:r>
    </w:p>
    <w:p w14:paraId="0EF61A4E" w14:textId="486D5B33" w:rsidR="00614B3B" w:rsidRPr="0015074D" w:rsidRDefault="00614B3B" w:rsidP="00EC2C12">
      <w:pPr>
        <w:rPr>
          <w:lang w:val="es-ES"/>
        </w:rPr>
      </w:pPr>
      <w:r w:rsidRPr="0015074D">
        <w:rPr>
          <w:lang w:val="es-ES"/>
        </w:rPr>
        <w:t>En los últimos años, la interferencia perjudicial que afecta al servicio de radionavegación por satélite (SRNS), que apoya los sistemas mundiales de navegación por satélite (GNSS), se ha convertido en una preocupación creciente para la Junta del Reglamento de Radiocomunicaciones</w:t>
      </w:r>
      <w:r w:rsidR="00947E29" w:rsidRPr="0015074D">
        <w:rPr>
          <w:lang w:val="es-ES"/>
        </w:rPr>
        <w:t xml:space="preserve"> </w:t>
      </w:r>
      <w:r w:rsidRPr="0015074D">
        <w:rPr>
          <w:lang w:val="es-ES"/>
        </w:rPr>
        <w:t>(RRB).</w:t>
      </w:r>
    </w:p>
    <w:p w14:paraId="125BDA3C" w14:textId="08049392" w:rsidR="00614B3B" w:rsidRPr="0015074D" w:rsidRDefault="00614B3B" w:rsidP="00EC2C12">
      <w:pPr>
        <w:rPr>
          <w:lang w:val="es-ES"/>
        </w:rPr>
      </w:pPr>
      <w:r w:rsidRPr="0015074D">
        <w:rPr>
          <w:lang w:val="es-ES"/>
        </w:rPr>
        <w:t>En 2024, la RRB observó un notable aumento de los informes de interferencia perjudicial que afectaban a receptores GNSS en múltiples regiones. Los incidentes denunciados no se limitaban a interrupciones aisladas; afectaron cada vez más a las aplicaciones críticas de navegación y temporización que apoyan la aviación civil, las operaciones marítimas y las telecomunicaciones. La</w:t>
      </w:r>
      <w:r w:rsidR="00D778F7" w:rsidRPr="0015074D">
        <w:rPr>
          <w:lang w:val="es-ES"/>
        </w:rPr>
        <w:t> </w:t>
      </w:r>
      <w:r w:rsidRPr="0015074D">
        <w:rPr>
          <w:lang w:val="es-ES"/>
        </w:rPr>
        <w:t>RRB expresó en repetidas ocasiones su preocupación por la utilización de técnicas de interferencia deliberada y suplantación de señal, e indicaron que tales prácticas podrían socavar el funcionamiento seguro y eficaz de las infraestructuras críticas y los servicios de seguridad de la vida humana.</w:t>
      </w:r>
    </w:p>
    <w:p w14:paraId="68CFF69A" w14:textId="700C280A" w:rsidR="00614B3B" w:rsidRPr="0015074D" w:rsidRDefault="00614B3B" w:rsidP="00EC2C12">
      <w:pPr>
        <w:rPr>
          <w:lang w:val="es-ES"/>
        </w:rPr>
      </w:pPr>
      <w:r w:rsidRPr="0015074D">
        <w:rPr>
          <w:lang w:val="es-ES"/>
        </w:rPr>
        <w:t>En Oriente Medio, las administraciones informaron de interferencias que afectaban a receptores</w:t>
      </w:r>
      <w:r w:rsidR="00D778F7" w:rsidRPr="0015074D">
        <w:rPr>
          <w:lang w:val="es-ES"/>
        </w:rPr>
        <w:t> </w:t>
      </w:r>
      <w:r w:rsidRPr="0015074D">
        <w:rPr>
          <w:lang w:val="es-ES"/>
        </w:rPr>
        <w:t>GNSS utilizados para aplicaciones de navegación y seguridad. La RRB alentó a las administraciones interesadas a investigar los casos, cooperar directamente y tomar medidas inmediatas para eliminar la interferencia perjudicial. A través de una serie de debates y acciones coordinadas facilitadas por la Oficina, las administraciones implicadas demostraron voluntad de cooperar y, a finales de 2025, la RRB observó avances positivos en la resolución de varios de los casos notificados.</w:t>
      </w:r>
    </w:p>
    <w:p w14:paraId="0D3464BD" w14:textId="595A5111" w:rsidR="00614B3B" w:rsidRPr="0015074D" w:rsidRDefault="00614B3B" w:rsidP="00EC2C12">
      <w:pPr>
        <w:rPr>
          <w:lang w:val="es-ES"/>
        </w:rPr>
      </w:pPr>
      <w:r w:rsidRPr="0015074D">
        <w:rPr>
          <w:lang w:val="es-ES"/>
        </w:rPr>
        <w:t>Además, las evaluaciones e informes públicos de la industria ponen de manifiesto un aumento significativo de las perturbaciones que afectan a las señales GNSS en toda la región del Golfo. La</w:t>
      </w:r>
      <w:r w:rsidR="00947E29" w:rsidRPr="0015074D">
        <w:rPr>
          <w:lang w:val="es-ES"/>
        </w:rPr>
        <w:t> </w:t>
      </w:r>
      <w:r w:rsidRPr="0015074D">
        <w:rPr>
          <w:lang w:val="es-ES"/>
        </w:rPr>
        <w:t>región ya experimentaba niveles elevados de interferencia del GNSS antes del conflicto. Por ejemplo, en una encuesta realizada en 2025 por el Royal Institute of Navigation, más del 80</w:t>
      </w:r>
      <w:r w:rsidR="00D778F7" w:rsidRPr="0015074D">
        <w:rPr>
          <w:lang w:val="es-ES"/>
        </w:rPr>
        <w:t> </w:t>
      </w:r>
      <w:r w:rsidRPr="0015074D">
        <w:rPr>
          <w:lang w:val="es-ES"/>
        </w:rPr>
        <w:t xml:space="preserve">% de los marinos que habían operado en </w:t>
      </w:r>
      <w:r w:rsidR="0008557E" w:rsidRPr="0015074D">
        <w:rPr>
          <w:lang w:val="es-ES"/>
        </w:rPr>
        <w:t>el Golfo Pérsico</w:t>
      </w:r>
      <w:r w:rsidRPr="0015074D">
        <w:rPr>
          <w:lang w:val="es-ES"/>
        </w:rPr>
        <w:t xml:space="preserve"> informaron haber experimentado interferencias del GNSS</w:t>
      </w:r>
      <w:r w:rsidRPr="0015074D">
        <w:rPr>
          <w:rStyle w:val="FootnoteReference"/>
          <w:lang w:val="es-ES"/>
        </w:rPr>
        <w:footnoteReference w:id="23"/>
      </w:r>
      <w:r w:rsidR="00D778F7" w:rsidRPr="0015074D">
        <w:rPr>
          <w:lang w:val="es-ES"/>
        </w:rPr>
        <w:t xml:space="preserve">. </w:t>
      </w:r>
      <w:r w:rsidRPr="0015074D">
        <w:rPr>
          <w:lang w:val="es-ES"/>
        </w:rPr>
        <w:t>Del mismo modo, la Asociación del Transporte Aéreo Internacional (IATA) detectó un aumento de los niveles de interferencia de radiofrecuencia del GNSS en la región del Golfo y sus alrededores en su evaluación de riesgos para la seguridad de</w:t>
      </w:r>
      <w:r w:rsidR="00D778F7" w:rsidRPr="0015074D">
        <w:rPr>
          <w:lang w:val="es-ES"/>
        </w:rPr>
        <w:t> </w:t>
      </w:r>
      <w:r w:rsidRPr="0015074D">
        <w:rPr>
          <w:lang w:val="es-ES"/>
        </w:rPr>
        <w:t>2025</w:t>
      </w:r>
      <w:r w:rsidRPr="0015074D">
        <w:rPr>
          <w:rStyle w:val="FootnoteReference"/>
          <w:lang w:val="es-ES"/>
        </w:rPr>
        <w:footnoteReference w:id="24"/>
      </w:r>
      <w:bookmarkStart w:id="14" w:name="_Ref241576694"/>
      <w:bookmarkEnd w:id="14"/>
      <w:r w:rsidR="00756ED1" w:rsidRPr="0015074D">
        <w:rPr>
          <w:lang w:val="es-ES"/>
        </w:rPr>
        <w:t>.</w:t>
      </w:r>
    </w:p>
    <w:p w14:paraId="2E0964A1" w14:textId="09CD8052" w:rsidR="00614B3B" w:rsidRPr="0015074D" w:rsidRDefault="00614B3B" w:rsidP="00EC2C12">
      <w:pPr>
        <w:rPr>
          <w:lang w:val="es-ES"/>
        </w:rPr>
      </w:pPr>
      <w:r w:rsidRPr="0015074D">
        <w:rPr>
          <w:lang w:val="es-ES"/>
        </w:rPr>
        <w:t>Los datos de comprobación técnica disponibles indican que la actividad de interferencia aumentó aún más durante 2026. Los datos de comprobación técnica comercial indican que en el primer trimestre de 2026 se registró la mayor concentración de eventos de interferencia del GNSS marítimo observados hasta la fecha: un 98</w:t>
      </w:r>
      <w:r w:rsidR="00D778F7" w:rsidRPr="0015074D">
        <w:rPr>
          <w:lang w:val="es-ES"/>
        </w:rPr>
        <w:t> </w:t>
      </w:r>
      <w:r w:rsidRPr="0015074D">
        <w:rPr>
          <w:lang w:val="es-ES"/>
        </w:rPr>
        <w:t>% de ellos en la región del Golfo</w:t>
      </w:r>
      <w:r w:rsidRPr="0015074D">
        <w:rPr>
          <w:rStyle w:val="FootnoteReference"/>
          <w:lang w:val="es-ES"/>
        </w:rPr>
        <w:footnoteReference w:id="25"/>
      </w:r>
      <w:r w:rsidR="00D778F7" w:rsidRPr="0015074D">
        <w:rPr>
          <w:lang w:val="es-ES"/>
        </w:rPr>
        <w:t>.</w:t>
      </w:r>
      <w:r w:rsidRPr="0015074D">
        <w:rPr>
          <w:lang w:val="es-ES"/>
        </w:rPr>
        <w:t xml:space="preserve"> Los medios de comunicación también han descrito las perturbaciones que afectan a los sistemas de </w:t>
      </w:r>
      <w:r w:rsidRPr="0015074D">
        <w:rPr>
          <w:lang w:val="es-ES"/>
        </w:rPr>
        <w:lastRenderedPageBreak/>
        <w:t>navegación</w:t>
      </w:r>
      <w:r w:rsidR="00947E29" w:rsidRPr="0015074D">
        <w:rPr>
          <w:lang w:val="es-ES"/>
        </w:rPr>
        <w:t> </w:t>
      </w:r>
      <w:r w:rsidRPr="0015074D">
        <w:rPr>
          <w:lang w:val="es-ES"/>
        </w:rPr>
        <w:t>GNSS, en particular los receptores del sistema mundial de determinación de posición (GPS), utilizados por usuarios marítimos, aeronáuticos y terrestres</w:t>
      </w:r>
      <w:r w:rsidRPr="0015074D">
        <w:rPr>
          <w:rStyle w:val="FootnoteReference"/>
          <w:lang w:val="es-ES"/>
        </w:rPr>
        <w:footnoteReference w:id="26"/>
      </w:r>
      <w:r w:rsidR="00D778F7" w:rsidRPr="0015074D">
        <w:rPr>
          <w:lang w:val="es-ES"/>
        </w:rPr>
        <w:t>.</w:t>
      </w:r>
    </w:p>
    <w:p w14:paraId="39663048" w14:textId="4A0447EF" w:rsidR="00614B3B" w:rsidRPr="0015074D" w:rsidRDefault="00614B3B" w:rsidP="00EC2C12">
      <w:pPr>
        <w:rPr>
          <w:szCs w:val="24"/>
          <w:lang w:val="es-ES"/>
        </w:rPr>
      </w:pPr>
      <w:r w:rsidRPr="0015074D">
        <w:rPr>
          <w:lang w:val="es-ES"/>
        </w:rPr>
        <w:t>Las interrupciones notificadas han afectado a los servicios de posicionamiento, navegación y temporización utilizados por usuarios marítimos, aeronáuticos y terrestres. El aumento de los niveles de interferencia puede aumentar los riesgos operativos para los sectores que dependen de señales GNSS precisas y fiables, incluidas las redes de transporte y telecomunicaciones</w:t>
      </w:r>
      <w:r w:rsidRPr="0015074D">
        <w:rPr>
          <w:rStyle w:val="FootnoteReference"/>
          <w:szCs w:val="16"/>
          <w:lang w:val="es-ES"/>
        </w:rPr>
        <w:footnoteReference w:id="27"/>
      </w:r>
      <w:r w:rsidR="00D778F7" w:rsidRPr="0015074D">
        <w:rPr>
          <w:lang w:val="es-ES"/>
        </w:rPr>
        <w:t>.</w:t>
      </w:r>
    </w:p>
    <w:p w14:paraId="2057120D" w14:textId="0BF98829" w:rsidR="00614B3B" w:rsidRPr="0015074D" w:rsidRDefault="00614B3B" w:rsidP="008905B6">
      <w:pPr>
        <w:pStyle w:val="Heading2"/>
        <w:rPr>
          <w:lang w:val="es-ES"/>
        </w:rPr>
      </w:pPr>
      <w:r w:rsidRPr="0015074D">
        <w:rPr>
          <w:lang w:val="es-ES"/>
        </w:rPr>
        <w:t>3.1</w:t>
      </w:r>
      <w:r w:rsidRPr="0015074D">
        <w:rPr>
          <w:lang w:val="es-ES"/>
        </w:rPr>
        <w:tab/>
        <w:t>Esfuerzos de la UIT para hacer frente a la creciente interferencia causada a los sistemas mundiales de navegación por satélite (GNSS)</w:t>
      </w:r>
    </w:p>
    <w:p w14:paraId="475C32AC" w14:textId="06E0338B" w:rsidR="00614B3B" w:rsidRPr="0015074D" w:rsidRDefault="00614B3B" w:rsidP="00EC2C12">
      <w:pPr>
        <w:rPr>
          <w:lang w:val="es-ES"/>
        </w:rPr>
      </w:pPr>
      <w:r w:rsidRPr="0015074D">
        <w:rPr>
          <w:lang w:val="es-ES"/>
        </w:rPr>
        <w:t>Reconociendo la creciente magnitud e importancia internacional del problema, la RRB solicitó a la</w:t>
      </w:r>
      <w:r w:rsidR="00291807" w:rsidRPr="0015074D">
        <w:rPr>
          <w:lang w:val="es-ES"/>
        </w:rPr>
        <w:t> </w:t>
      </w:r>
      <w:r w:rsidRPr="0015074D">
        <w:rPr>
          <w:lang w:val="es-ES"/>
        </w:rPr>
        <w:t>Oficina que creara una página web pública con información sobre los casos notificados, las disposiciones reglamentarias aplicables y las decisiones de la RRB</w:t>
      </w:r>
      <w:r w:rsidRPr="0015074D">
        <w:rPr>
          <w:rStyle w:val="FootnoteReference"/>
          <w:szCs w:val="16"/>
          <w:lang w:val="es-ES"/>
        </w:rPr>
        <w:footnoteReference w:id="28"/>
      </w:r>
      <w:r w:rsidR="00291807" w:rsidRPr="0015074D">
        <w:rPr>
          <w:lang w:val="es-ES"/>
        </w:rPr>
        <w:t xml:space="preserve">. </w:t>
      </w:r>
      <w:r w:rsidRPr="0015074D">
        <w:rPr>
          <w:lang w:val="es-ES"/>
        </w:rPr>
        <w:t>La RRB también respaldó la continuación de los esfuerzos de información y coordinación, subrayando que la interferencia perjudicial causada a las señales GNSS presenta riesgos no solo para los sistemas nacionales de radiocomunicaciones, sino también para el transporte, la navegación y la seguridad internacionales.</w:t>
      </w:r>
    </w:p>
    <w:p w14:paraId="3710C1EF" w14:textId="77777777" w:rsidR="00614B3B" w:rsidRPr="0015074D" w:rsidRDefault="00614B3B" w:rsidP="00EC2C12">
      <w:pPr>
        <w:rPr>
          <w:lang w:val="es-ES"/>
        </w:rPr>
      </w:pPr>
      <w:r w:rsidRPr="0015074D">
        <w:rPr>
          <w:lang w:val="es-ES"/>
        </w:rPr>
        <w:t>En 2026, la RRB siguió recibiendo informes de interferencia y suplantación de señal de GNSS. Aunque algunos casos han mostrado signos de mejora gracias al diálogo y a las medidas operativas, la RRB llegó a la conclusión de que la interferencia perjudicial causada al SRNS seguía siendo una cuestión importante y sin resolver que requería una cooperación internacional constante. A lo largo de sus deliberaciones, la RRB insistió constantemente en que las administraciones debían colaborar para investigar incidentes, resolver rápidamente los casos de interferencia perjudicial y salvaguardar la integridad de los sistemas de navegación por satélite que soportan aplicaciones críticas de navegación, temporización y seguridad.</w:t>
      </w:r>
    </w:p>
    <w:p w14:paraId="18ECB250" w14:textId="0130E564" w:rsidR="00614B3B" w:rsidRPr="0015074D" w:rsidRDefault="00614B3B" w:rsidP="00601F1B">
      <w:pPr>
        <w:pStyle w:val="Heading1"/>
        <w:rPr>
          <w:lang w:val="es-ES"/>
        </w:rPr>
      </w:pPr>
      <w:r w:rsidRPr="0015074D">
        <w:rPr>
          <w:lang w:val="es-ES"/>
        </w:rPr>
        <w:t>4</w:t>
      </w:r>
      <w:r w:rsidRPr="0015074D">
        <w:rPr>
          <w:lang w:val="es-ES"/>
        </w:rPr>
        <w:tab/>
        <w:t xml:space="preserve">Riesgos para los cables submarinos y la red troncal de Internet </w:t>
      </w:r>
    </w:p>
    <w:p w14:paraId="4B815B4A" w14:textId="52BB857C" w:rsidR="00614B3B" w:rsidRPr="0015074D" w:rsidRDefault="00614B3B" w:rsidP="00EC2C12">
      <w:pPr>
        <w:rPr>
          <w:lang w:val="es-ES"/>
        </w:rPr>
      </w:pPr>
      <w:r w:rsidRPr="0015074D">
        <w:rPr>
          <w:lang w:val="es-ES"/>
        </w:rPr>
        <w:t>En la contribución conjunta presentada al Consejo de 2026 (ahora Resolución</w:t>
      </w:r>
      <w:r w:rsidR="00A860C8" w:rsidRPr="0015074D">
        <w:rPr>
          <w:lang w:val="es-ES"/>
        </w:rPr>
        <w:t> </w:t>
      </w:r>
      <w:r w:rsidRPr="0015074D">
        <w:rPr>
          <w:lang w:val="es-ES"/>
        </w:rPr>
        <w:t>1436) por Bahrein, Kuwait, los Emiratos Árabes Unidos y Jordania se informa de ataques directos contra una estación de amarre de cable submarino en los Emiratos Árabes Unidos los días 31 de marzo y 6 de abril de</w:t>
      </w:r>
      <w:r w:rsidR="00291807" w:rsidRPr="0015074D">
        <w:rPr>
          <w:lang w:val="es-ES"/>
        </w:rPr>
        <w:t> </w:t>
      </w:r>
      <w:r w:rsidRPr="0015074D">
        <w:rPr>
          <w:lang w:val="es-ES"/>
        </w:rPr>
        <w:t>2026. Aunque las consecuencias de los ataques a la estación de amarre de cable submarino del</w:t>
      </w:r>
      <w:r w:rsidR="00291807" w:rsidRPr="0015074D">
        <w:rPr>
          <w:lang w:val="es-ES"/>
        </w:rPr>
        <w:t> </w:t>
      </w:r>
      <w:r w:rsidRPr="0015074D">
        <w:rPr>
          <w:lang w:val="es-ES"/>
        </w:rPr>
        <w:t>31 de marzo y el 6 de abril se evaluarán en las próximas etapas del presente informe, es fundamental sensibilizar sobre estos riesgos en la región y garantizar la protección de la red troncal de Internet en la región.</w:t>
      </w:r>
    </w:p>
    <w:p w14:paraId="3C97F083" w14:textId="2732D9A7" w:rsidR="00614B3B" w:rsidRPr="0015074D" w:rsidRDefault="00614B3B" w:rsidP="00EC2C12">
      <w:pPr>
        <w:rPr>
          <w:lang w:val="es-ES"/>
        </w:rPr>
      </w:pPr>
      <w:r w:rsidRPr="0015074D">
        <w:rPr>
          <w:lang w:val="es-ES"/>
        </w:rPr>
        <w:lastRenderedPageBreak/>
        <w:t>Las evaluaciones de la industria</w:t>
      </w:r>
      <w:r w:rsidR="00F651F0" w:rsidRPr="0015074D">
        <w:rPr>
          <w:rStyle w:val="FootnoteReference"/>
          <w:lang w:val="es-ES"/>
        </w:rPr>
        <w:footnoteReference w:id="29"/>
      </w:r>
      <w:r w:rsidRPr="0015074D">
        <w:rPr>
          <w:lang w:val="es-ES"/>
        </w:rPr>
        <w:t xml:space="preserve"> indican que, si bien existen rutas terrenales en la región del Golfo, los cables submarinos representan la principal fuente de conectividad internacional para los Estados del Golfo.</w:t>
      </w:r>
      <w:bookmarkStart w:id="15" w:name="_Ref241173948"/>
      <w:bookmarkEnd w:id="15"/>
    </w:p>
    <w:p w14:paraId="2BF2A822" w14:textId="5ECA731F" w:rsidR="00614B3B" w:rsidRPr="0015074D" w:rsidRDefault="00614B3B" w:rsidP="00015A26">
      <w:pPr>
        <w:rPr>
          <w:lang w:val="es-ES"/>
        </w:rPr>
      </w:pPr>
      <w:r w:rsidRPr="0015074D">
        <w:rPr>
          <w:lang w:val="es-ES"/>
        </w:rPr>
        <w:t>Como indica TeleGeography</w:t>
      </w:r>
      <w:r w:rsidR="00F651F0" w:rsidRPr="0015074D">
        <w:rPr>
          <w:rStyle w:val="FootnoteReference"/>
          <w:lang w:val="es-ES"/>
        </w:rPr>
        <w:t>29</w:t>
      </w:r>
      <w:r w:rsidRPr="0015074D">
        <w:rPr>
          <w:lang w:val="es-ES"/>
        </w:rPr>
        <w:t xml:space="preserve">, </w:t>
      </w:r>
      <w:r w:rsidR="00DD7D9E" w:rsidRPr="0015074D">
        <w:rPr>
          <w:lang w:val="es-ES"/>
        </w:rPr>
        <w:t>"</w:t>
      </w:r>
      <w:r w:rsidRPr="0015074D">
        <w:rPr>
          <w:lang w:val="es-ES"/>
        </w:rPr>
        <w:t>la capacidad de las redes terrenales puede no ser suficiente para manejar el reencaminamiento completo del tráfico si se dañan los sistemas submarinos del Golfo. Las redes terrenales no son un sustituto perfecto de los sistemas submarinos y no son inmunes a los daños de las propias hostilidades</w:t>
      </w:r>
      <w:r w:rsidR="00DD7D9E" w:rsidRPr="0015074D">
        <w:rPr>
          <w:lang w:val="es-ES"/>
        </w:rPr>
        <w:t>"</w:t>
      </w:r>
      <w:r w:rsidRPr="0015074D">
        <w:rPr>
          <w:lang w:val="es-ES"/>
        </w:rPr>
        <w:t xml:space="preserve">. En particular, se señala en el caso de Kuwait y Bahrein que </w:t>
      </w:r>
      <w:r w:rsidR="00DD7D9E" w:rsidRPr="0015074D">
        <w:rPr>
          <w:lang w:val="es-ES"/>
        </w:rPr>
        <w:t>"</w:t>
      </w:r>
      <w:r w:rsidRPr="0015074D">
        <w:rPr>
          <w:lang w:val="es-ES"/>
        </w:rPr>
        <w:t>estos países tienen conexiones de red terrenal con la Arabia Saudita, mientras que Kuwait también está conectado con el Iraq. Estas rutas terrenales ofrecen conectividad hacia el resto del mundo</w:t>
      </w:r>
      <w:r w:rsidR="00DD7D9E" w:rsidRPr="0015074D">
        <w:rPr>
          <w:lang w:val="es-ES"/>
        </w:rPr>
        <w:t>"</w:t>
      </w:r>
      <w:r w:rsidR="00F651F0" w:rsidRPr="0015074D">
        <w:rPr>
          <w:rStyle w:val="FootnoteReference"/>
          <w:lang w:val="es-ES"/>
        </w:rPr>
        <w:t>29</w:t>
      </w:r>
      <w:r w:rsidRPr="0015074D">
        <w:rPr>
          <w:color w:val="000000"/>
          <w:lang w:val="es-ES"/>
        </w:rPr>
        <w:t>.</w:t>
      </w:r>
    </w:p>
    <w:p w14:paraId="1728F253" w14:textId="7BF9245B" w:rsidR="00614B3B" w:rsidRPr="0015074D" w:rsidRDefault="00614B3B" w:rsidP="00015A26">
      <w:pPr>
        <w:rPr>
          <w:lang w:val="es-ES"/>
        </w:rPr>
      </w:pPr>
      <w:r w:rsidRPr="0015074D">
        <w:rPr>
          <w:lang w:val="es-ES"/>
        </w:rPr>
        <w:t>Los Emiratos Árabes Unidos están mejor equipados para resistir las perturbaciones causadas a los cables submarinos, con conexiones terrenales con países vecinos y varios cables submarinos que amarran en Fujairah, en el Golfo de Omán. Esto da a los Emiratos Árabes Unidos una mayor resiliencia en caso de interrupción de los cables.</w:t>
      </w:r>
    </w:p>
    <w:p w14:paraId="18E5290E" w14:textId="59216FF0" w:rsidR="00614B3B" w:rsidRPr="0015074D" w:rsidRDefault="00614B3B" w:rsidP="00015A26">
      <w:pPr>
        <w:rPr>
          <w:lang w:val="es-ES"/>
        </w:rPr>
      </w:pPr>
      <w:r w:rsidRPr="0015074D">
        <w:rPr>
          <w:lang w:val="es-ES"/>
        </w:rPr>
        <w:t>Con todo, según TeleGeography</w:t>
      </w:r>
      <w:r w:rsidR="00F651F0" w:rsidRPr="0015074D">
        <w:rPr>
          <w:rStyle w:val="FootnoteReference"/>
          <w:lang w:val="es-ES"/>
        </w:rPr>
        <w:t>29</w:t>
      </w:r>
      <w:r w:rsidRPr="0015074D">
        <w:rPr>
          <w:lang w:val="es-ES"/>
        </w:rPr>
        <w:t>, aunque ninguno de estos países depende enteramente de los cables submarinos para la conectividad internacional, las redes terrenales pueden carecer de capacidad para tratar un reencaminamiento completo del tráfico si se dañan los cables submarinos del Golfo</w:t>
      </w:r>
      <w:r w:rsidR="0008557E" w:rsidRPr="0015074D">
        <w:rPr>
          <w:lang w:val="es-ES"/>
        </w:rPr>
        <w:t xml:space="preserve"> Pérsico</w:t>
      </w:r>
      <w:r w:rsidR="00014DB6" w:rsidRPr="0015074D">
        <w:rPr>
          <w:lang w:val="es-ES"/>
        </w:rPr>
        <w:t>.</w:t>
      </w:r>
    </w:p>
    <w:p w14:paraId="2A64BBD4" w14:textId="451429B9" w:rsidR="00614B3B" w:rsidRPr="0015074D" w:rsidRDefault="00614B3B" w:rsidP="008905B6">
      <w:pPr>
        <w:pStyle w:val="Heading1"/>
        <w:rPr>
          <w:lang w:val="es-ES"/>
        </w:rPr>
      </w:pPr>
      <w:r w:rsidRPr="0015074D">
        <w:rPr>
          <w:lang w:val="es-ES"/>
        </w:rPr>
        <w:t>5</w:t>
      </w:r>
      <w:r w:rsidRPr="0015074D">
        <w:rPr>
          <w:lang w:val="es-ES"/>
        </w:rPr>
        <w:tab/>
        <w:t>Repercusiones en los programas de la UIT</w:t>
      </w:r>
    </w:p>
    <w:p w14:paraId="75868144" w14:textId="15A0B3FA" w:rsidR="00614B3B" w:rsidRPr="0015074D" w:rsidRDefault="00614B3B" w:rsidP="00EC2C12">
      <w:pPr>
        <w:rPr>
          <w:lang w:val="es-ES"/>
        </w:rPr>
      </w:pPr>
      <w:r w:rsidRPr="0015074D">
        <w:rPr>
          <w:lang w:val="es-ES"/>
        </w:rPr>
        <w:t>Como resultado del conflicto, los siguientes programas de la UIT se han visto afectados:</w:t>
      </w:r>
    </w:p>
    <w:p w14:paraId="4419F1F5" w14:textId="319166D0" w:rsidR="00614B3B" w:rsidRPr="0015074D" w:rsidRDefault="00EC2C12" w:rsidP="00EC2C12">
      <w:pPr>
        <w:pStyle w:val="enumlev1"/>
        <w:rPr>
          <w:lang w:val="es-ES"/>
        </w:rPr>
      </w:pPr>
      <w:r w:rsidRPr="0015074D">
        <w:rPr>
          <w:lang w:val="es-ES"/>
        </w:rPr>
        <w:t>•</w:t>
      </w:r>
      <w:r w:rsidRPr="0015074D">
        <w:rPr>
          <w:lang w:val="es-ES"/>
        </w:rPr>
        <w:tab/>
      </w:r>
      <w:r w:rsidR="00614B3B" w:rsidRPr="0015074D">
        <w:rPr>
          <w:lang w:val="es-ES"/>
        </w:rPr>
        <w:t>El Cibersimulacro Mundial de la UIT, cuya celebración estaba prevista entre el 5 y el 7 d</w:t>
      </w:r>
      <w:r w:rsidR="00FF4B33" w:rsidRPr="0015074D">
        <w:rPr>
          <w:lang w:val="es-ES"/>
        </w:rPr>
        <w:t xml:space="preserve">e </w:t>
      </w:r>
      <w:r w:rsidR="00614B3B" w:rsidRPr="0015074D">
        <w:rPr>
          <w:lang w:val="es-ES"/>
        </w:rPr>
        <w:t>mayo de 2026 en Dubái, se pospuso inicialmente y posteriormente se canceló</w:t>
      </w:r>
      <w:r w:rsidR="00614B3B" w:rsidRPr="0015074D">
        <w:rPr>
          <w:rStyle w:val="FootnoteReference"/>
          <w:lang w:val="es-ES"/>
        </w:rPr>
        <w:footnoteReference w:id="30"/>
      </w:r>
      <w:r w:rsidR="0020306A" w:rsidRPr="0015074D">
        <w:rPr>
          <w:lang w:val="es-ES"/>
        </w:rPr>
        <w:t xml:space="preserve">. </w:t>
      </w:r>
      <w:r w:rsidR="00614B3B" w:rsidRPr="0015074D">
        <w:rPr>
          <w:lang w:val="es-ES"/>
        </w:rPr>
        <w:t>La decisión inicial de aplazar el evento estaba directamente relacionada con el conflicto en la región, ya que muchos países, incluidos Kuwait y Jordania, no podían participar. Debido a la continuación del conflicto, la UIT decidió posteriormente cancelar el evento.</w:t>
      </w:r>
    </w:p>
    <w:p w14:paraId="32641F58" w14:textId="2D78CBB6" w:rsidR="00614B3B" w:rsidRPr="0015074D" w:rsidRDefault="00EC2C12" w:rsidP="00EC2C12">
      <w:pPr>
        <w:pStyle w:val="enumlev1"/>
        <w:rPr>
          <w:lang w:val="es-ES"/>
        </w:rPr>
      </w:pPr>
      <w:r w:rsidRPr="0015074D">
        <w:rPr>
          <w:lang w:val="es-ES"/>
        </w:rPr>
        <w:t>•</w:t>
      </w:r>
      <w:r w:rsidRPr="0015074D">
        <w:rPr>
          <w:lang w:val="es-ES"/>
        </w:rPr>
        <w:tab/>
      </w:r>
      <w:r w:rsidR="00614B3B" w:rsidRPr="0015074D">
        <w:rPr>
          <w:lang w:val="es-ES"/>
        </w:rPr>
        <w:t>El Foro Regional de Desarrollo para los Estados Árabes (FDR-26-ARB), que estaba previsto celebrarse en Jordania, se ha pospuesto hasta 2027</w:t>
      </w:r>
      <w:r w:rsidR="00614B3B" w:rsidRPr="0015074D">
        <w:rPr>
          <w:rStyle w:val="FootnoteReference"/>
          <w:lang w:val="es-ES"/>
        </w:rPr>
        <w:footnoteReference w:id="31"/>
      </w:r>
      <w:r w:rsidR="0049643D" w:rsidRPr="0015074D">
        <w:rPr>
          <w:lang w:val="es-ES"/>
        </w:rPr>
        <w:t xml:space="preserve">. </w:t>
      </w:r>
      <w:r w:rsidR="00614B3B" w:rsidRPr="0015074D">
        <w:rPr>
          <w:lang w:val="es-ES"/>
        </w:rPr>
        <w:t>La Oficina Regional de la UIT para los Estados Árabes pospuso el evento tras consultar a los Estados Miembros e invitar a las partes interesadas a elegir entre celebrar el Foro de forma virtual en 2026 o posponerlo hasta 2027 para una reunión presencial. Se decidió aplazar el evento hasta 2027.</w:t>
      </w:r>
    </w:p>
    <w:p w14:paraId="4613368E" w14:textId="76593FDF" w:rsidR="00614B3B" w:rsidRPr="0015074D" w:rsidRDefault="00EC2C12" w:rsidP="00EC2C12">
      <w:pPr>
        <w:pStyle w:val="enumlev1"/>
        <w:rPr>
          <w:lang w:val="es-ES"/>
        </w:rPr>
      </w:pPr>
      <w:r w:rsidRPr="0015074D">
        <w:rPr>
          <w:lang w:val="es-ES"/>
        </w:rPr>
        <w:lastRenderedPageBreak/>
        <w:t>•</w:t>
      </w:r>
      <w:r w:rsidRPr="0015074D">
        <w:rPr>
          <w:lang w:val="es-ES"/>
        </w:rPr>
        <w:tab/>
      </w:r>
      <w:r w:rsidR="00614B3B" w:rsidRPr="0015074D">
        <w:rPr>
          <w:lang w:val="es-ES"/>
        </w:rPr>
        <w:t>El Diálogo Regional Árabe sobre Política y Reglamentación se pospuso hasta 2027</w:t>
      </w:r>
      <w:r w:rsidR="00614B3B" w:rsidRPr="0015074D">
        <w:rPr>
          <w:rStyle w:val="FootnoteReference"/>
          <w:lang w:val="es-ES"/>
        </w:rPr>
        <w:footnoteReference w:id="32"/>
      </w:r>
      <w:r w:rsidR="00614B3B" w:rsidRPr="0015074D">
        <w:rPr>
          <w:lang w:val="es-ES"/>
        </w:rPr>
        <w:t xml:space="preserve"> para permitir la participación de todos los países, incluidos los cuatro países mencionados en esta Resolución.</w:t>
      </w:r>
    </w:p>
    <w:p w14:paraId="6A20B947" w14:textId="2D0D2485" w:rsidR="00614B3B" w:rsidRPr="0015074D" w:rsidRDefault="00614B3B" w:rsidP="008905B6">
      <w:pPr>
        <w:pStyle w:val="Heading1"/>
        <w:rPr>
          <w:lang w:val="es-ES"/>
        </w:rPr>
      </w:pPr>
      <w:bookmarkStart w:id="16" w:name="_Ref240587414"/>
      <w:r w:rsidRPr="0015074D">
        <w:rPr>
          <w:lang w:val="es-ES"/>
        </w:rPr>
        <w:t>6</w:t>
      </w:r>
      <w:r w:rsidRPr="0015074D">
        <w:rPr>
          <w:lang w:val="es-ES"/>
        </w:rPr>
        <w:tab/>
        <w:t>Las etapas siguientes de la evaluación</w:t>
      </w:r>
      <w:bookmarkEnd w:id="16"/>
    </w:p>
    <w:p w14:paraId="0470D4E1" w14:textId="77777777" w:rsidR="00614B3B" w:rsidRPr="0015074D" w:rsidRDefault="00614B3B" w:rsidP="00D615C8">
      <w:pPr>
        <w:rPr>
          <w:lang w:val="es-ES"/>
        </w:rPr>
      </w:pPr>
      <w:r w:rsidRPr="0015074D">
        <w:rPr>
          <w:lang w:val="es-ES"/>
        </w:rPr>
        <w:t xml:space="preserve">Se prevé que las próximas etapas de la evaluación abarquen las siguientes actividades: </w:t>
      </w:r>
    </w:p>
    <w:p w14:paraId="77A3676B" w14:textId="0B737B09" w:rsidR="00614B3B" w:rsidRPr="0015074D" w:rsidRDefault="00F06912" w:rsidP="00F06912">
      <w:pPr>
        <w:pStyle w:val="enumlev1"/>
        <w:rPr>
          <w:lang w:val="es-ES"/>
        </w:rPr>
      </w:pPr>
      <w:r w:rsidRPr="0015074D">
        <w:rPr>
          <w:lang w:val="es-ES"/>
        </w:rPr>
        <w:t>•</w:t>
      </w:r>
      <w:r w:rsidRPr="0015074D">
        <w:rPr>
          <w:lang w:val="es-ES"/>
        </w:rPr>
        <w:tab/>
      </w:r>
      <w:r w:rsidR="00614B3B" w:rsidRPr="0015074D">
        <w:rPr>
          <w:lang w:val="es-ES"/>
        </w:rPr>
        <w:t>Recopilar datos de fuentes primarias, incluidas entrevistas con las partes interesadas pertinentes de los cuatro países.</w:t>
      </w:r>
    </w:p>
    <w:p w14:paraId="52C3701A" w14:textId="535DA14E" w:rsidR="00614B3B" w:rsidRPr="0015074D" w:rsidRDefault="00F06912" w:rsidP="00F06912">
      <w:pPr>
        <w:pStyle w:val="enumlev1"/>
        <w:rPr>
          <w:lang w:val="es-ES"/>
        </w:rPr>
      </w:pPr>
      <w:r w:rsidRPr="0015074D">
        <w:rPr>
          <w:lang w:val="es-ES"/>
        </w:rPr>
        <w:t>•</w:t>
      </w:r>
      <w:r w:rsidRPr="0015074D">
        <w:rPr>
          <w:lang w:val="es-ES"/>
        </w:rPr>
        <w:tab/>
      </w:r>
      <w:r w:rsidR="00614B3B" w:rsidRPr="0015074D">
        <w:rPr>
          <w:lang w:val="es-ES"/>
        </w:rPr>
        <w:t>Analizar los datos utilizando metodologías cualitativas y cuantitativas, incluida la posible aplicación del marco de evaluación de las necesidades posteriores a la catástrofe</w:t>
      </w:r>
      <w:r w:rsidR="004226FB" w:rsidRPr="0015074D">
        <w:rPr>
          <w:lang w:val="es-ES"/>
        </w:rPr>
        <w:t> </w:t>
      </w:r>
      <w:r w:rsidR="00614B3B" w:rsidRPr="0015074D">
        <w:rPr>
          <w:lang w:val="es-ES"/>
        </w:rPr>
        <w:t>(PDNA)</w:t>
      </w:r>
      <w:r w:rsidR="00614B3B" w:rsidRPr="0015074D">
        <w:rPr>
          <w:rStyle w:val="FootnoteReference"/>
          <w:lang w:val="es-ES"/>
        </w:rPr>
        <w:footnoteReference w:id="33"/>
      </w:r>
      <w:r w:rsidR="00614B3B" w:rsidRPr="0015074D">
        <w:rPr>
          <w:lang w:val="es-ES"/>
        </w:rPr>
        <w:t xml:space="preserve"> para evaluar los daños.</w:t>
      </w:r>
    </w:p>
    <w:p w14:paraId="2EB07594" w14:textId="4B966A89" w:rsidR="00614B3B" w:rsidRPr="0015074D" w:rsidRDefault="00F06912" w:rsidP="00F06912">
      <w:pPr>
        <w:pStyle w:val="enumlev1"/>
        <w:rPr>
          <w:lang w:val="es-ES"/>
        </w:rPr>
      </w:pPr>
      <w:r w:rsidRPr="0015074D">
        <w:rPr>
          <w:lang w:val="es-ES"/>
        </w:rPr>
        <w:t>•</w:t>
      </w:r>
      <w:r w:rsidRPr="0015074D">
        <w:rPr>
          <w:lang w:val="es-ES"/>
        </w:rPr>
        <w:tab/>
      </w:r>
      <w:r w:rsidR="00614B3B" w:rsidRPr="0015074D">
        <w:rPr>
          <w:lang w:val="es-ES"/>
        </w:rPr>
        <w:t xml:space="preserve">Completar la evaluación de las repercusiones en los programas de la UIT en Bahrein, Kuwait, los Emiratos Árabes Unidos y Jordania. </w:t>
      </w:r>
    </w:p>
    <w:p w14:paraId="429B8A54" w14:textId="36E066B7" w:rsidR="00614B3B" w:rsidRPr="0015074D" w:rsidRDefault="00F06912" w:rsidP="00F06912">
      <w:pPr>
        <w:pStyle w:val="enumlev1"/>
        <w:rPr>
          <w:lang w:val="es-ES"/>
        </w:rPr>
      </w:pPr>
      <w:r w:rsidRPr="0015074D">
        <w:rPr>
          <w:lang w:val="es-ES"/>
        </w:rPr>
        <w:t>•</w:t>
      </w:r>
      <w:r w:rsidRPr="0015074D">
        <w:rPr>
          <w:lang w:val="es-ES"/>
        </w:rPr>
        <w:tab/>
      </w:r>
      <w:r w:rsidR="00614B3B" w:rsidRPr="0015074D">
        <w:rPr>
          <w:lang w:val="es-ES"/>
        </w:rPr>
        <w:t>Presentar un informe de evaluación final a la reunión del Consejo de 2027.</w:t>
      </w:r>
    </w:p>
    <w:p w14:paraId="4BD1AF31" w14:textId="77777777" w:rsidR="004226FB" w:rsidRPr="0015074D" w:rsidRDefault="004226FB" w:rsidP="004E322D">
      <w:pPr>
        <w:rPr>
          <w:lang w:val="es-ES"/>
        </w:rPr>
      </w:pPr>
    </w:p>
    <w:p w14:paraId="4AC03C2F" w14:textId="42B4F7F9" w:rsidR="004226FB" w:rsidRPr="0015074D" w:rsidRDefault="004226FB" w:rsidP="008816DD">
      <w:pPr>
        <w:jc w:val="center"/>
        <w:rPr>
          <w:rStyle w:val="PageNumber"/>
          <w:lang w:val="es-ES"/>
        </w:rPr>
      </w:pPr>
      <w:r w:rsidRPr="0015074D">
        <w:rPr>
          <w:lang w:val="es-ES"/>
        </w:rPr>
        <w:t>______________</w:t>
      </w:r>
    </w:p>
    <w:sectPr w:rsidR="004226FB" w:rsidRPr="0015074D" w:rsidSect="00A70E95">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52DA3" w14:textId="77777777" w:rsidR="00964BCE" w:rsidRDefault="00964BCE">
      <w:r>
        <w:separator/>
      </w:r>
    </w:p>
  </w:endnote>
  <w:endnote w:type="continuationSeparator" w:id="0">
    <w:p w14:paraId="1EF53425" w14:textId="77777777" w:rsidR="00964BCE" w:rsidRDefault="0096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ABF4"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FBA5F" w14:textId="77777777" w:rsidR="00964BCE" w:rsidRDefault="00964BCE">
      <w:r>
        <w:t>____________________</w:t>
      </w:r>
    </w:p>
  </w:footnote>
  <w:footnote w:type="continuationSeparator" w:id="0">
    <w:p w14:paraId="6C90057F" w14:textId="77777777" w:rsidR="00964BCE" w:rsidRDefault="00964BCE">
      <w:r>
        <w:continuationSeparator/>
      </w:r>
    </w:p>
  </w:footnote>
  <w:footnote w:id="1">
    <w:p w14:paraId="2EC2C05A" w14:textId="5E4C7C47" w:rsidR="00614B3B" w:rsidRPr="003D7C56" w:rsidRDefault="00614B3B" w:rsidP="00614B3B">
      <w:pPr>
        <w:pStyle w:val="FootnoteText"/>
        <w:rPr>
          <w:sz w:val="16"/>
          <w:szCs w:val="16"/>
          <w:lang w:val="es-ES"/>
        </w:rPr>
      </w:pPr>
      <w:r w:rsidRPr="009540B8">
        <w:rPr>
          <w:rStyle w:val="FootnoteReference"/>
          <w:szCs w:val="16"/>
          <w:lang w:val="es-ES"/>
        </w:rPr>
        <w:footnoteRef/>
      </w:r>
      <w:r w:rsidR="00127649">
        <w:rPr>
          <w:sz w:val="16"/>
          <w:szCs w:val="16"/>
          <w:lang w:val="es-ES"/>
        </w:rPr>
        <w:tab/>
      </w:r>
      <w:r w:rsidRPr="007F3444">
        <w:t>Resolución</w:t>
      </w:r>
      <w:r w:rsidR="004408D0">
        <w:t> </w:t>
      </w:r>
      <w:r w:rsidRPr="007F3444">
        <w:t xml:space="preserve">1436 del Consejo de la UIT | </w:t>
      </w:r>
      <w:hyperlink r:id="rId1" w:history="1">
        <w:r w:rsidRPr="004408D0">
          <w:rPr>
            <w:rStyle w:val="Hyperlink"/>
          </w:rPr>
          <w:t>https://www.itu.int/md/S26-CL-C-0130/e</w:t>
        </w:r>
        <w:r w:rsidR="004408D0" w:rsidRPr="004408D0">
          <w:rPr>
            <w:rStyle w:val="Hyperlink"/>
          </w:rPr>
          <w:t>s</w:t>
        </w:r>
      </w:hyperlink>
      <w:hyperlink r:id="rId2" w:history="1"/>
    </w:p>
  </w:footnote>
  <w:footnote w:id="2">
    <w:p w14:paraId="005A1B42" w14:textId="60688908" w:rsidR="00614B3B" w:rsidRPr="003D7C56" w:rsidRDefault="00614B3B" w:rsidP="00614B3B">
      <w:pPr>
        <w:pStyle w:val="FootnoteText"/>
        <w:rPr>
          <w:sz w:val="16"/>
          <w:szCs w:val="16"/>
          <w:lang w:val="es-ES"/>
        </w:rPr>
      </w:pPr>
      <w:r w:rsidRPr="00B42EF9">
        <w:rPr>
          <w:rStyle w:val="FootnoteReference"/>
          <w:szCs w:val="16"/>
          <w:lang w:val="es-ES"/>
        </w:rPr>
        <w:footnoteRef/>
      </w:r>
      <w:r w:rsidR="003F0F74">
        <w:rPr>
          <w:sz w:val="16"/>
          <w:szCs w:val="16"/>
          <w:lang w:val="es-ES"/>
        </w:rPr>
        <w:tab/>
      </w:r>
      <w:r w:rsidRPr="007F3444">
        <w:t xml:space="preserve">Una región AWS es un conglomerado geográficamente distinto de instalaciones de centros de datos. Cada región comprende varias zonas de disponibilidad, tres en la de </w:t>
      </w:r>
      <w:proofErr w:type="spellStart"/>
      <w:r w:rsidRPr="007F3444">
        <w:t>Bahrein</w:t>
      </w:r>
      <w:proofErr w:type="spellEnd"/>
      <w:r w:rsidRPr="007F3444">
        <w:t xml:space="preserve"> y tres en la de los EAU, y cada zona de disponibilidad consta de una o más instalaciones físicamente separadas con energía y conectividad independientes | Infraestructura global AWS: Regiones y zonas de disponibilidad | </w:t>
      </w:r>
      <w:hyperlink r:id="rId3" w:history="1">
        <w:r w:rsidRPr="004408D0">
          <w:rPr>
            <w:rStyle w:val="Hyperlink"/>
          </w:rPr>
          <w:t>https://aws.amazon.com/about-aws/global-infrastructure/regions_az/</w:t>
        </w:r>
      </w:hyperlink>
      <w:hyperlink r:id="rId4" w:history="1"/>
    </w:p>
  </w:footnote>
  <w:footnote w:id="3">
    <w:p w14:paraId="1BD46F4C" w14:textId="281CDF72" w:rsidR="00614B3B" w:rsidRPr="003D7C56" w:rsidRDefault="00614B3B" w:rsidP="00614B3B">
      <w:pPr>
        <w:pStyle w:val="FootnoteText"/>
        <w:rPr>
          <w:sz w:val="16"/>
          <w:szCs w:val="16"/>
          <w:lang w:val="es-ES"/>
        </w:rPr>
      </w:pPr>
      <w:r w:rsidRPr="00B42EF9">
        <w:rPr>
          <w:rStyle w:val="FootnoteReference"/>
          <w:szCs w:val="16"/>
          <w:lang w:val="es-ES"/>
        </w:rPr>
        <w:footnoteRef/>
      </w:r>
      <w:r w:rsidR="003F0F74">
        <w:rPr>
          <w:sz w:val="16"/>
          <w:szCs w:val="16"/>
          <w:lang w:val="es-ES"/>
        </w:rPr>
        <w:tab/>
      </w:r>
      <w:r w:rsidRPr="004408D0">
        <w:t>Actualización de la salud del servicio AWS, ME-SOUTH-1 (</w:t>
      </w:r>
      <w:proofErr w:type="spellStart"/>
      <w:r w:rsidRPr="004408D0">
        <w:t>Bahrein</w:t>
      </w:r>
      <w:proofErr w:type="spellEnd"/>
      <w:r w:rsidRPr="004408D0">
        <w:t xml:space="preserve">) | </w:t>
      </w:r>
      <w:hyperlink r:id="rId5" w:history="1">
        <w:r w:rsidRPr="004408D0">
          <w:rPr>
            <w:rStyle w:val="Hyperlink"/>
          </w:rPr>
          <w:t>https://health.aws.amazon.com/health/status?eventid=arn:aws:health:me-south-1::event/multiple_services/aws_multiple_services_operational_issue/aws_multiple_services_operational_issue_e6426_01ad72b4e1e</w:t>
        </w:r>
      </w:hyperlink>
      <w:hyperlink r:id="rId6" w:history="1"/>
    </w:p>
  </w:footnote>
  <w:footnote w:id="4">
    <w:p w14:paraId="3FBE728E" w14:textId="25745B9E" w:rsidR="00614B3B" w:rsidRPr="003D7C56" w:rsidRDefault="00614B3B" w:rsidP="00614B3B">
      <w:pPr>
        <w:pStyle w:val="FootnoteText"/>
        <w:rPr>
          <w:sz w:val="16"/>
          <w:szCs w:val="16"/>
          <w:lang w:val="es-ES"/>
        </w:rPr>
      </w:pPr>
      <w:r w:rsidRPr="00B42EF9">
        <w:rPr>
          <w:rStyle w:val="FootnoteReference"/>
          <w:szCs w:val="16"/>
          <w:lang w:val="es-ES"/>
        </w:rPr>
        <w:footnoteRef/>
      </w:r>
      <w:r w:rsidR="003F5693">
        <w:tab/>
      </w:r>
      <w:r w:rsidRPr="007F3444">
        <w:t xml:space="preserve">Actualización de la salud del servicio AWS, ME-CENTRAL-1 (EAU) | </w:t>
      </w:r>
      <w:hyperlink r:id="rId7" w:history="1">
        <w:r w:rsidRPr="004408D0">
          <w:rPr>
            <w:rStyle w:val="Hyperlink"/>
          </w:rPr>
          <w:t>https://health.aws.amazon.com/health/status?eventid=arn:aws:health:me-central-1::event/multiple_services/aws_multiple_services_operational_issue/aws_multiple_services_operational_issue_5e6b8_ef2498889b5</w:t>
        </w:r>
      </w:hyperlink>
      <w:hyperlink r:id="rId8" w:history="1"/>
    </w:p>
  </w:footnote>
  <w:footnote w:id="5">
    <w:p w14:paraId="083D7F71" w14:textId="01A13D8A" w:rsidR="00614B3B" w:rsidRPr="00FD2DA9" w:rsidRDefault="00614B3B" w:rsidP="00FD2DA9">
      <w:pPr>
        <w:pStyle w:val="FootnoteText"/>
      </w:pPr>
      <w:r w:rsidRPr="00E428A3">
        <w:rPr>
          <w:rStyle w:val="FootnoteReference"/>
          <w:szCs w:val="16"/>
          <w:lang w:val="es-ES"/>
        </w:rPr>
        <w:footnoteRef/>
      </w:r>
      <w:r w:rsidR="00FD2DA9">
        <w:rPr>
          <w:lang w:val="es-ES"/>
        </w:rPr>
        <w:tab/>
      </w:r>
      <w:r w:rsidRPr="00FD2DA9">
        <w:t xml:space="preserve">Actualización de la salud del servicio AWS, ME-CENTRAL-1 (EAU) | </w:t>
      </w:r>
      <w:hyperlink r:id="rId9" w:history="1">
        <w:r w:rsidRPr="004408D0">
          <w:rPr>
            <w:rStyle w:val="Hyperlink"/>
          </w:rPr>
          <w:t>https://health.aws.amazon.com/health/status?eventid=arn:aws:health:me-central-1::event/multiple_services/aws_multiple_services_operational_issue/aws_multiple_services_operational_issue_5e6b8_ef2498889b5</w:t>
        </w:r>
      </w:hyperlink>
      <w:hyperlink r:id="rId10" w:history="1"/>
    </w:p>
  </w:footnote>
  <w:footnote w:id="6">
    <w:p w14:paraId="3A4EBAF6" w14:textId="5FA99D5C" w:rsidR="00614B3B" w:rsidRPr="00FD2DA9" w:rsidRDefault="00614B3B" w:rsidP="00FD2DA9">
      <w:pPr>
        <w:pStyle w:val="FootnoteText"/>
      </w:pPr>
      <w:r w:rsidRPr="00FD2DA9">
        <w:rPr>
          <w:rStyle w:val="FootnoteReference"/>
          <w:szCs w:val="16"/>
          <w:lang w:val="es-ES"/>
        </w:rPr>
        <w:footnoteRef/>
      </w:r>
      <w:r w:rsidR="00D00EAF">
        <w:tab/>
      </w:r>
      <w:r w:rsidRPr="00FD2DA9">
        <w:t>Actualización de la salud del servicio AWS, ME-SOUTH-1 (</w:t>
      </w:r>
      <w:proofErr w:type="spellStart"/>
      <w:r w:rsidRPr="00FD2DA9">
        <w:t>Bahrein</w:t>
      </w:r>
      <w:proofErr w:type="spellEnd"/>
      <w:r w:rsidRPr="00FD2DA9">
        <w:t xml:space="preserve">) | </w:t>
      </w:r>
      <w:hyperlink r:id="rId11" w:history="1">
        <w:r w:rsidRPr="004408D0">
          <w:rPr>
            <w:rStyle w:val="Hyperlink"/>
          </w:rPr>
          <w:t>https://health.aws.amazon.com/health/status?eventid=arn:aws:health:me-south-1::event/multiple_services/aws_multiple_services_operational_issue/aws_multiple_services_operational_issue_e6426_01ad72b4e1e</w:t>
        </w:r>
      </w:hyperlink>
      <w:hyperlink r:id="rId12" w:history="1"/>
    </w:p>
  </w:footnote>
  <w:footnote w:id="7">
    <w:p w14:paraId="79674FF2" w14:textId="56C75169" w:rsidR="00614B3B" w:rsidRPr="00FD2DA9" w:rsidRDefault="00614B3B" w:rsidP="00FD2DA9">
      <w:pPr>
        <w:pStyle w:val="FootnoteText"/>
      </w:pPr>
      <w:r w:rsidRPr="00FD2DA9">
        <w:rPr>
          <w:rStyle w:val="FootnoteReference"/>
          <w:szCs w:val="16"/>
          <w:lang w:val="es-ES"/>
        </w:rPr>
        <w:footnoteRef/>
      </w:r>
      <w:r w:rsidR="00D00EAF">
        <w:tab/>
      </w:r>
      <w:r w:rsidRPr="00FD2DA9">
        <w:t xml:space="preserve">Radar </w:t>
      </w:r>
      <w:proofErr w:type="spellStart"/>
      <w:r w:rsidRPr="00FD2DA9">
        <w:t>Cloudflare</w:t>
      </w:r>
      <w:proofErr w:type="spellEnd"/>
      <w:r w:rsidRPr="00FD2DA9">
        <w:t xml:space="preserve"> | HTTP solicita series temporales para ME-CENTRAL-1</w:t>
      </w:r>
      <w:r w:rsidR="00FE77E5">
        <w:t>.</w:t>
      </w:r>
      <w:hyperlink r:id="rId13" w:anchor="http-requests-time-series-worldwide" w:history="1"/>
    </w:p>
  </w:footnote>
  <w:footnote w:id="8">
    <w:p w14:paraId="0B72FC4A" w14:textId="378B1784" w:rsidR="00614B3B" w:rsidRPr="003D7C56" w:rsidRDefault="00614B3B" w:rsidP="00FD2DA9">
      <w:pPr>
        <w:pStyle w:val="FootnoteText"/>
        <w:rPr>
          <w:lang w:val="es-ES"/>
        </w:rPr>
      </w:pPr>
      <w:r w:rsidRPr="00FD2DA9">
        <w:rPr>
          <w:rStyle w:val="FootnoteReference"/>
          <w:szCs w:val="16"/>
          <w:lang w:val="es-ES"/>
        </w:rPr>
        <w:footnoteRef/>
      </w:r>
      <w:r w:rsidR="00D00EAF">
        <w:tab/>
      </w:r>
      <w:r w:rsidRPr="00FD2DA9">
        <w:t xml:space="preserve">Radar </w:t>
      </w:r>
      <w:proofErr w:type="spellStart"/>
      <w:r w:rsidRPr="00FD2DA9">
        <w:t>Cloudflare</w:t>
      </w:r>
      <w:proofErr w:type="spellEnd"/>
      <w:r w:rsidRPr="00FD2DA9">
        <w:t xml:space="preserve"> | HTTP solicita series temporales para ME-SOUTH-1</w:t>
      </w:r>
      <w:r w:rsidR="00FE77E5">
        <w:t>.</w:t>
      </w:r>
      <w:hyperlink r:id="rId14" w:anchor="http-requests-time-series-worldwide" w:history="1"/>
    </w:p>
  </w:footnote>
  <w:footnote w:id="9">
    <w:p w14:paraId="554562A5" w14:textId="1E0B04B0" w:rsidR="00614B3B" w:rsidRPr="00E002B8" w:rsidRDefault="00614B3B" w:rsidP="00E002B8">
      <w:pPr>
        <w:pStyle w:val="FootnoteText"/>
      </w:pPr>
      <w:r w:rsidRPr="00B42EF9">
        <w:rPr>
          <w:rStyle w:val="FootnoteReference"/>
          <w:szCs w:val="16"/>
          <w:lang w:val="es-ES"/>
        </w:rPr>
        <w:footnoteRef/>
      </w:r>
      <w:r w:rsidR="00E002B8">
        <w:rPr>
          <w:lang w:val="es-ES"/>
        </w:rPr>
        <w:tab/>
      </w:r>
      <w:r w:rsidRPr="00E002B8">
        <w:t xml:space="preserve">Nasdaq News: AWS lanza una región en los EAU | </w:t>
      </w:r>
      <w:hyperlink r:id="rId15" w:history="1">
        <w:r w:rsidRPr="007E430B">
          <w:rPr>
            <w:rStyle w:val="Hyperlink"/>
          </w:rPr>
          <w:t>https://www.nasdaq.com/press-release/aws-launches-region-in-the-united-arab-emirates-2022-08-30</w:t>
        </w:r>
      </w:hyperlink>
      <w:hyperlink r:id="rId16" w:history="1"/>
    </w:p>
  </w:footnote>
  <w:footnote w:id="10">
    <w:p w14:paraId="61E643E2" w14:textId="373CC862" w:rsidR="00614B3B" w:rsidRPr="00E002B8" w:rsidRDefault="00614B3B" w:rsidP="00E002B8">
      <w:pPr>
        <w:pStyle w:val="FootnoteText"/>
      </w:pPr>
      <w:r w:rsidRPr="00E002B8">
        <w:rPr>
          <w:rStyle w:val="FootnoteReference"/>
          <w:szCs w:val="16"/>
          <w:lang w:val="es-ES"/>
        </w:rPr>
        <w:footnoteRef/>
      </w:r>
      <w:r w:rsidR="00E002B8">
        <w:tab/>
      </w:r>
      <w:r w:rsidRPr="00E002B8">
        <w:t xml:space="preserve">Amazon News: AWS lanza su primera Región de Oriente Medio | </w:t>
      </w:r>
      <w:hyperlink r:id="rId17" w:history="1">
        <w:r w:rsidRPr="007E430B">
          <w:rPr>
            <w:rStyle w:val="Hyperlink"/>
          </w:rPr>
          <w:t>https://press.aboutamazon.com/2019/7/aws-launches-region-in-the-middle-east</w:t>
        </w:r>
      </w:hyperlink>
      <w:hyperlink r:id="rId18" w:history="1"/>
    </w:p>
  </w:footnote>
  <w:footnote w:id="11">
    <w:p w14:paraId="59C71D2D" w14:textId="5FD43815" w:rsidR="00614B3B" w:rsidRPr="00E002B8" w:rsidRDefault="00614B3B" w:rsidP="00E002B8">
      <w:pPr>
        <w:pStyle w:val="FootnoteText"/>
      </w:pPr>
      <w:r w:rsidRPr="00E002B8">
        <w:rPr>
          <w:rStyle w:val="FootnoteReference"/>
          <w:szCs w:val="16"/>
          <w:lang w:val="es-ES"/>
        </w:rPr>
        <w:footnoteRef/>
      </w:r>
      <w:r w:rsidR="00E002B8">
        <w:tab/>
      </w:r>
      <w:r w:rsidRPr="00E002B8">
        <w:t xml:space="preserve">El éxito de </w:t>
      </w:r>
      <w:proofErr w:type="spellStart"/>
      <w:r w:rsidRPr="00E002B8">
        <w:t>Bahrein</w:t>
      </w:r>
      <w:proofErr w:type="spellEnd"/>
      <w:r w:rsidRPr="00E002B8">
        <w:t xml:space="preserve"> en la nube| AWS | </w:t>
      </w:r>
      <w:hyperlink r:id="rId19" w:history="1">
        <w:r w:rsidRPr="007E430B">
          <w:rPr>
            <w:rStyle w:val="Hyperlink"/>
          </w:rPr>
          <w:t>https://aws.amazon.com/blogs/publicsector/bahrains-cloud-first-success-story/</w:t>
        </w:r>
      </w:hyperlink>
      <w:hyperlink r:id="rId20" w:history="1"/>
    </w:p>
  </w:footnote>
  <w:footnote w:id="12">
    <w:p w14:paraId="46B72CA7" w14:textId="748BBF3F" w:rsidR="00614B3B" w:rsidRPr="003D7C56" w:rsidRDefault="00614B3B" w:rsidP="00E002B8">
      <w:pPr>
        <w:pStyle w:val="FootnoteText"/>
        <w:rPr>
          <w:lang w:val="es-ES"/>
        </w:rPr>
      </w:pPr>
      <w:r w:rsidRPr="00E002B8">
        <w:rPr>
          <w:rStyle w:val="FootnoteReference"/>
          <w:szCs w:val="16"/>
          <w:lang w:val="es-ES"/>
        </w:rPr>
        <w:footnoteRef/>
      </w:r>
      <w:r w:rsidR="00E002B8">
        <w:tab/>
      </w:r>
      <w:r w:rsidRPr="00E002B8">
        <w:t>85</w:t>
      </w:r>
      <w:r w:rsidR="00E002B8">
        <w:t> </w:t>
      </w:r>
      <w:r w:rsidRPr="00E002B8">
        <w:t xml:space="preserve">% de la transferencia de datos gubernamentales a Amazon | Autoridad de Información y Gobierno Electrónico de </w:t>
      </w:r>
      <w:proofErr w:type="spellStart"/>
      <w:r w:rsidRPr="00E002B8">
        <w:t>Bahrein</w:t>
      </w:r>
      <w:proofErr w:type="spellEnd"/>
      <w:r w:rsidRPr="00E002B8">
        <w:t xml:space="preserve"> | </w:t>
      </w:r>
      <w:hyperlink r:id="rId21" w:history="1">
        <w:r w:rsidRPr="007E430B">
          <w:rPr>
            <w:rStyle w:val="Hyperlink"/>
          </w:rPr>
          <w:t>https://www.iga.gov.bh/en/article/85-of-government-data-transfer-to-amazon-more-than-300-sites-connected-to-the-government-data-network</w:t>
        </w:r>
      </w:hyperlink>
      <w:hyperlink r:id="rId22" w:history="1"/>
    </w:p>
  </w:footnote>
  <w:footnote w:id="13">
    <w:p w14:paraId="7C38CC52" w14:textId="36039B3E" w:rsidR="00614B3B" w:rsidRPr="003D7C56" w:rsidRDefault="00614B3B" w:rsidP="00614B3B">
      <w:pPr>
        <w:pStyle w:val="FootnoteText"/>
        <w:rPr>
          <w:lang w:val="es-ES"/>
        </w:rPr>
      </w:pPr>
      <w:r w:rsidRPr="00B42EF9">
        <w:rPr>
          <w:rStyle w:val="FootnoteReference"/>
          <w:szCs w:val="16"/>
          <w:lang w:val="es-ES"/>
        </w:rPr>
        <w:footnoteRef/>
      </w:r>
      <w:r w:rsidR="003F5693">
        <w:tab/>
      </w:r>
      <w:r w:rsidRPr="007F3444">
        <w:t>Ley Federal N</w:t>
      </w:r>
      <w:r w:rsidR="007E430B">
        <w:t>.</w:t>
      </w:r>
      <w:r w:rsidRPr="007F3444">
        <w:t>º</w:t>
      </w:r>
      <w:r w:rsidR="00DA5516">
        <w:t> </w:t>
      </w:r>
      <w:r w:rsidRPr="007F3444">
        <w:t xml:space="preserve">2 de los EAU de 2019 | </w:t>
      </w:r>
      <w:hyperlink r:id="rId23" w:history="1">
        <w:r w:rsidR="00894151" w:rsidRPr="00880B70">
          <w:rPr>
            <w:rStyle w:val="Hyperlink"/>
          </w:rPr>
          <w:t>https://uaelegislation.gov.ae/en/legislations/1209/download</w:t>
        </w:r>
      </w:hyperlink>
      <w:hyperlink r:id="rId24" w:history="1"/>
    </w:p>
  </w:footnote>
  <w:footnote w:id="14">
    <w:p w14:paraId="2A0354D6" w14:textId="1CF6A728" w:rsidR="00614B3B" w:rsidRPr="003D7C56" w:rsidRDefault="00614B3B" w:rsidP="00614B3B">
      <w:pPr>
        <w:pStyle w:val="FootnoteText"/>
        <w:rPr>
          <w:sz w:val="16"/>
          <w:szCs w:val="16"/>
          <w:lang w:val="es-ES"/>
        </w:rPr>
      </w:pPr>
      <w:r w:rsidRPr="00B42EF9">
        <w:rPr>
          <w:rStyle w:val="FootnoteReference"/>
          <w:szCs w:val="16"/>
          <w:lang w:val="es-ES"/>
        </w:rPr>
        <w:footnoteRef/>
      </w:r>
      <w:r w:rsidR="003F5693">
        <w:tab/>
      </w:r>
      <w:r w:rsidRPr="007F3444">
        <w:t xml:space="preserve">Libro de reglas CBUAE, artículo 6.1.6.3 | </w:t>
      </w:r>
      <w:hyperlink r:id="rId25" w:history="1">
        <w:r w:rsidR="00894151" w:rsidRPr="00880B70">
          <w:rPr>
            <w:rStyle w:val="Hyperlink"/>
          </w:rPr>
          <w:t>https://rulebook.centralbank.ae/en/rulebook/consumer-protection-standards</w:t>
        </w:r>
      </w:hyperlink>
      <w:hyperlink r:id="rId26" w:history="1"/>
    </w:p>
  </w:footnote>
  <w:footnote w:id="15">
    <w:p w14:paraId="5CDA50B6" w14:textId="47C7E7FC" w:rsidR="00614B3B" w:rsidRPr="003D7C56" w:rsidRDefault="00614B3B" w:rsidP="00614B3B">
      <w:pPr>
        <w:pStyle w:val="FootnoteText"/>
        <w:rPr>
          <w:sz w:val="16"/>
          <w:szCs w:val="16"/>
          <w:lang w:val="es-ES"/>
        </w:rPr>
      </w:pPr>
      <w:r w:rsidRPr="00B42EF9">
        <w:rPr>
          <w:rStyle w:val="FootnoteReference"/>
          <w:szCs w:val="16"/>
          <w:lang w:val="es-ES"/>
        </w:rPr>
        <w:footnoteRef/>
      </w:r>
      <w:r w:rsidR="003F5693">
        <w:tab/>
      </w:r>
      <w:r w:rsidRPr="007F3444">
        <w:t xml:space="preserve">Entrevista con Mohammad Altura, </w:t>
      </w:r>
      <w:proofErr w:type="gramStart"/>
      <w:r w:rsidRPr="007F3444">
        <w:t>Jefe</w:t>
      </w:r>
      <w:proofErr w:type="gramEnd"/>
      <w:r w:rsidRPr="007F3444">
        <w:t xml:space="preserve"> del CITRA de Kuwait | AWS Summit </w:t>
      </w:r>
      <w:proofErr w:type="spellStart"/>
      <w:r w:rsidRPr="007F3444">
        <w:t>Bahrein</w:t>
      </w:r>
      <w:proofErr w:type="spellEnd"/>
      <w:r>
        <w:fldChar w:fldCharType="begin"/>
      </w:r>
      <w:r>
        <w:instrText>HYPERLINK "https://www.youtube.com/watch?v=hlHmhz7PvH0"</w:instrText>
      </w:r>
      <w:r>
        <w:fldChar w:fldCharType="separate"/>
      </w:r>
      <w:r>
        <w:fldChar w:fldCharType="end"/>
      </w:r>
    </w:p>
  </w:footnote>
  <w:footnote w:id="16">
    <w:p w14:paraId="3E572E15" w14:textId="290FCAFA" w:rsidR="00614B3B" w:rsidRPr="003D7C56" w:rsidRDefault="00614B3B" w:rsidP="00614B3B">
      <w:pPr>
        <w:pStyle w:val="FootnoteText"/>
        <w:rPr>
          <w:sz w:val="16"/>
          <w:szCs w:val="16"/>
          <w:lang w:val="es-ES"/>
        </w:rPr>
      </w:pPr>
      <w:r w:rsidRPr="00BD583B">
        <w:rPr>
          <w:rStyle w:val="FootnoteReference"/>
          <w:szCs w:val="16"/>
          <w:lang w:val="es-ES"/>
        </w:rPr>
        <w:footnoteRef/>
      </w:r>
      <w:r w:rsidR="003F5693">
        <w:tab/>
      </w:r>
      <w:r w:rsidRPr="007F3444">
        <w:t xml:space="preserve">ADCB confirma la restauración de los servicios de banca móvil al por menor | </w:t>
      </w:r>
      <w:hyperlink r:id="rId27" w:history="1">
        <w:r w:rsidRPr="007E430B">
          <w:rPr>
            <w:rStyle w:val="Hyperlink"/>
          </w:rPr>
          <w:t>https://www.adcb.com/en/about-us/media-centre/news/2026/march/adcb-confirms-restoration-of-retail-mobile-banking-services</w:t>
        </w:r>
      </w:hyperlink>
      <w:hyperlink r:id="rId28" w:history="1"/>
    </w:p>
  </w:footnote>
  <w:footnote w:id="17">
    <w:p w14:paraId="318FBEE9" w14:textId="4413782C" w:rsidR="00614B3B" w:rsidRPr="003D7C56" w:rsidRDefault="00614B3B" w:rsidP="00614B3B">
      <w:pPr>
        <w:pStyle w:val="FootnoteText"/>
        <w:rPr>
          <w:sz w:val="16"/>
          <w:szCs w:val="16"/>
          <w:lang w:val="es-ES"/>
        </w:rPr>
      </w:pPr>
      <w:r w:rsidRPr="00BD583B">
        <w:rPr>
          <w:rStyle w:val="FootnoteReference"/>
          <w:szCs w:val="16"/>
          <w:lang w:val="es-ES"/>
        </w:rPr>
        <w:footnoteRef/>
      </w:r>
      <w:r w:rsidR="003F5693">
        <w:tab/>
      </w:r>
      <w:r w:rsidRPr="007F3444">
        <w:t xml:space="preserve">Los bancos de Dubái acumulan millones en costes mientras continúa la disrupción de AWS | </w:t>
      </w:r>
      <w:hyperlink r:id="rId29" w:history="1">
        <w:r w:rsidRPr="005B6C68">
          <w:rPr>
            <w:rStyle w:val="Hyperlink"/>
          </w:rPr>
          <w:t>https://www.thebanker.com/content/fd078db2-7f55-436d-9d2e-62a0a742ad02</w:t>
        </w:r>
      </w:hyperlink>
      <w:hyperlink r:id="rId30" w:history="1"/>
    </w:p>
  </w:footnote>
  <w:footnote w:id="18">
    <w:p w14:paraId="729BBDF8" w14:textId="755045F3" w:rsidR="00614B3B" w:rsidRPr="003D7C56" w:rsidRDefault="00614B3B" w:rsidP="00614B3B">
      <w:pPr>
        <w:pStyle w:val="FootnoteText"/>
        <w:rPr>
          <w:sz w:val="16"/>
          <w:szCs w:val="16"/>
          <w:lang w:val="es-ES"/>
        </w:rPr>
      </w:pPr>
      <w:r w:rsidRPr="009437AB">
        <w:rPr>
          <w:rStyle w:val="FootnoteReference"/>
          <w:szCs w:val="16"/>
          <w:lang w:val="es-ES"/>
        </w:rPr>
        <w:footnoteRef/>
      </w:r>
      <w:r w:rsidR="003F5693">
        <w:tab/>
      </w:r>
      <w:r w:rsidRPr="007F3444">
        <w:t>Lo que está costando la guerra de Irán a la Alianza conjunta entre el Golfo y Estados Unidos. Ambiciones para la IA | Centro de Estudios Estratégicos e Internacionales (CSIS)</w:t>
      </w:r>
      <w:r w:rsidR="00894151">
        <w:t xml:space="preserve"> </w:t>
      </w:r>
      <w:r w:rsidRPr="007F3444">
        <w:t xml:space="preserve">| </w:t>
      </w:r>
      <w:hyperlink r:id="rId31" w:history="1">
        <w:r w:rsidRPr="005B6C68">
          <w:rPr>
            <w:rStyle w:val="Hyperlink"/>
          </w:rPr>
          <w:t>https://www.csis.org/analysis/what-iran-war-costing-joint-gulf-us-ambitions-ai</w:t>
        </w:r>
      </w:hyperlink>
      <w:hyperlink r:id="rId32" w:history="1"/>
    </w:p>
  </w:footnote>
  <w:footnote w:id="19">
    <w:p w14:paraId="5BD3BE51" w14:textId="575800E4" w:rsidR="00614B3B" w:rsidRPr="003D7C56" w:rsidRDefault="00614B3B" w:rsidP="00614B3B">
      <w:pPr>
        <w:pStyle w:val="FootnoteText"/>
        <w:rPr>
          <w:sz w:val="16"/>
          <w:szCs w:val="16"/>
          <w:lang w:val="es-ES"/>
        </w:rPr>
      </w:pPr>
      <w:r w:rsidRPr="009437AB">
        <w:rPr>
          <w:rStyle w:val="FootnoteReference"/>
          <w:szCs w:val="16"/>
          <w:lang w:val="es-ES"/>
        </w:rPr>
        <w:footnoteRef/>
      </w:r>
      <w:r w:rsidR="003F5693">
        <w:tab/>
      </w:r>
      <w:r w:rsidRPr="007F3444">
        <w:t>Actualización de la salud del servicio AWS, ME-SOUTH-1 (</w:t>
      </w:r>
      <w:proofErr w:type="spellStart"/>
      <w:r w:rsidRPr="007F3444">
        <w:t>Bahrein</w:t>
      </w:r>
      <w:proofErr w:type="spellEnd"/>
      <w:r w:rsidRPr="007F3444">
        <w:t xml:space="preserve">), septiembre de 2026 | </w:t>
      </w:r>
      <w:hyperlink r:id="rId33" w:history="1">
        <w:r w:rsidR="005B6C68" w:rsidRPr="005B6C68">
          <w:rPr>
            <w:rStyle w:val="Hyperlink"/>
          </w:rPr>
          <w:t>https://health.aws.amazon.com/health/status?_sp=d6244f1c-0cb2-498b-b35e-cd0e2a94502e&amp;tag=itechguides04-20</w:t>
        </w:r>
      </w:hyperlink>
      <w:hyperlink r:id="rId34" w:history="1"/>
    </w:p>
  </w:footnote>
  <w:footnote w:id="20">
    <w:p w14:paraId="65390091" w14:textId="251792FE" w:rsidR="00614B3B" w:rsidRPr="003D7C56" w:rsidRDefault="00614B3B" w:rsidP="00614B3B">
      <w:pPr>
        <w:pStyle w:val="FootnoteText"/>
        <w:rPr>
          <w:lang w:val="es-ES"/>
        </w:rPr>
      </w:pPr>
      <w:r w:rsidRPr="009437AB">
        <w:rPr>
          <w:rStyle w:val="FootnoteReference"/>
          <w:szCs w:val="16"/>
          <w:lang w:val="es-ES"/>
        </w:rPr>
        <w:footnoteRef/>
      </w:r>
      <w:r w:rsidR="003F5693">
        <w:tab/>
      </w:r>
      <w:r w:rsidRPr="007F3444">
        <w:t xml:space="preserve">Los Estados del Golfo mantienen ventajas en la carrera por la IA a pesar de la guerra | </w:t>
      </w:r>
      <w:hyperlink r:id="rId35" w:history="1">
        <w:r w:rsidRPr="005B6C68">
          <w:rPr>
            <w:rStyle w:val="Hyperlink"/>
          </w:rPr>
          <w:t>https://www.bakerinstitute.org/sites/default/files/2026-04/20260410_Global%20AI%20Race.pdf</w:t>
        </w:r>
      </w:hyperlink>
      <w:hyperlink r:id="rId36" w:history="1"/>
    </w:p>
  </w:footnote>
  <w:footnote w:id="21">
    <w:p w14:paraId="56D79E08" w14:textId="788DD682" w:rsidR="00614B3B" w:rsidRPr="003D7C56" w:rsidRDefault="00614B3B" w:rsidP="00614B3B">
      <w:pPr>
        <w:pStyle w:val="FootnoteText"/>
        <w:rPr>
          <w:sz w:val="16"/>
          <w:szCs w:val="16"/>
          <w:lang w:val="es-ES"/>
        </w:rPr>
      </w:pPr>
      <w:r w:rsidRPr="009437AB">
        <w:rPr>
          <w:rStyle w:val="FootnoteReference"/>
          <w:szCs w:val="16"/>
          <w:lang w:val="es-ES"/>
        </w:rPr>
        <w:footnoteRef/>
      </w:r>
      <w:r w:rsidR="003F5693">
        <w:tab/>
      </w:r>
      <w:r w:rsidRPr="007F3444">
        <w:t xml:space="preserve">Sharjah maneja un ataque con dron al edificio "Thuraya" | Sharjah 24 | </w:t>
      </w:r>
      <w:hyperlink r:id="rId37" w:history="1">
        <w:r w:rsidRPr="00AE54E2">
          <w:rPr>
            <w:rStyle w:val="Hyperlink"/>
          </w:rPr>
          <w:t>https://sharjah24.ae/en/Articles/2026/03/31/a32</w:t>
        </w:r>
      </w:hyperlink>
      <w:hyperlink r:id="rId38" w:history="1"/>
    </w:p>
  </w:footnote>
  <w:footnote w:id="22">
    <w:p w14:paraId="28D66D34" w14:textId="011003C8" w:rsidR="00614B3B" w:rsidRPr="003D7C56" w:rsidRDefault="00614B3B" w:rsidP="00614B3B">
      <w:pPr>
        <w:pStyle w:val="FootnoteText"/>
        <w:rPr>
          <w:sz w:val="16"/>
          <w:szCs w:val="16"/>
          <w:lang w:val="es-ES"/>
        </w:rPr>
      </w:pPr>
      <w:r w:rsidRPr="009437AB">
        <w:rPr>
          <w:rStyle w:val="FootnoteReference"/>
          <w:szCs w:val="16"/>
          <w:lang w:val="es-ES"/>
        </w:rPr>
        <w:footnoteRef/>
      </w:r>
      <w:r w:rsidR="003F5693">
        <w:rPr>
          <w:sz w:val="16"/>
          <w:szCs w:val="16"/>
          <w:lang w:val="es-ES"/>
        </w:rPr>
        <w:tab/>
      </w:r>
      <w:r w:rsidRPr="007F3444">
        <w:t xml:space="preserve">Las autoridades de Fujairah responden a un incidente dirigido contra el edificio </w:t>
      </w:r>
      <w:r w:rsidR="007E430B" w:rsidRPr="007E430B">
        <w:t>"</w:t>
      </w:r>
      <w:r w:rsidRPr="007F3444">
        <w:t>du</w:t>
      </w:r>
      <w:r w:rsidR="007E430B" w:rsidRPr="007E430B">
        <w:t>"</w:t>
      </w:r>
      <w:r w:rsidRPr="007F3444">
        <w:t xml:space="preserve"> por dron procedente de Irán| Agencia de Noticias de los Emiratos (WAM) | </w:t>
      </w:r>
      <w:hyperlink r:id="rId39" w:history="1">
        <w:r w:rsidR="00AE54E2" w:rsidRPr="00AE54E2">
          <w:rPr>
            <w:rStyle w:val="Hyperlink"/>
          </w:rPr>
          <w:t>https://www.wam.ae/es/article/175owy3-las-autoridades-fuyaira-responden-ataque-con-dron</w:t>
        </w:r>
      </w:hyperlink>
      <w:hyperlink r:id="rId40" w:history="1"/>
    </w:p>
  </w:footnote>
  <w:footnote w:id="23">
    <w:p w14:paraId="452824A1" w14:textId="05A76AE2" w:rsidR="00614B3B" w:rsidRPr="00281C69" w:rsidRDefault="00614B3B" w:rsidP="00614B3B">
      <w:pPr>
        <w:pStyle w:val="FootnoteText"/>
        <w:rPr>
          <w:sz w:val="16"/>
          <w:szCs w:val="16"/>
        </w:rPr>
      </w:pPr>
      <w:r w:rsidRPr="00281C69">
        <w:rPr>
          <w:rStyle w:val="FootnoteReference"/>
          <w:szCs w:val="16"/>
          <w:lang w:val="es-ES"/>
        </w:rPr>
        <w:footnoteRef/>
      </w:r>
      <w:r w:rsidR="003F5693">
        <w:tab/>
      </w:r>
      <w:r w:rsidRPr="007F3444">
        <w:t xml:space="preserve">Informe sobre las repercusiones de la interferencia del GNSS en la seguridad marítima | Royal </w:t>
      </w:r>
      <w:proofErr w:type="spellStart"/>
      <w:r w:rsidRPr="007F3444">
        <w:t>Institute</w:t>
      </w:r>
      <w:proofErr w:type="spellEnd"/>
      <w:r w:rsidRPr="007F3444">
        <w:t xml:space="preserve"> of </w:t>
      </w:r>
      <w:proofErr w:type="spellStart"/>
      <w:r w:rsidRPr="007F3444">
        <w:t>Navigation</w:t>
      </w:r>
      <w:proofErr w:type="spellEnd"/>
      <w:r w:rsidRPr="007F3444">
        <w:t xml:space="preserve"> | </w:t>
      </w:r>
      <w:hyperlink r:id="rId41" w:history="1">
        <w:r w:rsidRPr="00AE54E2">
          <w:rPr>
            <w:rStyle w:val="Hyperlink"/>
          </w:rPr>
          <w:t>https://rin.org.uk/page/RIN_Maritime_Report</w:t>
        </w:r>
      </w:hyperlink>
    </w:p>
  </w:footnote>
  <w:footnote w:id="24">
    <w:p w14:paraId="30120BEE" w14:textId="3D68505C" w:rsidR="00614B3B" w:rsidRPr="002A64A4" w:rsidRDefault="00614B3B" w:rsidP="00614B3B">
      <w:pPr>
        <w:pStyle w:val="FootnoteText"/>
        <w:rPr>
          <w:sz w:val="16"/>
          <w:szCs w:val="16"/>
        </w:rPr>
      </w:pPr>
      <w:r w:rsidRPr="002A64A4">
        <w:rPr>
          <w:rStyle w:val="FootnoteReference"/>
          <w:szCs w:val="16"/>
          <w:lang w:val="es-ES"/>
        </w:rPr>
        <w:footnoteRef/>
      </w:r>
      <w:r w:rsidR="003F5693">
        <w:rPr>
          <w:sz w:val="16"/>
          <w:szCs w:val="16"/>
          <w:lang w:val="es-ES"/>
        </w:rPr>
        <w:tab/>
      </w:r>
      <w:r w:rsidRPr="007F3444">
        <w:t xml:space="preserve">Evaluación de los riesgos de seguridad de las interferencias de radiofrecuencia del Sistema Mundial de Navegación por Satélite GNSS | IATA | </w:t>
      </w:r>
      <w:hyperlink r:id="rId42" w:history="1">
        <w:r w:rsidRPr="00AE54E2">
          <w:rPr>
            <w:rStyle w:val="Hyperlink"/>
          </w:rPr>
          <w:t>https://ic.iata.org/sites/default/files/iata_sih_document_attachment/IATA%20Safety%20Risk%20Assessment%20-%20GNSS%20Interference%20V5.pdf</w:t>
        </w:r>
        <w:bookmarkStart w:id="13" w:name="OLE_LINK3"/>
        <w:bookmarkEnd w:id="13"/>
      </w:hyperlink>
    </w:p>
  </w:footnote>
  <w:footnote w:id="25">
    <w:p w14:paraId="3F608254" w14:textId="2805F891" w:rsidR="00614B3B" w:rsidRPr="003D7C56" w:rsidRDefault="00614B3B" w:rsidP="00614B3B">
      <w:pPr>
        <w:pStyle w:val="FootnoteText"/>
        <w:rPr>
          <w:sz w:val="16"/>
          <w:szCs w:val="16"/>
          <w:lang w:val="es-ES"/>
        </w:rPr>
      </w:pPr>
      <w:r w:rsidRPr="002A64A4">
        <w:rPr>
          <w:rStyle w:val="FootnoteReference"/>
          <w:szCs w:val="16"/>
          <w:lang w:val="es-ES"/>
        </w:rPr>
        <w:footnoteRef/>
      </w:r>
      <w:r w:rsidR="003F5693">
        <w:tab/>
      </w:r>
      <w:r w:rsidRPr="007F3444">
        <w:t xml:space="preserve">La interferencia GPS es ahora una amenaza marítima habitual: Qué ha cambiado entre 2025 y 2026 | </w:t>
      </w:r>
      <w:proofErr w:type="spellStart"/>
      <w:r w:rsidRPr="007F3444">
        <w:t>Windward</w:t>
      </w:r>
      <w:proofErr w:type="spellEnd"/>
      <w:r w:rsidRPr="007F3444">
        <w:t xml:space="preserve"> | </w:t>
      </w:r>
      <w:hyperlink r:id="rId43" w:history="1">
        <w:r w:rsidRPr="00E76DF3">
          <w:rPr>
            <w:rStyle w:val="Hyperlink"/>
          </w:rPr>
          <w:t>https://windward.ai/blog/gps-jamming-is-mainstream-changes-between-2025-and-2026/</w:t>
        </w:r>
      </w:hyperlink>
      <w:hyperlink r:id="rId44" w:history="1"/>
    </w:p>
  </w:footnote>
  <w:footnote w:id="26">
    <w:p w14:paraId="74749453" w14:textId="02086202"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GPS es el nuevo campo de batalla: por qué no funcionan tus mapas | </w:t>
      </w:r>
      <w:proofErr w:type="spellStart"/>
      <w:r w:rsidRPr="007F3444">
        <w:t>Wired</w:t>
      </w:r>
      <w:proofErr w:type="spellEnd"/>
      <w:r w:rsidRPr="007F3444">
        <w:t xml:space="preserve"> | </w:t>
      </w:r>
      <w:hyperlink r:id="rId45" w:history="1">
        <w:r w:rsidR="00894151" w:rsidRPr="00894151">
          <w:rPr>
            <w:rStyle w:val="Hyperlink"/>
          </w:rPr>
          <w:t>https://www.wired.me/story/gps-is-the-new-battlefield-why-your-maps-arent-working</w:t>
        </w:r>
      </w:hyperlink>
      <w:hyperlink r:id="rId46" w:history="1"/>
    </w:p>
  </w:footnote>
  <w:footnote w:id="27">
    <w:p w14:paraId="376B1CC1" w14:textId="350A6CFE"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Finlandia – El servicio móvil también se ve afectado por las interferencias | The </w:t>
      </w:r>
      <w:proofErr w:type="spellStart"/>
      <w:r w:rsidRPr="007F3444">
        <w:t>Resilient</w:t>
      </w:r>
      <w:proofErr w:type="spellEnd"/>
      <w:r w:rsidRPr="007F3444">
        <w:t xml:space="preserve"> </w:t>
      </w:r>
      <w:proofErr w:type="spellStart"/>
      <w:r w:rsidRPr="007F3444">
        <w:t>Navigation</w:t>
      </w:r>
      <w:proofErr w:type="spellEnd"/>
      <w:r w:rsidRPr="007F3444">
        <w:t xml:space="preserve"> &amp; Timing (RNT) Foundation | </w:t>
      </w:r>
      <w:hyperlink r:id="rId47" w:history="1">
        <w:r w:rsidRPr="00E76DF3">
          <w:rPr>
            <w:rStyle w:val="Hyperlink"/>
          </w:rPr>
          <w:t>https://rntfnd.org/2026/04/23/finland-cellular-also-impacted-by-interference/</w:t>
        </w:r>
      </w:hyperlink>
      <w:hyperlink r:id="rId48" w:history="1"/>
    </w:p>
  </w:footnote>
  <w:footnote w:id="28">
    <w:p w14:paraId="233AE178" w14:textId="0EEBBD26" w:rsidR="00614B3B" w:rsidRPr="00251002" w:rsidRDefault="00614B3B" w:rsidP="00614B3B">
      <w:pPr>
        <w:pStyle w:val="FootnoteText"/>
        <w:rPr>
          <w:sz w:val="16"/>
          <w:szCs w:val="16"/>
        </w:rPr>
      </w:pPr>
      <w:r w:rsidRPr="00251002">
        <w:rPr>
          <w:rStyle w:val="FootnoteReference"/>
          <w:szCs w:val="16"/>
          <w:lang w:val="es-ES"/>
        </w:rPr>
        <w:footnoteRef/>
      </w:r>
      <w:r w:rsidR="003F5693">
        <w:tab/>
      </w:r>
      <w:r w:rsidRPr="007F3444">
        <w:t xml:space="preserve">Interferencia perjudicial al servicio de radionavegación por satélite | UIT | </w:t>
      </w:r>
      <w:hyperlink r:id="rId49" w:anchor="102nd-rrb-meeting" w:history="1">
        <w:r w:rsidR="00894151" w:rsidRPr="00894151">
          <w:rPr>
            <w:rStyle w:val="Hyperlink"/>
          </w:rPr>
          <w:t>https://www.itu.int/harmful-interference-to-rnss/#102nd-rrb-meeting</w:t>
        </w:r>
      </w:hyperlink>
    </w:p>
  </w:footnote>
  <w:footnote w:id="29">
    <w:p w14:paraId="74BFDD76" w14:textId="15B613AE" w:rsidR="00FE7E62" w:rsidRPr="00B06970" w:rsidRDefault="00F651F0" w:rsidP="00FE7E62">
      <w:pPr>
        <w:pStyle w:val="FootnoteText"/>
        <w:rPr>
          <w:rStyle w:val="Hyperlink"/>
        </w:rPr>
      </w:pPr>
      <w:r>
        <w:rPr>
          <w:rStyle w:val="FootnoteReference"/>
        </w:rPr>
        <w:footnoteRef/>
      </w:r>
      <w:r w:rsidRPr="00B06970">
        <w:tab/>
      </w:r>
      <w:r w:rsidR="00FE7E62" w:rsidRPr="00B06970">
        <w:t>Nav</w:t>
      </w:r>
      <w:r w:rsidR="00B06970" w:rsidRPr="00B06970">
        <w:t>egando aguas hostiles: la infraestructura</w:t>
      </w:r>
      <w:r w:rsidR="00B06970">
        <w:t xml:space="preserve"> de cables submarinos y el Estrecho de</w:t>
      </w:r>
      <w:r w:rsidR="00FE7E62" w:rsidRPr="00B06970">
        <w:t xml:space="preserve"> </w:t>
      </w:r>
      <w:r w:rsidR="00D726A5">
        <w:t>O</w:t>
      </w:r>
      <w:r w:rsidR="00FE7E62" w:rsidRPr="00B06970">
        <w:t xml:space="preserve">rmuz | </w:t>
      </w:r>
      <w:proofErr w:type="spellStart"/>
      <w:r w:rsidR="00FE7E62" w:rsidRPr="00B06970">
        <w:t>TeleGeography</w:t>
      </w:r>
      <w:proofErr w:type="spellEnd"/>
      <w:r w:rsidR="00FE7E62" w:rsidRPr="00B06970">
        <w:t xml:space="preserve"> | </w:t>
      </w:r>
      <w:hyperlink r:id="rId50" w:history="1">
        <w:r w:rsidR="00FE7E62" w:rsidRPr="00B06970">
          <w:rPr>
            <w:rStyle w:val="Hyperlink"/>
          </w:rPr>
          <w:t>https://resources.telegeography.com/submarine-cable-infrastructure-strait-hormu</w:t>
        </w:r>
      </w:hyperlink>
      <w:r w:rsidR="00FE7E62" w:rsidRPr="00B06970">
        <w:rPr>
          <w:rStyle w:val="Hyperlink"/>
        </w:rPr>
        <w:t>z</w:t>
      </w:r>
    </w:p>
  </w:footnote>
  <w:footnote w:id="30">
    <w:p w14:paraId="24E88BC4" w14:textId="13832190"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Ciberseguridad Global de la UIT; Cancelado| </w:t>
      </w:r>
      <w:hyperlink r:id="rId51" w:history="1">
        <w:r w:rsidRPr="00E76DF3">
          <w:rPr>
            <w:rStyle w:val="Hyperlink"/>
          </w:rPr>
          <w:t>https://www.itu.int/en/ITU-D/Cybersecurity/Pages/CyberDrill-2026/GlobalCyberDrill-26.aspx</w:t>
        </w:r>
      </w:hyperlink>
      <w:hyperlink r:id="rId52" w:history="1"/>
    </w:p>
  </w:footnote>
  <w:footnote w:id="31">
    <w:p w14:paraId="0846A983" w14:textId="47FA2154"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Foro Regional de Desarrollo para los Estados Árabes (FDR26-ARB) – Aplazamiento a 2027 | </w:t>
      </w:r>
      <w:hyperlink r:id="rId53" w:history="1">
        <w:r w:rsidR="00E76DF3" w:rsidRPr="00880B70">
          <w:rPr>
            <w:rStyle w:val="Hyperlink"/>
          </w:rPr>
          <w:t>https://www.itu.int/dms_pub/itu-d/md/26/dm/cir/D26-DM-CIR-0027!!PDF-E.pdf</w:t>
        </w:r>
      </w:hyperlink>
      <w:hyperlink r:id="rId54" w:history="1"/>
    </w:p>
  </w:footnote>
  <w:footnote w:id="32">
    <w:p w14:paraId="19E1A8C3" w14:textId="5171E736" w:rsidR="00614B3B" w:rsidRPr="003D7C56" w:rsidRDefault="00614B3B" w:rsidP="00614B3B">
      <w:pPr>
        <w:pStyle w:val="FootnoteText"/>
        <w:rPr>
          <w:sz w:val="16"/>
          <w:szCs w:val="16"/>
          <w:lang w:val="es-ES"/>
        </w:rPr>
      </w:pPr>
      <w:r w:rsidRPr="00930C14">
        <w:rPr>
          <w:rStyle w:val="FootnoteReference"/>
          <w:szCs w:val="16"/>
          <w:lang w:val="es-ES"/>
        </w:rPr>
        <w:footnoteRef/>
      </w:r>
      <w:r w:rsidR="003F5693">
        <w:rPr>
          <w:sz w:val="16"/>
          <w:szCs w:val="16"/>
          <w:lang w:val="es-ES"/>
        </w:rPr>
        <w:tab/>
      </w:r>
      <w:r w:rsidRPr="007F3444">
        <w:t xml:space="preserve">Eventos de la UIT en 2026 | </w:t>
      </w:r>
      <w:r w:rsidR="00E76DF3">
        <w:br/>
      </w:r>
      <w:hyperlink r:id="rId55" w:history="1">
        <w:r w:rsidRPr="00E76DF3">
          <w:rPr>
            <w:rStyle w:val="Hyperlink"/>
          </w:rPr>
          <w:t>https://www.itu.int/en/ITU-D/Regional-Presence/ArabStates/Pages/events.aspx</w:t>
        </w:r>
      </w:hyperlink>
      <w:hyperlink r:id="rId56" w:history="1"/>
    </w:p>
  </w:footnote>
  <w:footnote w:id="33">
    <w:p w14:paraId="0113EDBA" w14:textId="4D4FED1C" w:rsidR="00614B3B" w:rsidRPr="003D7C56" w:rsidRDefault="00614B3B" w:rsidP="00614B3B">
      <w:pPr>
        <w:pStyle w:val="FootnoteText"/>
        <w:rPr>
          <w:sz w:val="16"/>
          <w:szCs w:val="16"/>
          <w:lang w:val="es-ES"/>
        </w:rPr>
      </w:pPr>
      <w:r w:rsidRPr="00287EE1">
        <w:rPr>
          <w:rStyle w:val="FootnoteReference"/>
          <w:szCs w:val="16"/>
          <w:lang w:val="es-ES"/>
        </w:rPr>
        <w:footnoteRef/>
      </w:r>
      <w:r w:rsidR="003F5693">
        <w:rPr>
          <w:sz w:val="16"/>
          <w:szCs w:val="16"/>
          <w:lang w:val="es-ES"/>
        </w:rPr>
        <w:tab/>
      </w:r>
      <w:r w:rsidRPr="007F3444">
        <w:t xml:space="preserve">Evaluación de las necesidades después de la catástrofe | PNUD | </w:t>
      </w:r>
      <w:hyperlink r:id="rId57" w:history="1">
        <w:r w:rsidRPr="003F5693">
          <w:rPr>
            <w:rStyle w:val="Hyperlink"/>
          </w:rPr>
          <w:t>https://www.undp.org/publications/post-disaster-needs-assessment</w:t>
        </w:r>
      </w:hyperlink>
      <w:hyperlink r:id="rId58"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D199" w14:textId="77777777" w:rsidR="00255FA1" w:rsidRDefault="00255FA1" w:rsidP="00255FA1">
    <w:pPr>
      <w:pStyle w:val="Header"/>
    </w:pPr>
    <w:r>
      <w:fldChar w:fldCharType="begin"/>
    </w:r>
    <w:r>
      <w:instrText xml:space="preserve"> PAGE </w:instrText>
    </w:r>
    <w:r>
      <w:fldChar w:fldCharType="separate"/>
    </w:r>
    <w:r w:rsidR="0008557E">
      <w:rPr>
        <w:noProof/>
      </w:rPr>
      <w:t>2</w:t>
    </w:r>
    <w:r>
      <w:fldChar w:fldCharType="end"/>
    </w:r>
  </w:p>
  <w:p w14:paraId="736FC367" w14:textId="58FDAC75" w:rsidR="00255FA1" w:rsidRDefault="00255FA1" w:rsidP="00C43474">
    <w:pPr>
      <w:pStyle w:val="Header"/>
    </w:pPr>
    <w:r>
      <w:rPr>
        <w:lang w:val="en-US"/>
      </w:rPr>
      <w:t>PP</w:t>
    </w:r>
    <w:r w:rsidR="009D1BE0">
      <w:rPr>
        <w:lang w:val="en-US"/>
      </w:rPr>
      <w:t>2</w:t>
    </w:r>
    <w:r w:rsidR="009415B6">
      <w:rPr>
        <w:lang w:val="en-US"/>
      </w:rPr>
      <w:t>6</w:t>
    </w:r>
    <w:r>
      <w:t>/</w:t>
    </w:r>
    <w:r w:rsidR="00614B3B">
      <w:t>70</w:t>
    </w:r>
    <w:r w:rsidR="004E322D">
      <w:t>(Rev.1)</w:t>
    </w:r>
    <w:r w:rsidR="0007511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2470982">
    <w:abstractNumId w:val="2"/>
  </w:num>
  <w:num w:numId="2" w16cid:durableId="72896530">
    <w:abstractNumId w:val="1"/>
  </w:num>
  <w:num w:numId="3" w16cid:durableId="127364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4DB6"/>
    <w:rsid w:val="00015A26"/>
    <w:rsid w:val="000507CA"/>
    <w:rsid w:val="00057402"/>
    <w:rsid w:val="00075113"/>
    <w:rsid w:val="0008557E"/>
    <w:rsid w:val="000863AB"/>
    <w:rsid w:val="000A0B0C"/>
    <w:rsid w:val="000A1523"/>
    <w:rsid w:val="000B1752"/>
    <w:rsid w:val="000E3FF2"/>
    <w:rsid w:val="0010546D"/>
    <w:rsid w:val="00127649"/>
    <w:rsid w:val="00135F93"/>
    <w:rsid w:val="0015074D"/>
    <w:rsid w:val="001632E3"/>
    <w:rsid w:val="001C50F5"/>
    <w:rsid w:val="001D4983"/>
    <w:rsid w:val="001D6DDF"/>
    <w:rsid w:val="001D6EC3"/>
    <w:rsid w:val="001D787B"/>
    <w:rsid w:val="001E3D06"/>
    <w:rsid w:val="001E566D"/>
    <w:rsid w:val="001F0B24"/>
    <w:rsid w:val="001F5B03"/>
    <w:rsid w:val="00202044"/>
    <w:rsid w:val="0020306A"/>
    <w:rsid w:val="00205262"/>
    <w:rsid w:val="00225F6B"/>
    <w:rsid w:val="00237C17"/>
    <w:rsid w:val="00242376"/>
    <w:rsid w:val="00255FA1"/>
    <w:rsid w:val="00262FF4"/>
    <w:rsid w:val="00277985"/>
    <w:rsid w:val="00291807"/>
    <w:rsid w:val="002C6527"/>
    <w:rsid w:val="002E44FC"/>
    <w:rsid w:val="00351D1F"/>
    <w:rsid w:val="003537B5"/>
    <w:rsid w:val="00354214"/>
    <w:rsid w:val="00356909"/>
    <w:rsid w:val="003707E5"/>
    <w:rsid w:val="00375610"/>
    <w:rsid w:val="00391611"/>
    <w:rsid w:val="003978BC"/>
    <w:rsid w:val="003A6D4E"/>
    <w:rsid w:val="003B5DC9"/>
    <w:rsid w:val="003D0027"/>
    <w:rsid w:val="003E6E73"/>
    <w:rsid w:val="003F0F74"/>
    <w:rsid w:val="003F5693"/>
    <w:rsid w:val="004226FB"/>
    <w:rsid w:val="004408D0"/>
    <w:rsid w:val="00484B72"/>
    <w:rsid w:val="00491A25"/>
    <w:rsid w:val="004921F6"/>
    <w:rsid w:val="00492F3A"/>
    <w:rsid w:val="0049643D"/>
    <w:rsid w:val="004A346E"/>
    <w:rsid w:val="004A63A9"/>
    <w:rsid w:val="004B07DB"/>
    <w:rsid w:val="004B09D4"/>
    <w:rsid w:val="004B0BCB"/>
    <w:rsid w:val="004C27F5"/>
    <w:rsid w:val="004C39C6"/>
    <w:rsid w:val="004D23BA"/>
    <w:rsid w:val="004E069C"/>
    <w:rsid w:val="004E08E0"/>
    <w:rsid w:val="004E28FB"/>
    <w:rsid w:val="004E322D"/>
    <w:rsid w:val="004F4BB1"/>
    <w:rsid w:val="00504FD4"/>
    <w:rsid w:val="00507662"/>
    <w:rsid w:val="00523448"/>
    <w:rsid w:val="005359B6"/>
    <w:rsid w:val="005430A6"/>
    <w:rsid w:val="005470E8"/>
    <w:rsid w:val="00550FCF"/>
    <w:rsid w:val="005549F9"/>
    <w:rsid w:val="00556958"/>
    <w:rsid w:val="005676B3"/>
    <w:rsid w:val="00567ED5"/>
    <w:rsid w:val="005974AD"/>
    <w:rsid w:val="005A329F"/>
    <w:rsid w:val="005A4D7A"/>
    <w:rsid w:val="005B6C68"/>
    <w:rsid w:val="005D1164"/>
    <w:rsid w:val="005D6488"/>
    <w:rsid w:val="005F6278"/>
    <w:rsid w:val="00601280"/>
    <w:rsid w:val="00601F1B"/>
    <w:rsid w:val="00614B3B"/>
    <w:rsid w:val="006154F0"/>
    <w:rsid w:val="00640937"/>
    <w:rsid w:val="00641DBD"/>
    <w:rsid w:val="006426C0"/>
    <w:rsid w:val="006455D2"/>
    <w:rsid w:val="006529E7"/>
    <w:rsid w:val="006537F3"/>
    <w:rsid w:val="00675665"/>
    <w:rsid w:val="006B1BC1"/>
    <w:rsid w:val="006B5512"/>
    <w:rsid w:val="006C190D"/>
    <w:rsid w:val="00720686"/>
    <w:rsid w:val="00737EFF"/>
    <w:rsid w:val="00750806"/>
    <w:rsid w:val="00756ED1"/>
    <w:rsid w:val="007875D2"/>
    <w:rsid w:val="00790591"/>
    <w:rsid w:val="00797B69"/>
    <w:rsid w:val="007D61E2"/>
    <w:rsid w:val="007E430B"/>
    <w:rsid w:val="007F0A56"/>
    <w:rsid w:val="007F3444"/>
    <w:rsid w:val="007F41BD"/>
    <w:rsid w:val="007F6EBC"/>
    <w:rsid w:val="0080767A"/>
    <w:rsid w:val="00810D8B"/>
    <w:rsid w:val="00812A98"/>
    <w:rsid w:val="008816DD"/>
    <w:rsid w:val="00882773"/>
    <w:rsid w:val="008905B6"/>
    <w:rsid w:val="00894151"/>
    <w:rsid w:val="008A44D5"/>
    <w:rsid w:val="008B16F1"/>
    <w:rsid w:val="008B4706"/>
    <w:rsid w:val="008B6676"/>
    <w:rsid w:val="008C3FA8"/>
    <w:rsid w:val="008E51C5"/>
    <w:rsid w:val="008F7109"/>
    <w:rsid w:val="00906CCC"/>
    <w:rsid w:val="009107B0"/>
    <w:rsid w:val="009220DE"/>
    <w:rsid w:val="00926B9D"/>
    <w:rsid w:val="00930E84"/>
    <w:rsid w:val="009415B6"/>
    <w:rsid w:val="00941F7A"/>
    <w:rsid w:val="00947E29"/>
    <w:rsid w:val="00956FE6"/>
    <w:rsid w:val="00964BCE"/>
    <w:rsid w:val="0099270D"/>
    <w:rsid w:val="0099551E"/>
    <w:rsid w:val="009A1A86"/>
    <w:rsid w:val="009C23DB"/>
    <w:rsid w:val="009D1BE0"/>
    <w:rsid w:val="009D7A7F"/>
    <w:rsid w:val="009E0C42"/>
    <w:rsid w:val="009F7BE5"/>
    <w:rsid w:val="00A50BE3"/>
    <w:rsid w:val="00A70E95"/>
    <w:rsid w:val="00A84259"/>
    <w:rsid w:val="00A860C8"/>
    <w:rsid w:val="00AA1F73"/>
    <w:rsid w:val="00AB190D"/>
    <w:rsid w:val="00AB34CA"/>
    <w:rsid w:val="00AD400E"/>
    <w:rsid w:val="00AE54E2"/>
    <w:rsid w:val="00AF0DC5"/>
    <w:rsid w:val="00B012B7"/>
    <w:rsid w:val="00B06970"/>
    <w:rsid w:val="00B30C52"/>
    <w:rsid w:val="00B33F10"/>
    <w:rsid w:val="00B342F5"/>
    <w:rsid w:val="00B501AB"/>
    <w:rsid w:val="00B73978"/>
    <w:rsid w:val="00B77C4D"/>
    <w:rsid w:val="00BB13FE"/>
    <w:rsid w:val="00BC7782"/>
    <w:rsid w:val="00BC7EE2"/>
    <w:rsid w:val="00BF32F2"/>
    <w:rsid w:val="00BF5475"/>
    <w:rsid w:val="00C20ED7"/>
    <w:rsid w:val="00C42D2D"/>
    <w:rsid w:val="00C43474"/>
    <w:rsid w:val="00C61A48"/>
    <w:rsid w:val="00C80F8F"/>
    <w:rsid w:val="00C84355"/>
    <w:rsid w:val="00C84A65"/>
    <w:rsid w:val="00CA3051"/>
    <w:rsid w:val="00CA5F66"/>
    <w:rsid w:val="00CA6343"/>
    <w:rsid w:val="00CD20D9"/>
    <w:rsid w:val="00CD701A"/>
    <w:rsid w:val="00CE2E37"/>
    <w:rsid w:val="00CE43E8"/>
    <w:rsid w:val="00D00EAF"/>
    <w:rsid w:val="00D01565"/>
    <w:rsid w:val="00D05AAE"/>
    <w:rsid w:val="00D05E6B"/>
    <w:rsid w:val="00D066F8"/>
    <w:rsid w:val="00D166DD"/>
    <w:rsid w:val="00D254A6"/>
    <w:rsid w:val="00D42B55"/>
    <w:rsid w:val="00D57D70"/>
    <w:rsid w:val="00D615C8"/>
    <w:rsid w:val="00D620BE"/>
    <w:rsid w:val="00D726A5"/>
    <w:rsid w:val="00D778F7"/>
    <w:rsid w:val="00DA5516"/>
    <w:rsid w:val="00DD2E2D"/>
    <w:rsid w:val="00DD7D9E"/>
    <w:rsid w:val="00DE3E41"/>
    <w:rsid w:val="00DF3399"/>
    <w:rsid w:val="00E002B8"/>
    <w:rsid w:val="00E00CF6"/>
    <w:rsid w:val="00E05D81"/>
    <w:rsid w:val="00E316BC"/>
    <w:rsid w:val="00E53DFC"/>
    <w:rsid w:val="00E54818"/>
    <w:rsid w:val="00E66FC3"/>
    <w:rsid w:val="00E677DD"/>
    <w:rsid w:val="00E76DF3"/>
    <w:rsid w:val="00E77F17"/>
    <w:rsid w:val="00E809D8"/>
    <w:rsid w:val="00E921EC"/>
    <w:rsid w:val="00EB23D0"/>
    <w:rsid w:val="00EC2C12"/>
    <w:rsid w:val="00EC395A"/>
    <w:rsid w:val="00ED3591"/>
    <w:rsid w:val="00F01632"/>
    <w:rsid w:val="00F04858"/>
    <w:rsid w:val="00F06912"/>
    <w:rsid w:val="00F13AA4"/>
    <w:rsid w:val="00F33B3F"/>
    <w:rsid w:val="00F3510D"/>
    <w:rsid w:val="00F43A36"/>
    <w:rsid w:val="00F43C07"/>
    <w:rsid w:val="00F43D44"/>
    <w:rsid w:val="00F651F0"/>
    <w:rsid w:val="00F80ABB"/>
    <w:rsid w:val="00F80E6E"/>
    <w:rsid w:val="00FD19EF"/>
    <w:rsid w:val="00FD2DA9"/>
    <w:rsid w:val="00FD7A16"/>
    <w:rsid w:val="00FE77E5"/>
    <w:rsid w:val="00FE7E62"/>
    <w:rsid w:val="00FF4B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7346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link w:val="Heading1Char"/>
    <w:uiPriority w:val="9"/>
    <w:qFormat/>
    <w:rsid w:val="004A63A9"/>
    <w:pPr>
      <w:keepNext/>
      <w:keepLines/>
      <w:spacing w:before="480"/>
      <w:ind w:left="567" w:hanging="567"/>
      <w:outlineLvl w:val="0"/>
    </w:pPr>
    <w:rPr>
      <w:b/>
      <w:sz w:val="28"/>
    </w:rPr>
  </w:style>
  <w:style w:type="paragraph" w:styleId="Heading2">
    <w:name w:val="heading 2"/>
    <w:basedOn w:val="Heading1"/>
    <w:next w:val="Normal"/>
    <w:link w:val="Heading2Char"/>
    <w:uiPriority w:val="9"/>
    <w:qFormat/>
    <w:rsid w:val="00BB13FE"/>
    <w:pPr>
      <w:spacing w:before="320"/>
      <w:outlineLvl w:val="1"/>
    </w:pPr>
    <w:rPr>
      <w:sz w:val="24"/>
    </w:rPr>
  </w:style>
  <w:style w:type="paragraph" w:styleId="Heading3">
    <w:name w:val="heading 3"/>
    <w:basedOn w:val="Heading1"/>
    <w:next w:val="Normal"/>
    <w:link w:val="Heading3Char"/>
    <w:uiPriority w:val="9"/>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A70E95"/>
    <w:rPr>
      <w:position w:val="6"/>
      <w:sz w:val="16"/>
    </w:rPr>
  </w:style>
  <w:style w:type="paragraph" w:styleId="FootnoteText">
    <w:name w:val="footnote text"/>
    <w:basedOn w:val="Normal"/>
    <w:link w:val="FootnoteTextChar"/>
    <w:uiPriority w:val="99"/>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614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4B3B"/>
    <w:rPr>
      <w:rFonts w:ascii="Calibri" w:hAnsi="Calibri"/>
      <w:b/>
      <w:sz w:val="28"/>
      <w:lang w:val="es-ES_tradnl" w:eastAsia="en-US"/>
    </w:rPr>
  </w:style>
  <w:style w:type="character" w:customStyle="1" w:styleId="Heading2Char">
    <w:name w:val="Heading 2 Char"/>
    <w:basedOn w:val="DefaultParagraphFont"/>
    <w:link w:val="Heading2"/>
    <w:uiPriority w:val="9"/>
    <w:rsid w:val="00614B3B"/>
    <w:rPr>
      <w:rFonts w:ascii="Calibri" w:hAnsi="Calibri"/>
      <w:b/>
      <w:sz w:val="24"/>
      <w:lang w:val="es-ES_tradnl" w:eastAsia="en-US"/>
    </w:rPr>
  </w:style>
  <w:style w:type="character" w:customStyle="1" w:styleId="Heading3Char">
    <w:name w:val="Heading 3 Char"/>
    <w:basedOn w:val="DefaultParagraphFont"/>
    <w:link w:val="Heading3"/>
    <w:uiPriority w:val="9"/>
    <w:rsid w:val="00614B3B"/>
    <w:rPr>
      <w:rFonts w:ascii="Calibri" w:hAnsi="Calibri"/>
      <w:b/>
      <w:sz w:val="24"/>
      <w:lang w:val="es-ES_tradnl" w:eastAsia="en-US"/>
    </w:rPr>
  </w:style>
  <w:style w:type="paragraph" w:styleId="ListParagraph">
    <w:name w:val="List Paragraph"/>
    <w:basedOn w:val="Normal"/>
    <w:uiPriority w:val="34"/>
    <w:qFormat/>
    <w:rsid w:val="00614B3B"/>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FootnoteTextChar">
    <w:name w:val="Footnote Text Char"/>
    <w:basedOn w:val="DefaultParagraphFont"/>
    <w:link w:val="FootnoteText"/>
    <w:uiPriority w:val="99"/>
    <w:rsid w:val="00614B3B"/>
    <w:rPr>
      <w:rFonts w:ascii="Calibri" w:hAnsi="Calibri"/>
      <w:sz w:val="24"/>
      <w:lang w:val="es-ES_tradnl" w:eastAsia="en-US"/>
    </w:rPr>
  </w:style>
  <w:style w:type="paragraph" w:styleId="Caption">
    <w:name w:val="caption"/>
    <w:basedOn w:val="Normal"/>
    <w:next w:val="Normal"/>
    <w:uiPriority w:val="35"/>
    <w:unhideWhenUsed/>
    <w:qFormat/>
    <w:rsid w:val="00614B3B"/>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table" w:styleId="TableGridLight">
    <w:name w:val="Grid Table Light"/>
    <w:basedOn w:val="TableNormal"/>
    <w:uiPriority w:val="40"/>
    <w:rsid w:val="00614B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
    <w:name w:val="Figure"/>
    <w:basedOn w:val="Normal"/>
    <w:qFormat/>
    <w:rsid w:val="005549F9"/>
    <w:pPr>
      <w:jc w:val="both"/>
    </w:pPr>
    <w:rPr>
      <w:noProof/>
      <w:color w:val="000000"/>
      <w:lang w:val="en-US"/>
    </w:rPr>
  </w:style>
  <w:style w:type="paragraph" w:customStyle="1" w:styleId="Figurelegend">
    <w:name w:val="Figure_legend"/>
    <w:basedOn w:val="Normal"/>
    <w:rsid w:val="00E54818"/>
    <w:pPr>
      <w:keepNext/>
      <w:keepLines/>
      <w:tabs>
        <w:tab w:val="clear" w:pos="567"/>
        <w:tab w:val="clear" w:pos="1134"/>
        <w:tab w:val="clear" w:pos="1701"/>
        <w:tab w:val="clear" w:pos="2268"/>
        <w:tab w:val="clear" w:pos="2835"/>
      </w:tabs>
      <w:spacing w:before="20" w:after="20"/>
    </w:pPr>
    <w:rPr>
      <w:rFonts w:asciiTheme="minorHAnsi" w:hAnsiTheme="minorHAnsi"/>
      <w:sz w:val="18"/>
    </w:rPr>
  </w:style>
  <w:style w:type="paragraph" w:customStyle="1" w:styleId="FigureNotitle">
    <w:name w:val="Figure_No &amp; title"/>
    <w:basedOn w:val="Normal"/>
    <w:next w:val="Normal"/>
    <w:rsid w:val="00E54818"/>
    <w:pPr>
      <w:keepLines/>
      <w:tabs>
        <w:tab w:val="clear" w:pos="567"/>
        <w:tab w:val="clear" w:pos="1134"/>
        <w:tab w:val="clear" w:pos="1701"/>
        <w:tab w:val="clear" w:pos="2268"/>
        <w:tab w:val="clear" w:pos="2835"/>
        <w:tab w:val="left" w:pos="794"/>
        <w:tab w:val="left" w:pos="1191"/>
        <w:tab w:val="left" w:pos="1588"/>
        <w:tab w:val="left" w:pos="1985"/>
      </w:tabs>
      <w:spacing w:before="240" w:after="120"/>
      <w:jc w:val="center"/>
    </w:pPr>
    <w:rPr>
      <w:rFonts w:asciiTheme="minorHAnsi" w:hAnsiTheme="minorHAns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itu.int/md/S26-CL-C-0130/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radar.cloudflare.com/explorer?dataSet=origins&amp;filters=origin%253Damazon%252Cregion%253Dme-central-1&amp;metric=requests&amp;dt=2026-02-01_2026-09-17" TargetMode="External"/><Relationship Id="rId18" Type="http://schemas.openxmlformats.org/officeDocument/2006/relationships/hyperlink" Target="https://press.aboutamazon.com/2019/7/aws-launches-region-in-the-middle-east" TargetMode="External"/><Relationship Id="rId26" Type="http://schemas.openxmlformats.org/officeDocument/2006/relationships/hyperlink" Target="https://rulebook.centralbank.ae/en/rulebook/consumer-protection-standards" TargetMode="External"/><Relationship Id="rId39" Type="http://schemas.openxmlformats.org/officeDocument/2006/relationships/hyperlink" Target="https://www.wam.ae/es/article/175owy3-las-autoridades-fuyaira-responden-ataque-con-dron" TargetMode="External"/><Relationship Id="rId21" Type="http://schemas.openxmlformats.org/officeDocument/2006/relationships/hyperlink" Target="https://www.iga.gov.bh/en/article/85-of-government-data-transfer-to-amazon-more-than-300-sites-connected-to-the-government-data-network" TargetMode="External"/><Relationship Id="rId34" Type="http://schemas.openxmlformats.org/officeDocument/2006/relationships/hyperlink" Target="https://health.aws.amazon.com/health/status?_sp=d6244f1c-0cb2-498b-b35e-cd0e2a94502e&amp;tag=itechguides04-20" TargetMode="External"/><Relationship Id="rId42" Type="http://schemas.openxmlformats.org/officeDocument/2006/relationships/hyperlink" Target="https://ic.iata.org/sites/default/files/iata_sih_document_attachment/IATA%20Safety%20Risk%20Assessment%20-%20GNSS%20Interference%20V5.pdf" TargetMode="External"/><Relationship Id="rId47" Type="http://schemas.openxmlformats.org/officeDocument/2006/relationships/hyperlink" Target="https://rntfnd.org/2026/04/23/finland-cellular-also-impacted-by-interference/" TargetMode="External"/><Relationship Id="rId50" Type="http://schemas.openxmlformats.org/officeDocument/2006/relationships/hyperlink" Target="https://resources.telegeography.com/submarine-cable-infrastructure-strait-hormuz" TargetMode="External"/><Relationship Id="rId55" Type="http://schemas.openxmlformats.org/officeDocument/2006/relationships/hyperlink" Target="https://www.itu.int/en/ITU-D/Regional-Presence/ArabStates/Pages/events.aspx" TargetMode="External"/><Relationship Id="rId7"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2" Type="http://schemas.openxmlformats.org/officeDocument/2006/relationships/hyperlink" Target="https://www.itu.int/md/S26-CL-C-0130/en" TargetMode="External"/><Relationship Id="rId16" Type="http://schemas.openxmlformats.org/officeDocument/2006/relationships/hyperlink" Target="https://www.nasdaq.com/press-release/aws-launches-region-in-the-united-arab-emirates-2022-08-30" TargetMode="External"/><Relationship Id="rId29" Type="http://schemas.openxmlformats.org/officeDocument/2006/relationships/hyperlink" Target="https://www.thebanker.com/content/fd078db2-7f55-436d-9d2e-62a0a742ad02" TargetMode="External"/><Relationship Id="rId11"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4" Type="http://schemas.openxmlformats.org/officeDocument/2006/relationships/hyperlink" Target="https://uaelegislation.gov.ae/en/legislations/1209/download" TargetMode="External"/><Relationship Id="rId32" Type="http://schemas.openxmlformats.org/officeDocument/2006/relationships/hyperlink" Target="https://www.csis.org/analysis/what-iran-war-costing-joint-gulf-us-ambitions-ai" TargetMode="External"/><Relationship Id="rId37" Type="http://schemas.openxmlformats.org/officeDocument/2006/relationships/hyperlink" Target="https://sharjah24.ae/en/Articles/2026/03/31/a32" TargetMode="External"/><Relationship Id="rId40" Type="http://schemas.openxmlformats.org/officeDocument/2006/relationships/hyperlink" Target="https://www.wam.ae/en/article/175otv1-authorities-fujairah-respond-incident-targeting-du" TargetMode="External"/><Relationship Id="rId45" Type="http://schemas.openxmlformats.org/officeDocument/2006/relationships/hyperlink" Target="https://www.wired.me/story/gps-is-the-new-battlefield-why-your-maps-arent-working" TargetMode="External"/><Relationship Id="rId53" Type="http://schemas.openxmlformats.org/officeDocument/2006/relationships/hyperlink" Target="https://www.itu.int/dms_pub/itu-d/md/26/dm/cir/D26-DM-CIR-0027!!PDF-E.pdf" TargetMode="External"/><Relationship Id="rId58" Type="http://schemas.openxmlformats.org/officeDocument/2006/relationships/hyperlink" Target="https://www.undp.org/publications/post-disaster-needs-assessment" TargetMode="External"/><Relationship Id="rId5"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9" Type="http://schemas.openxmlformats.org/officeDocument/2006/relationships/hyperlink" Target="https://aws.amazon.com/blogs/publicsector/bahrains-cloud-first-success-story/" TargetMode="External"/><Relationship Id="rId4" Type="http://schemas.openxmlformats.org/officeDocument/2006/relationships/hyperlink" Target="https://aws.amazon.com/about-aws/global-infrastructure/regions_az/" TargetMode="External"/><Relationship Id="rId9"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4" Type="http://schemas.openxmlformats.org/officeDocument/2006/relationships/hyperlink" Target="https://radar.cloudflare.com/explorer?dataSet=origins&amp;filters=origin%253Damazon%252Cregion%253Dme-south-1&amp;metric=requests&amp;dt=2026-02-01_2026-09-17" TargetMode="External"/><Relationship Id="rId22" Type="http://schemas.openxmlformats.org/officeDocument/2006/relationships/hyperlink" Target="https://www.iga.gov.bh/en/article/85-of-government-data-transfer-to-amazon-more-than-300-sites-connected-to-the-government-data-network" TargetMode="External"/><Relationship Id="rId27" Type="http://schemas.openxmlformats.org/officeDocument/2006/relationships/hyperlink" Target="https://www.adcb.com/en/about-us/media-centre/news/2026/march/adcb-confirms-restoration-of-retail-mobile-banking-services" TargetMode="External"/><Relationship Id="rId30" Type="http://schemas.openxmlformats.org/officeDocument/2006/relationships/hyperlink" Target="https://www.thebanker.com/content/fd078db2-7f55-436d-9d2e-62a0a742ad02" TargetMode="External"/><Relationship Id="rId35" Type="http://schemas.openxmlformats.org/officeDocument/2006/relationships/hyperlink" Target="https://www.bakerinstitute.org/sites/default/files/2026-04/20260410_Global%20AI%20Race.pdf" TargetMode="External"/><Relationship Id="rId43" Type="http://schemas.openxmlformats.org/officeDocument/2006/relationships/hyperlink" Target="https://windward.ai/blog/gps-jamming-is-mainstream-changes-between-2025-and-2026/" TargetMode="External"/><Relationship Id="rId48" Type="http://schemas.openxmlformats.org/officeDocument/2006/relationships/hyperlink" Target="https://rntfnd.org/2026/04/23/finland-cellular-also-impacted-by-interference/" TargetMode="External"/><Relationship Id="rId56" Type="http://schemas.openxmlformats.org/officeDocument/2006/relationships/hyperlink" Target="https://www.itu.int/en/ITU-D/Regional-Presence/ArabStates/Pages/events.aspx" TargetMode="External"/><Relationship Id="rId8"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51" Type="http://schemas.openxmlformats.org/officeDocument/2006/relationships/hyperlink" Target="https://www.itu.int/en/ITU-D/Cybersecurity/Pages/CyberDrill-2026/GlobalCyberDrill-26.aspx" TargetMode="External"/><Relationship Id="rId3" Type="http://schemas.openxmlformats.org/officeDocument/2006/relationships/hyperlink" Target="https://aws.amazon.com/about-aws/global-infrastructure/regions_az/" TargetMode="External"/><Relationship Id="rId12"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7" Type="http://schemas.openxmlformats.org/officeDocument/2006/relationships/hyperlink" Target="https://press.aboutamazon.com/2019/7/aws-launches-region-in-the-middle-east" TargetMode="External"/><Relationship Id="rId25" Type="http://schemas.openxmlformats.org/officeDocument/2006/relationships/hyperlink" Target="https://rulebook.centralbank.ae/en/rulebook/consumer-protection-standards" TargetMode="External"/><Relationship Id="rId33" Type="http://schemas.openxmlformats.org/officeDocument/2006/relationships/hyperlink" Target="https://health.aws.amazon.com/health/status?_sp=d6244f1c-0cb2-498b-b35e-cd0e2a94502e&amp;tag=itechguides04-20" TargetMode="External"/><Relationship Id="rId38" Type="http://schemas.openxmlformats.org/officeDocument/2006/relationships/hyperlink" Target="https://sharjah24.ae/en/Articles/2026/03/31/a32" TargetMode="External"/><Relationship Id="rId46" Type="http://schemas.openxmlformats.org/officeDocument/2006/relationships/hyperlink" Target="https://www.wired.me/story/gps-is-the-new-battlefield-why-your-maps-arent-working" TargetMode="External"/><Relationship Id="rId20" Type="http://schemas.openxmlformats.org/officeDocument/2006/relationships/hyperlink" Target="https://aws.amazon.com/blogs/publicsector/bahrains-cloud-first-success-story/" TargetMode="External"/><Relationship Id="rId41" Type="http://schemas.openxmlformats.org/officeDocument/2006/relationships/hyperlink" Target="https://rin.org.uk/page/RIN_Maritime_Report" TargetMode="External"/><Relationship Id="rId54" Type="http://schemas.openxmlformats.org/officeDocument/2006/relationships/hyperlink" Target="https://www.itu.int/dms_pub/itu-d/md/26/dm/cir/D26-DM-CIR-0027!!PDF-E.pdf" TargetMode="External"/><Relationship Id="rId1" Type="http://schemas.openxmlformats.org/officeDocument/2006/relationships/hyperlink" Target="https://www.itu.int/md/S26-CL-C-0130/es"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5" Type="http://schemas.openxmlformats.org/officeDocument/2006/relationships/hyperlink" Target="https://www.nasdaq.com/press-release/aws-launches-region-in-the-united-arab-emirates-2022-08-30" TargetMode="External"/><Relationship Id="rId23" Type="http://schemas.openxmlformats.org/officeDocument/2006/relationships/hyperlink" Target="https://uaelegislation.gov.ae/en/legislations/1209/download" TargetMode="External"/><Relationship Id="rId28" Type="http://schemas.openxmlformats.org/officeDocument/2006/relationships/hyperlink" Target="https://www.adcb.com/en/about-us/media-centre/news/2026/march/adcb-confirms-restoration-of-retail-mobile-banking-services" TargetMode="External"/><Relationship Id="rId36" Type="http://schemas.openxmlformats.org/officeDocument/2006/relationships/hyperlink" Target="https://www.bakerinstitute.org/sites/default/files/2026-04/20260410_Global%20AI%20Race.pdf" TargetMode="External"/><Relationship Id="rId49" Type="http://schemas.openxmlformats.org/officeDocument/2006/relationships/hyperlink" Target="https://www.itu.int/harmful-interference-to-rnss/" TargetMode="External"/><Relationship Id="rId57" Type="http://schemas.openxmlformats.org/officeDocument/2006/relationships/hyperlink" Target="https://www.undp.org/publications/post-disaster-needs-assessment" TargetMode="External"/><Relationship Id="rId10"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31" Type="http://schemas.openxmlformats.org/officeDocument/2006/relationships/hyperlink" Target="https://www.csis.org/analysis/what-iran-war-costing-joint-gulf-us-ambitions-ai" TargetMode="External"/><Relationship Id="rId44" Type="http://schemas.openxmlformats.org/officeDocument/2006/relationships/hyperlink" Target="https://windward.ai/blog/gps-jamming-is-mainstream-changes-between-2025-and-2026/" TargetMode="External"/><Relationship Id="rId52" Type="http://schemas.openxmlformats.org/officeDocument/2006/relationships/hyperlink" Target="https://www.itu.int/en/ITU-D/Cybersecurity/Pages/CyberDrill-2026/GlobalCyberDrill-2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767E2-97F9-49E0-B4E4-95F56D770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3250</Words>
  <Characters>17458</Characters>
  <Application>Microsoft Office Word</Application>
  <DocSecurity>0</DocSecurity>
  <Lines>281</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20622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ITU Plenipotentiary Conference (PP-26)</dc:subject>
  <dc:creator>Spanish</dc:creator>
  <cp:keywords>PP-26, PP26, ITU</cp:keywords>
  <dc:description/>
  <cp:lastModifiedBy>ITUGBS</cp:lastModifiedBy>
  <cp:revision>2</cp:revision>
  <dcterms:created xsi:type="dcterms:W3CDTF">2026-10-30T18:09:00Z</dcterms:created>
  <dcterms:modified xsi:type="dcterms:W3CDTF">2026-10-30T18:09:00Z</dcterms:modified>
  <cp:category>Conference document</cp:category>
</cp:coreProperties>
</file>