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1BF2B97F" w14:textId="77777777" w:rsidTr="00B947D2">
        <w:trPr>
          <w:cantSplit/>
          <w:trHeight w:val="20"/>
        </w:trPr>
        <w:tc>
          <w:tcPr>
            <w:tcW w:w="9672" w:type="dxa"/>
            <w:gridSpan w:val="2"/>
            <w:vAlign w:val="center"/>
          </w:tcPr>
          <w:p w14:paraId="76BF176D"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r>
              <w:rPr>
                <w:noProof/>
                <w:rtl/>
                <w:lang w:val="ar-EG" w:eastAsia="zh-CN"/>
              </w:rPr>
              <w:drawing>
                <wp:anchor distT="0" distB="0" distL="0" distR="0" simplePos="0" relativeHeight="251658240" behindDoc="1" locked="0" layoutInCell="1" allowOverlap="1" wp14:anchorId="751E34BF" wp14:editId="22DA7AF0">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55C69204" w14:textId="77777777" w:rsidTr="00EB3ADA">
        <w:trPr>
          <w:cantSplit/>
          <w:trHeight w:val="283"/>
        </w:trPr>
        <w:tc>
          <w:tcPr>
            <w:tcW w:w="9672" w:type="dxa"/>
            <w:gridSpan w:val="2"/>
            <w:tcBorders>
              <w:bottom w:val="single" w:sz="12" w:space="0" w:color="71716F"/>
            </w:tcBorders>
          </w:tcPr>
          <w:p w14:paraId="49C2EB38"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042D574F" w14:textId="77777777" w:rsidTr="00EB3ADA">
        <w:trPr>
          <w:cantSplit/>
          <w:trHeight w:val="255"/>
        </w:trPr>
        <w:tc>
          <w:tcPr>
            <w:tcW w:w="6620" w:type="dxa"/>
            <w:tcBorders>
              <w:top w:val="single" w:sz="12" w:space="0" w:color="71716F"/>
            </w:tcBorders>
          </w:tcPr>
          <w:p w14:paraId="3DDC9904"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52E70811"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6645BAD2" w14:textId="77777777" w:rsidTr="00EB3ADA">
        <w:trPr>
          <w:cantSplit/>
        </w:trPr>
        <w:tc>
          <w:tcPr>
            <w:tcW w:w="6620" w:type="dxa"/>
          </w:tcPr>
          <w:p w14:paraId="5A7B3116"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43170C75" w14:textId="5C683A93" w:rsidR="00F27DBC" w:rsidRPr="003A0ECA" w:rsidRDefault="0094427A"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 xml:space="preserve">المراجعة </w:t>
            </w:r>
            <w:r>
              <w:rPr>
                <w:b/>
                <w:bCs/>
                <w:lang w:val="en-US"/>
              </w:rPr>
              <w:t>1</w:t>
            </w:r>
            <w:r>
              <w:rPr>
                <w:b/>
                <w:bCs/>
                <w:lang w:val="en-US"/>
              </w:rPr>
              <w:br/>
            </w:r>
            <w:r>
              <w:rPr>
                <w:rFonts w:hint="cs"/>
                <w:b/>
                <w:bCs/>
                <w:rtl/>
              </w:rPr>
              <w:t>لل</w:t>
            </w:r>
            <w:r w:rsidR="00515E95" w:rsidRPr="00F37276">
              <w:rPr>
                <w:b/>
                <w:bCs/>
                <w:rtl/>
              </w:rPr>
              <w:t xml:space="preserve">وثيقة </w:t>
            </w:r>
            <w:r w:rsidR="001B6288">
              <w:rPr>
                <w:rStyle w:val="DocNo"/>
              </w:rPr>
              <w:t>70</w:t>
            </w:r>
            <w:r w:rsidR="00515E95" w:rsidRPr="00F37276">
              <w:rPr>
                <w:b/>
                <w:bCs/>
              </w:rPr>
              <w:t>-A</w:t>
            </w:r>
          </w:p>
        </w:tc>
      </w:tr>
      <w:tr w:rsidR="00F27DBC" w:rsidRPr="003A0ECA" w14:paraId="39C3F9CA" w14:textId="77777777" w:rsidTr="00EB3ADA">
        <w:trPr>
          <w:cantSplit/>
        </w:trPr>
        <w:tc>
          <w:tcPr>
            <w:tcW w:w="6620" w:type="dxa"/>
          </w:tcPr>
          <w:p w14:paraId="1C1CEDB9"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1CD8871C" w14:textId="2D640297" w:rsidR="00F27DBC" w:rsidRPr="003A0ECA" w:rsidRDefault="006B3924" w:rsidP="00BC44BB">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bidi="ar-SA"/>
              </w:rPr>
              <w:t>23</w:t>
            </w:r>
            <w:r w:rsidR="00BC44BB" w:rsidRPr="00BC44BB">
              <w:rPr>
                <w:b/>
                <w:bCs/>
                <w:rtl/>
                <w:lang w:val="en-US" w:bidi="ar-SA"/>
              </w:rPr>
              <w:t xml:space="preserve"> أكتوبر</w:t>
            </w:r>
            <w:r w:rsidR="00BC44BB" w:rsidRPr="00BC44BB">
              <w:rPr>
                <w:b/>
                <w:bCs/>
                <w:rtl/>
                <w:lang w:val="en-US"/>
              </w:rPr>
              <w:t xml:space="preserve"> </w:t>
            </w:r>
            <w:r w:rsidR="00515E95" w:rsidRPr="00F37276">
              <w:rPr>
                <w:b/>
                <w:bCs/>
              </w:rPr>
              <w:t>20</w:t>
            </w:r>
            <w:r w:rsidR="00515E95">
              <w:rPr>
                <w:b/>
                <w:bCs/>
              </w:rPr>
              <w:t>2</w:t>
            </w:r>
            <w:r w:rsidR="003039A5">
              <w:rPr>
                <w:b/>
                <w:bCs/>
              </w:rPr>
              <w:t>6</w:t>
            </w:r>
          </w:p>
        </w:tc>
      </w:tr>
      <w:tr w:rsidR="00F27DBC" w:rsidRPr="003A0ECA" w14:paraId="3E32D795" w14:textId="77777777" w:rsidTr="00EB3ADA">
        <w:trPr>
          <w:cantSplit/>
        </w:trPr>
        <w:tc>
          <w:tcPr>
            <w:tcW w:w="6620" w:type="dxa"/>
          </w:tcPr>
          <w:p w14:paraId="2E529233"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0BF83DF"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799DFB4C" w14:textId="77777777" w:rsidTr="00EB3ADA">
        <w:trPr>
          <w:cantSplit/>
        </w:trPr>
        <w:tc>
          <w:tcPr>
            <w:tcW w:w="6620" w:type="dxa"/>
          </w:tcPr>
          <w:p w14:paraId="3F85333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40B8944"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54F901A" w14:textId="77777777" w:rsidTr="00EB3ADA">
        <w:trPr>
          <w:cantSplit/>
        </w:trPr>
        <w:tc>
          <w:tcPr>
            <w:tcW w:w="9672" w:type="dxa"/>
            <w:gridSpan w:val="2"/>
          </w:tcPr>
          <w:p w14:paraId="3CBE8DB8" w14:textId="229BC0D7" w:rsidR="003A0ECA" w:rsidRPr="003A0ECA" w:rsidRDefault="00603B5E" w:rsidP="00603B5E">
            <w:pPr>
              <w:pStyle w:val="Source"/>
              <w:rPr>
                <w:lang w:eastAsia="zh-CN"/>
              </w:rPr>
            </w:pPr>
            <w:r w:rsidRPr="00603B5E">
              <w:rPr>
                <w:rtl/>
                <w:lang w:eastAsia="zh-CN" w:bidi="ar-EG"/>
              </w:rPr>
              <w:t>تقرير من الأمينة العامة</w:t>
            </w:r>
          </w:p>
        </w:tc>
      </w:tr>
      <w:tr w:rsidR="003A0ECA" w:rsidRPr="003A0ECA" w14:paraId="3809B5EA" w14:textId="77777777" w:rsidTr="00EB3ADA">
        <w:trPr>
          <w:cantSplit/>
        </w:trPr>
        <w:tc>
          <w:tcPr>
            <w:tcW w:w="9672" w:type="dxa"/>
            <w:gridSpan w:val="2"/>
          </w:tcPr>
          <w:p w14:paraId="0858217F" w14:textId="0169E50D" w:rsidR="003A0ECA" w:rsidRPr="003A0ECA" w:rsidRDefault="00603B5E" w:rsidP="00651C59">
            <w:pPr>
              <w:pStyle w:val="Title1"/>
              <w:rPr>
                <w:lang w:eastAsia="zh-CN" w:bidi="ar-SY"/>
              </w:rPr>
            </w:pPr>
            <w:r w:rsidRPr="00603B5E">
              <w:rPr>
                <w:rtl/>
                <w:lang w:eastAsia="zh-CN" w:bidi="ar-SA"/>
              </w:rPr>
              <w:t xml:space="preserve">القرار </w:t>
            </w:r>
            <w:r w:rsidRPr="00603B5E">
              <w:rPr>
                <w:lang w:eastAsia="zh-CN" w:bidi="ar-SA"/>
              </w:rPr>
              <w:t>1436</w:t>
            </w:r>
            <w:r>
              <w:rPr>
                <w:rFonts w:hint="cs"/>
                <w:rtl/>
                <w:lang w:val="en-GB" w:eastAsia="zh-CN" w:bidi="ar-SY"/>
              </w:rPr>
              <w:t>:</w:t>
            </w:r>
            <w:r w:rsidRPr="00603B5E">
              <w:rPr>
                <w:rtl/>
                <w:lang w:eastAsia="zh-CN" w:bidi="ar-SA"/>
              </w:rPr>
              <w:t xml:space="preserve"> </w:t>
            </w:r>
            <w:r w:rsidR="00651C59" w:rsidRPr="00651C59">
              <w:rPr>
                <w:rtl/>
                <w:lang w:eastAsia="zh-CN" w:bidi="ar-SA"/>
              </w:rPr>
              <w:t xml:space="preserve">الأثر </w:t>
            </w:r>
            <w:r w:rsidR="006B3924">
              <w:rPr>
                <w:rFonts w:hint="cs"/>
                <w:rtl/>
                <w:lang w:eastAsia="zh-CN"/>
              </w:rPr>
              <w:t xml:space="preserve">على </w:t>
            </w:r>
            <w:r w:rsidR="00651C59" w:rsidRPr="00651C59">
              <w:rPr>
                <w:rtl/>
                <w:lang w:eastAsia="zh-CN" w:bidi="ar-SA"/>
              </w:rPr>
              <w:t xml:space="preserve">البنية التحتية </w:t>
            </w:r>
            <w:r w:rsidR="006B3924">
              <w:rPr>
                <w:rFonts w:hint="cs"/>
                <w:rtl/>
                <w:lang w:eastAsia="zh-CN" w:bidi="ar-SA"/>
              </w:rPr>
              <w:t xml:space="preserve">المدنية </w:t>
            </w:r>
            <w:r w:rsidR="00651C59" w:rsidRPr="00651C59">
              <w:rPr>
                <w:rtl/>
                <w:lang w:eastAsia="zh-CN" w:bidi="ar-SA"/>
              </w:rPr>
              <w:t>للاتصالات/تكنولوجيا المعلومات والاتصالات في البحرين والكويت والإمارات العربية المتحدة والأردن</w:t>
            </w:r>
            <w:r w:rsidR="006B3924">
              <w:rPr>
                <w:color w:val="000000"/>
                <w:rtl/>
              </w:rPr>
              <w:t>، وتداعياته على التوصيلية الإقليمية والعالمية</w:t>
            </w:r>
          </w:p>
        </w:tc>
      </w:tr>
      <w:tr w:rsidR="003A0ECA" w:rsidRPr="003A0ECA" w14:paraId="4EFE8514" w14:textId="77777777" w:rsidTr="00EB3ADA">
        <w:trPr>
          <w:cantSplit/>
        </w:trPr>
        <w:tc>
          <w:tcPr>
            <w:tcW w:w="9672" w:type="dxa"/>
            <w:gridSpan w:val="2"/>
          </w:tcPr>
          <w:p w14:paraId="6794B55C" w14:textId="4414C0D2" w:rsidR="003A0ECA" w:rsidRPr="003A0ECA" w:rsidRDefault="008421F3" w:rsidP="008421F3">
            <w:pPr>
              <w:pStyle w:val="Title2"/>
              <w:rPr>
                <w:lang w:val="en-US" w:eastAsia="zh-CN"/>
              </w:rPr>
            </w:pPr>
            <w:r w:rsidRPr="008421F3">
              <w:rPr>
                <w:rtl/>
                <w:lang w:eastAsia="zh-CN" w:bidi="ar-EG"/>
              </w:rPr>
              <w:t>تقرير مؤقت</w:t>
            </w:r>
          </w:p>
        </w:tc>
      </w:tr>
      <w:tr w:rsidR="003A0ECA" w:rsidRPr="003A0ECA" w14:paraId="750CE896" w14:textId="77777777" w:rsidTr="00EB3ADA">
        <w:trPr>
          <w:cantSplit/>
        </w:trPr>
        <w:tc>
          <w:tcPr>
            <w:tcW w:w="9672" w:type="dxa"/>
            <w:gridSpan w:val="2"/>
          </w:tcPr>
          <w:p w14:paraId="1544375F" w14:textId="77777777" w:rsidR="003A0ECA" w:rsidRPr="003A0ECA" w:rsidRDefault="003A0ECA" w:rsidP="003A0ECA">
            <w:pPr>
              <w:pStyle w:val="Agendaitem"/>
              <w:rPr>
                <w:lang w:eastAsia="zh-CN" w:bidi="ar-SY"/>
              </w:rPr>
            </w:pPr>
          </w:p>
        </w:tc>
      </w:tr>
    </w:tbl>
    <w:p w14:paraId="43240CA0" w14:textId="7EF9AE50" w:rsidR="00A2457A" w:rsidRDefault="00A2457A" w:rsidP="00A2457A">
      <w:pPr>
        <w:spacing w:before="0" w:after="0"/>
      </w:pPr>
    </w:p>
    <w:tbl>
      <w:tblPr>
        <w:tblStyle w:val="TableGrid"/>
        <w:bidiVisual/>
        <w:tblW w:w="0" w:type="auto"/>
        <w:jc w:val="center"/>
        <w:tblLook w:val="04A0" w:firstRow="1" w:lastRow="0" w:firstColumn="1" w:lastColumn="0" w:noHBand="0" w:noVBand="1"/>
      </w:tblPr>
      <w:tblGrid>
        <w:gridCol w:w="7937"/>
      </w:tblGrid>
      <w:tr w:rsidR="00A2457A" w:rsidRPr="00240419" w14:paraId="12846BF4" w14:textId="77777777" w:rsidTr="00A2457A">
        <w:trPr>
          <w:trHeight w:val="20"/>
          <w:jc w:val="center"/>
        </w:trPr>
        <w:tc>
          <w:tcPr>
            <w:tcW w:w="7937" w:type="dxa"/>
          </w:tcPr>
          <w:p w14:paraId="070B67C0" w14:textId="77777777" w:rsidR="00A2457A" w:rsidRPr="00BB584F" w:rsidRDefault="00A2457A" w:rsidP="00A2457A">
            <w:pPr>
              <w:pStyle w:val="Headingb"/>
              <w:keepNext w:val="0"/>
              <w:keepLines w:val="0"/>
            </w:pPr>
            <w:r w:rsidRPr="00BB584F">
              <w:rPr>
                <w:rtl/>
                <w:lang w:bidi="ar-SA"/>
              </w:rPr>
              <w:t>ملخص</w:t>
            </w:r>
          </w:p>
          <w:p w14:paraId="5B97ED11" w14:textId="77777777" w:rsidR="00A2457A" w:rsidRPr="00240419" w:rsidRDefault="00A2457A" w:rsidP="00A2457A">
            <w:pPr>
              <w:rPr>
                <w:lang w:val="en-US"/>
              </w:rPr>
            </w:pPr>
            <w:r w:rsidRPr="009C20D4">
              <w:rPr>
                <w:rtl/>
                <w:lang w:val="en-US" w:bidi="ar-SA"/>
              </w:rPr>
              <w:t>وفقاً لقرار المجلس</w:t>
            </w:r>
            <w:r w:rsidRPr="009C20D4">
              <w:rPr>
                <w:rFonts w:hint="cs"/>
                <w:rtl/>
                <w:lang w:val="en-US" w:bidi="ar-SA"/>
              </w:rPr>
              <w:t> </w:t>
            </w:r>
            <w:r w:rsidRPr="009C20D4">
              <w:rPr>
                <w:lang w:val="en-US" w:bidi="ar-SA"/>
              </w:rPr>
              <w:t>1436</w:t>
            </w:r>
            <w:r w:rsidRPr="009C20D4">
              <w:rPr>
                <w:rtl/>
                <w:lang w:val="en-US" w:bidi="ar-SA"/>
              </w:rPr>
              <w:t>، تقدم هذه الوثيقة تقريراً مؤقتاً عن أثر الهجمات على البنية التحتية للاتصالات/تكنولوجيا المعلومات والاتصالات في البحرين والكويت والإمارات العربية المتحدة والأردن، بما في ذلك تقييم الأضرار. ويعرض الآثار الأولية، لا سيما تلك الناجمة عن الأضرار التي أصابت مراكز البيانات في البحرين والإمارات العربية المتحدة</w:t>
            </w:r>
            <w:r w:rsidRPr="00BB584F">
              <w:rPr>
                <w:rtl/>
                <w:lang w:val="en-US" w:bidi="ar-SA"/>
              </w:rPr>
              <w:t xml:space="preserve">. </w:t>
            </w:r>
            <w:r w:rsidRPr="001B3038">
              <w:rPr>
                <w:rtl/>
                <w:lang w:val="en-US" w:bidi="ar-SA"/>
              </w:rPr>
              <w:t xml:space="preserve">بالإضافة إلى ذلك، يسلط التقرير الضوء على تفاقم مخاطر </w:t>
            </w:r>
            <w:r w:rsidRPr="001B3038">
              <w:rPr>
                <w:rtl/>
                <w:lang w:val="en-US" w:bidi="ar-SY"/>
              </w:rPr>
              <w:t>تعرُّض</w:t>
            </w:r>
            <w:r w:rsidRPr="001B3038">
              <w:rPr>
                <w:rtl/>
                <w:lang w:val="en-US" w:bidi="ar-SA"/>
              </w:rPr>
              <w:t xml:space="preserve"> الكبلات البحرية </w:t>
            </w:r>
            <w:r w:rsidRPr="00BB584F">
              <w:rPr>
                <w:rtl/>
                <w:lang w:val="en-US" w:bidi="ar-SA"/>
              </w:rPr>
              <w:t xml:space="preserve">وشبكة الإنترنت الأساسية التي تربط البلدان المذكورة. وسيقدَّم هذا التقرير إلى الاجتماع الأخير لدورة المجلس لعام </w:t>
            </w:r>
            <w:r w:rsidRPr="00BB584F">
              <w:rPr>
                <w:lang w:val="en-US" w:bidi="ar-SA"/>
              </w:rPr>
              <w:t>2026</w:t>
            </w:r>
            <w:r w:rsidRPr="00BB584F">
              <w:rPr>
                <w:rtl/>
                <w:lang w:val="en-US" w:bidi="ar-SA"/>
              </w:rPr>
              <w:t>.</w:t>
            </w:r>
          </w:p>
          <w:p w14:paraId="6E6E877B" w14:textId="77777777" w:rsidR="00A2457A" w:rsidRPr="00BB584F" w:rsidRDefault="00A2457A" w:rsidP="00A2457A">
            <w:pPr>
              <w:pStyle w:val="Headingb"/>
              <w:keepNext w:val="0"/>
              <w:keepLines w:val="0"/>
              <w:rPr>
                <w:lang w:bidi="ar-SA"/>
              </w:rPr>
            </w:pPr>
            <w:r w:rsidRPr="002949CF">
              <w:rPr>
                <w:rtl/>
                <w:lang w:bidi="ar-SA"/>
              </w:rPr>
              <w:t>الإجراء المطلوب</w:t>
            </w:r>
          </w:p>
          <w:p w14:paraId="21505F83" w14:textId="77777777" w:rsidR="00A2457A" w:rsidRPr="00240419" w:rsidRDefault="00A2457A" w:rsidP="00A2457A">
            <w:pPr>
              <w:rPr>
                <w:lang w:val="en-US"/>
              </w:rPr>
            </w:pPr>
            <w:r w:rsidRPr="002949CF">
              <w:rPr>
                <w:rtl/>
                <w:lang w:val="en-US" w:bidi="ar-SA"/>
              </w:rPr>
              <w:t xml:space="preserve">يُدعى مؤتمر المندوبين المفوضين إلى </w:t>
            </w:r>
            <w:r w:rsidRPr="002949CF">
              <w:rPr>
                <w:b/>
                <w:bCs/>
                <w:rtl/>
                <w:lang w:val="en-US" w:bidi="ar-SA"/>
              </w:rPr>
              <w:t>النظر</w:t>
            </w:r>
            <w:r w:rsidRPr="002949CF">
              <w:rPr>
                <w:rtl/>
                <w:lang w:val="en-US" w:bidi="ar-SA"/>
              </w:rPr>
              <w:t xml:space="preserve"> في هذا التقرير و</w:t>
            </w:r>
            <w:r w:rsidRPr="002949CF">
              <w:rPr>
                <w:b/>
                <w:bCs/>
                <w:rtl/>
                <w:lang w:val="en-US" w:bidi="ar-SA"/>
              </w:rPr>
              <w:t>الموافقة</w:t>
            </w:r>
            <w:r w:rsidRPr="002949CF">
              <w:rPr>
                <w:rtl/>
                <w:lang w:val="en-US" w:bidi="ar-SA"/>
              </w:rPr>
              <w:t xml:space="preserve"> على تمديد مهلة تقديم التقرير الكامل إلى دورة المجلس لعام </w:t>
            </w:r>
            <w:r w:rsidRPr="002949CF">
              <w:rPr>
                <w:lang w:val="en-US" w:bidi="ar-SA"/>
              </w:rPr>
              <w:t>2027</w:t>
            </w:r>
            <w:r w:rsidRPr="002949CF">
              <w:rPr>
                <w:rtl/>
                <w:lang w:val="en-US" w:bidi="ar-SA"/>
              </w:rPr>
              <w:t>.</w:t>
            </w:r>
          </w:p>
          <w:p w14:paraId="236CF8BD" w14:textId="77777777" w:rsidR="00A2457A" w:rsidRPr="00BB584F" w:rsidRDefault="00A2457A" w:rsidP="00A2457A">
            <w:r w:rsidRPr="002949CF">
              <w:rPr>
                <w:rtl/>
                <w:lang w:bidi="ar-SA"/>
              </w:rPr>
              <w:t>الآثار المالية</w:t>
            </w:r>
          </w:p>
          <w:p w14:paraId="268F1D77" w14:textId="77777777" w:rsidR="00A2457A" w:rsidRPr="00240419" w:rsidRDefault="00A2457A" w:rsidP="00A2457A">
            <w:pPr>
              <w:rPr>
                <w:lang w:val="en-US"/>
              </w:rPr>
            </w:pPr>
            <w:r w:rsidRPr="002949CF">
              <w:rPr>
                <w:rtl/>
                <w:lang w:val="en-US" w:bidi="ar-SA"/>
              </w:rPr>
              <w:t>لا توجد آثار إضافية.</w:t>
            </w:r>
          </w:p>
          <w:p w14:paraId="5B6A178D" w14:textId="77777777" w:rsidR="00A2457A" w:rsidRPr="00BB584F" w:rsidRDefault="00A2457A" w:rsidP="00A2457A">
            <w:pPr>
              <w:jc w:val="center"/>
              <w:rPr>
                <w:rFonts w:ascii="Traditional Arabic" w:hAnsi="Traditional Arabic" w:cs="Traditional Arabic"/>
                <w:lang w:val="en-US"/>
              </w:rPr>
            </w:pPr>
            <w:r w:rsidRPr="00BB584F">
              <w:rPr>
                <w:rFonts w:ascii="Traditional Arabic" w:hAnsi="Traditional Arabic" w:cs="Traditional Arabic"/>
                <w:lang w:val="en-US"/>
              </w:rPr>
              <w:t>______________</w:t>
            </w:r>
          </w:p>
          <w:p w14:paraId="10165457" w14:textId="77777777" w:rsidR="00A2457A" w:rsidRPr="00240419" w:rsidRDefault="00A2457A" w:rsidP="00A2457A">
            <w:pPr>
              <w:pStyle w:val="Headingb"/>
              <w:keepNext w:val="0"/>
              <w:keepLines w:val="0"/>
              <w:rPr>
                <w:lang w:val="en-US"/>
              </w:rPr>
            </w:pPr>
            <w:r w:rsidRPr="00A2457A">
              <w:rPr>
                <w:rtl/>
                <w:lang w:bidi="ar-SA"/>
              </w:rPr>
              <w:t>المراجع</w:t>
            </w:r>
          </w:p>
          <w:p w14:paraId="43AE5875" w14:textId="77777777" w:rsidR="00A2457A" w:rsidRPr="00D2007B" w:rsidRDefault="00A2457A" w:rsidP="00A2457A">
            <w:pPr>
              <w:rPr>
                <w:lang w:val="en-US"/>
              </w:rPr>
            </w:pPr>
            <w:hyperlink r:id="rId8" w:history="1">
              <w:r w:rsidRPr="0069248E">
                <w:rPr>
                  <w:rStyle w:val="Hyperlink"/>
                  <w:i/>
                  <w:iCs/>
                  <w:rtl/>
                  <w:lang w:val="en-US" w:eastAsia="zh-CN"/>
                </w:rPr>
                <w:t>القرار </w:t>
              </w:r>
              <w:r w:rsidRPr="0069248E">
                <w:rPr>
                  <w:rStyle w:val="Hyperlink"/>
                  <w:i/>
                  <w:iCs/>
                  <w:lang w:val="en-US" w:eastAsia="zh-CN"/>
                </w:rPr>
                <w:t>1436</w:t>
              </w:r>
              <w:r w:rsidRPr="0069248E">
                <w:rPr>
                  <w:rStyle w:val="Hyperlink"/>
                  <w:i/>
                  <w:iCs/>
                  <w:rtl/>
                  <w:lang w:val="en-US" w:eastAsia="zh-CN"/>
                </w:rPr>
                <w:t xml:space="preserve"> الصادر عن مجلس الاتحاد الدولي للاتصالات (دورة المجلس لعام </w:t>
              </w:r>
              <w:r w:rsidRPr="0069248E">
                <w:rPr>
                  <w:rStyle w:val="Hyperlink"/>
                  <w:i/>
                  <w:iCs/>
                  <w:lang w:val="en-US" w:eastAsia="zh-CN"/>
                </w:rPr>
                <w:t>2026</w:t>
              </w:r>
              <w:r w:rsidRPr="0069248E">
                <w:rPr>
                  <w:rStyle w:val="Hyperlink"/>
                  <w:i/>
                  <w:iCs/>
                  <w:rtl/>
                  <w:lang w:val="en-US" w:eastAsia="zh-CN"/>
                </w:rPr>
                <w:t>)</w:t>
              </w:r>
            </w:hyperlink>
            <w:r w:rsidRPr="0069248E">
              <w:rPr>
                <w:u w:color="5B9BD5"/>
                <w:rtl/>
              </w:rPr>
              <w:t>.</w:t>
            </w:r>
          </w:p>
        </w:tc>
      </w:tr>
    </w:tbl>
    <w:p w14:paraId="416B9A2B" w14:textId="06DC0E7A" w:rsidR="00202773" w:rsidRDefault="00716FEB" w:rsidP="00651C59">
      <w:r>
        <w:rPr>
          <w:rtl/>
        </w:rPr>
        <w:br w:type="page"/>
      </w:r>
    </w:p>
    <w:p w14:paraId="600E8ACC" w14:textId="12204D9E" w:rsidR="008F773C" w:rsidRPr="008F773C" w:rsidRDefault="008F773C" w:rsidP="00C74533">
      <w:pPr>
        <w:pStyle w:val="Heading1"/>
        <w:rPr>
          <w:lang w:val="ar-SA"/>
        </w:rPr>
      </w:pPr>
      <w:r w:rsidRPr="008F773C">
        <w:rPr>
          <w:lang w:bidi="ar-SA"/>
        </w:rPr>
        <w:lastRenderedPageBreak/>
        <w:t>1</w:t>
      </w:r>
      <w:r w:rsidRPr="008F773C">
        <w:rPr>
          <w:rtl/>
          <w:lang w:bidi="ar-SA"/>
        </w:rPr>
        <w:tab/>
      </w:r>
      <w:r w:rsidR="00C74533" w:rsidRPr="00C74533">
        <w:rPr>
          <w:rtl/>
          <w:lang w:bidi="ar-SA"/>
        </w:rPr>
        <w:t>الخلفية</w:t>
      </w:r>
    </w:p>
    <w:p w14:paraId="4AAB2008" w14:textId="77777777" w:rsidR="00C74533" w:rsidRPr="00986135" w:rsidRDefault="00C74533" w:rsidP="00C74533">
      <w:pPr>
        <w:rPr>
          <w:spacing w:val="-2"/>
        </w:rPr>
      </w:pPr>
      <w:r w:rsidRPr="00986135">
        <w:rPr>
          <w:spacing w:val="-2"/>
          <w:rtl/>
        </w:rPr>
        <w:t>اعتمد مجلس الاتحاد الدولي للاتصالات، في دورته لعام </w:t>
      </w:r>
      <w:r w:rsidRPr="00986135">
        <w:rPr>
          <w:spacing w:val="-2"/>
        </w:rPr>
        <w:t>2026</w:t>
      </w:r>
      <w:r w:rsidRPr="00986135">
        <w:rPr>
          <w:spacing w:val="-2"/>
          <w:rtl/>
        </w:rPr>
        <w:t>، القرار </w:t>
      </w:r>
      <w:r w:rsidRPr="00986135">
        <w:rPr>
          <w:spacing w:val="-2"/>
        </w:rPr>
        <w:t>1436</w:t>
      </w:r>
      <w:r w:rsidRPr="00986135">
        <w:rPr>
          <w:spacing w:val="-2"/>
          <w:rtl/>
        </w:rPr>
        <w:t>بشأن أثر الهجمات على البنية التحتية المدنية للاتصالات/تكنولوجيا المعلومات والاتصالات في البحرين والكويت والإمارات العربية المتحدة والأردن، وتداعياتها على التوصيلية الإقليمية والعالمية</w:t>
      </w:r>
      <w:r w:rsidRPr="00986135">
        <w:rPr>
          <w:rStyle w:val="FootnoteReference"/>
          <w:spacing w:val="-2"/>
        </w:rPr>
        <w:footnoteReference w:id="1"/>
      </w:r>
      <w:r w:rsidRPr="00986135">
        <w:rPr>
          <w:spacing w:val="-2"/>
          <w:rtl/>
        </w:rPr>
        <w:t>. ويكلف القرار </w:t>
      </w:r>
      <w:r w:rsidRPr="00986135">
        <w:rPr>
          <w:spacing w:val="-2"/>
        </w:rPr>
        <w:t>1436</w:t>
      </w:r>
      <w:r w:rsidRPr="00986135">
        <w:rPr>
          <w:spacing w:val="-2"/>
          <w:rtl/>
        </w:rPr>
        <w:t xml:space="preserve"> مديري المكاتب الثلاثة بمراقبة الهجمات على البنية التحتية للاتصالات وتكنولوجيا المعلومات والاتصالات في البحرين والكويت والإمارات العربية المتحدة والأردن وتقديم تقارير منتظمة بشأنها، وتقييم أثر هذه الهجمات على البنية التحتية للاتصالات والخدمات وبرامج الاتحاد.</w:t>
      </w:r>
    </w:p>
    <w:p w14:paraId="21F8B4D7" w14:textId="77777777" w:rsidR="00C74533" w:rsidRPr="001C6160" w:rsidRDefault="00C74533" w:rsidP="00C74533">
      <w:r w:rsidRPr="001C6160">
        <w:rPr>
          <w:rtl/>
        </w:rPr>
        <w:t>ولذلك، واستناداً إلى التعليمات الواردة في القرار</w:t>
      </w:r>
      <w:r>
        <w:rPr>
          <w:rtl/>
        </w:rPr>
        <w:t> </w:t>
      </w:r>
      <w:r>
        <w:t>1436</w:t>
      </w:r>
      <w:r w:rsidRPr="001C6160">
        <w:rPr>
          <w:rtl/>
        </w:rPr>
        <w:t>، يهدف هذا التقرير المرحلي إلى تقديم تقييم تحليلي يتناول:</w:t>
      </w:r>
    </w:p>
    <w:p w14:paraId="5D3E5F17" w14:textId="77777777" w:rsidR="00C74533" w:rsidRPr="001C6160" w:rsidRDefault="00C74533" w:rsidP="00C74533">
      <w:pPr>
        <w:pStyle w:val="enumlev1"/>
      </w:pPr>
      <w:r>
        <w:sym w:font="Symbol" w:char="F0B7"/>
      </w:r>
      <w:r>
        <w:rPr>
          <w:rtl/>
        </w:rPr>
        <w:tab/>
      </w:r>
      <w:r w:rsidRPr="001C6160">
        <w:rPr>
          <w:rtl/>
        </w:rPr>
        <w:t xml:space="preserve">تحديد الأحداث، وأصول وخدمات البنية التحتية للاتصالات وتكنولوجيا المعلومات والاتصالات </w:t>
      </w:r>
      <w:r w:rsidRPr="001C6160">
        <w:rPr>
          <w:b/>
          <w:rtl/>
        </w:rPr>
        <w:t xml:space="preserve">المتضررة </w:t>
      </w:r>
      <w:r w:rsidRPr="001C6160">
        <w:rPr>
          <w:rtl/>
        </w:rPr>
        <w:t>في</w:t>
      </w:r>
      <w:r>
        <w:rPr>
          <w:rtl/>
        </w:rPr>
        <w:t> </w:t>
      </w:r>
      <w:r w:rsidRPr="001C6160">
        <w:rPr>
          <w:rtl/>
        </w:rPr>
        <w:t>البحرين والكويت والإمارات العربية المتحدة والأردن.</w:t>
      </w:r>
    </w:p>
    <w:p w14:paraId="3CD2DE08" w14:textId="77777777" w:rsidR="00C74533" w:rsidRPr="001C6160" w:rsidRDefault="00C74533" w:rsidP="00C74533">
      <w:pPr>
        <w:pStyle w:val="enumlev1"/>
      </w:pPr>
      <w:r>
        <w:sym w:font="Symbol" w:char="F0B7"/>
      </w:r>
      <w:r>
        <w:rPr>
          <w:rtl/>
        </w:rPr>
        <w:tab/>
      </w:r>
      <w:r w:rsidRPr="001C6160">
        <w:rPr>
          <w:rtl/>
        </w:rPr>
        <w:t>تقييم الأضرار والآثار الناجمة عن الهجمات على خدمات الاتصالات وبنيتها التحتية في البحرين والكويت والإمارات العربية المتحدة والأردن، بما في ذلك تداعياتها على الصعيد العالمي.</w:t>
      </w:r>
    </w:p>
    <w:p w14:paraId="009CA93C" w14:textId="71493DD3" w:rsidR="00C74533" w:rsidRPr="001C6160" w:rsidRDefault="00C74533" w:rsidP="00C74533">
      <w:pPr>
        <w:rPr>
          <w:rtl/>
        </w:rPr>
      </w:pPr>
      <w:r w:rsidRPr="001C6160">
        <w:rPr>
          <w:rtl/>
        </w:rPr>
        <w:t>ويعرض هذا التقرير المرحلي النتائج الأولية استناداً إلى الأدبيات والاستعراض المكتبي للمعلومات والبيانات المتاحة للعموم. ويتطلب استكمال التقرير النهائي مواصلة جمع البيانات وتحليلها، بما في ذلك من المصادر الأولية. وإذا استنسب المجلس و/أو</w:t>
      </w:r>
      <w:r w:rsidR="006C551D">
        <w:rPr>
          <w:rFonts w:hint="cs"/>
          <w:rtl/>
        </w:rPr>
        <w:t> </w:t>
      </w:r>
      <w:r w:rsidRPr="001C6160">
        <w:rPr>
          <w:rtl/>
        </w:rPr>
        <w:t>مؤتمر المندوبين المفوضين للاتحاد ذلك، يمكن تقديم التقرير النهائي إلى اجتماع المجلس في عام</w:t>
      </w:r>
      <w:r>
        <w:rPr>
          <w:rtl/>
        </w:rPr>
        <w:t> </w:t>
      </w:r>
      <w:r>
        <w:t>2027</w:t>
      </w:r>
      <w:r w:rsidRPr="001C6160">
        <w:rPr>
          <w:rtl/>
        </w:rPr>
        <w:t>.</w:t>
      </w:r>
    </w:p>
    <w:p w14:paraId="172F390D" w14:textId="77777777" w:rsidR="008F773C" w:rsidRPr="008F773C" w:rsidRDefault="008F773C" w:rsidP="00A82018">
      <w:pPr>
        <w:pStyle w:val="Heading1"/>
        <w:rPr>
          <w:lang w:bidi="ar-SA"/>
        </w:rPr>
      </w:pPr>
      <w:r w:rsidRPr="008F773C">
        <w:rPr>
          <w:lang w:bidi="ar-SA"/>
        </w:rPr>
        <w:t>2</w:t>
      </w:r>
      <w:r w:rsidRPr="008F773C">
        <w:rPr>
          <w:rtl/>
          <w:lang w:bidi="ar-SA"/>
        </w:rPr>
        <w:tab/>
        <w:t>الأحداث، والأصول المتضررة، والأثر</w:t>
      </w:r>
    </w:p>
    <w:p w14:paraId="72E63A6D" w14:textId="77777777" w:rsidR="004B2F2E" w:rsidRPr="001C6160" w:rsidRDefault="004B2F2E" w:rsidP="004B2F2E">
      <w:pPr>
        <w:rPr>
          <w:rtl/>
        </w:rPr>
      </w:pPr>
      <w:r w:rsidRPr="001C6160">
        <w:rPr>
          <w:rtl/>
        </w:rPr>
        <w:t>يسرد هذا القسم الأحداث التي طالت فيها الهجمات البنية التحتية للاتصالات وتكنولوجيا المعلومات والاتصالات. واستناداً إلى المعلومات المتاحة للعموم، أمكن تحديد الأحداث ذات الصلة في البحرين والإمارات العربية المتحدة، ويرد سردها في هذا القسم. ومع تقدم التقييم بإدراج مصادر بيانات إضافية، لا سيما المصادر الأولية، قد تظهر تأثيرات مباشرة إضافية على البنية التحتية لتكنولوجيا المعلومات والاتصالات في البلدان الأربعة.</w:t>
      </w:r>
    </w:p>
    <w:p w14:paraId="347E41D6" w14:textId="253EC2B1" w:rsidR="008F773C" w:rsidRPr="008F773C" w:rsidRDefault="0072561A" w:rsidP="004B2F2E">
      <w:pPr>
        <w:pStyle w:val="Heading2"/>
        <w:rPr>
          <w:lang w:bidi="ar-SA"/>
        </w:rPr>
      </w:pPr>
      <w:r>
        <w:rPr>
          <w:lang w:bidi="ar-SA"/>
        </w:rPr>
        <w:t>1.2</w:t>
      </w:r>
      <w:r w:rsidR="008F773C" w:rsidRPr="008F773C">
        <w:rPr>
          <w:rtl/>
          <w:lang w:bidi="ar-SA"/>
        </w:rPr>
        <w:tab/>
      </w:r>
      <w:r w:rsidR="004B2F2E" w:rsidRPr="004B2F2E">
        <w:rPr>
          <w:rtl/>
          <w:lang w:bidi="ar-SA"/>
        </w:rPr>
        <w:t>مارس</w:t>
      </w:r>
      <w:r w:rsidR="004B2F2E" w:rsidRPr="004B2F2E">
        <w:rPr>
          <w:rtl/>
        </w:rPr>
        <w:t> </w:t>
      </w:r>
      <w:r w:rsidR="004B2F2E" w:rsidRPr="004B2F2E">
        <w:rPr>
          <w:lang w:val="en-US" w:bidi="ar-SA"/>
        </w:rPr>
        <w:t>2026</w:t>
      </w:r>
      <w:r w:rsidR="004B2F2E" w:rsidRPr="004B2F2E">
        <w:rPr>
          <w:rtl/>
          <w:lang w:bidi="ar-SA"/>
        </w:rPr>
        <w:t xml:space="preserve">: الأضرار التي تعرضت لها مراكز بيانات شركة خدمات أمازون ويب </w:t>
      </w:r>
      <w:r w:rsidR="004B2F2E" w:rsidRPr="004B2F2E">
        <w:rPr>
          <w:lang w:val="en-US" w:bidi="ar-SA"/>
        </w:rPr>
        <w:t>(Amazon Web Services)</w:t>
      </w:r>
      <w:r w:rsidR="004B2F2E" w:rsidRPr="004B2F2E">
        <w:rPr>
          <w:rtl/>
          <w:lang w:bidi="ar-SA"/>
        </w:rPr>
        <w:t xml:space="preserve"> في الإمارات العربية المتحدة والبحرين</w:t>
      </w:r>
    </w:p>
    <w:p w14:paraId="535527A7" w14:textId="6218FB5C" w:rsidR="004B2F2E" w:rsidRPr="00F62015" w:rsidRDefault="004B2F2E" w:rsidP="004B2F2E">
      <w:pPr>
        <w:rPr>
          <w:spacing w:val="-2"/>
          <w:rtl/>
        </w:rPr>
      </w:pPr>
      <w:r w:rsidRPr="00F62015">
        <w:rPr>
          <w:spacing w:val="-2"/>
          <w:rtl/>
        </w:rPr>
        <w:t>في </w:t>
      </w:r>
      <w:r w:rsidRPr="00F62015">
        <w:rPr>
          <w:spacing w:val="-2"/>
        </w:rPr>
        <w:t>1</w:t>
      </w:r>
      <w:r w:rsidRPr="00F62015">
        <w:rPr>
          <w:spacing w:val="-2"/>
          <w:rtl/>
        </w:rPr>
        <w:t> مارس </w:t>
      </w:r>
      <w:r w:rsidRPr="00F62015">
        <w:rPr>
          <w:spacing w:val="-2"/>
        </w:rPr>
        <w:t>2026</w:t>
      </w:r>
      <w:r w:rsidRPr="00F62015">
        <w:rPr>
          <w:spacing w:val="-2"/>
          <w:rtl/>
        </w:rPr>
        <w:t xml:space="preserve">، أبلغت شركة </w:t>
      </w:r>
      <w:r w:rsidRPr="00F62015">
        <w:rPr>
          <w:spacing w:val="-2"/>
        </w:rPr>
        <w:t>Amazon Web Services (AWS)</w:t>
      </w:r>
      <w:r w:rsidRPr="00F62015">
        <w:rPr>
          <w:spacing w:val="-2"/>
          <w:rtl/>
        </w:rPr>
        <w:t xml:space="preserve"> عن تدهور الخدمات في اثنين من أقاليمها</w:t>
      </w:r>
      <w:r w:rsidRPr="00F62015">
        <w:rPr>
          <w:rStyle w:val="FootnoteReference"/>
          <w:spacing w:val="-2"/>
        </w:rPr>
        <w:footnoteReference w:id="2"/>
      </w:r>
      <w:r w:rsidRPr="00F62015">
        <w:rPr>
          <w:spacing w:val="-2"/>
          <w:rtl/>
        </w:rPr>
        <w:t>، وهما</w:t>
      </w:r>
      <w:r>
        <w:rPr>
          <w:spacing w:val="-2"/>
          <w:rtl/>
        </w:rPr>
        <w:t> </w:t>
      </w:r>
      <w:r w:rsidRPr="006C551D">
        <w:rPr>
          <w:rFonts w:eastAsia="Times New Roman"/>
          <w:color w:val="0F141A"/>
          <w:spacing w:val="-2"/>
        </w:rPr>
        <w:t>ME</w:t>
      </w:r>
      <w:r w:rsidRPr="006C551D">
        <w:rPr>
          <w:rFonts w:eastAsia="Times New Roman"/>
          <w:color w:val="0F141A"/>
          <w:spacing w:val="-2"/>
        </w:rPr>
        <w:noBreakHyphen/>
        <w:t>CENTRAL-1</w:t>
      </w:r>
      <w:r w:rsidRPr="00F62015">
        <w:rPr>
          <w:spacing w:val="-2"/>
          <w:rtl/>
        </w:rPr>
        <w:t xml:space="preserve"> في الإمارات العربية المتحدة و</w:t>
      </w:r>
      <w:r w:rsidRPr="006C551D">
        <w:rPr>
          <w:rFonts w:eastAsia="Times New Roman"/>
          <w:color w:val="0F141A"/>
          <w:spacing w:val="-2"/>
        </w:rPr>
        <w:t>ME-SOUTH-1</w:t>
      </w:r>
      <w:r w:rsidRPr="00F62015">
        <w:rPr>
          <w:spacing w:val="-2"/>
          <w:rtl/>
        </w:rPr>
        <w:t xml:space="preserve"> في البحرين</w:t>
      </w:r>
      <w:r w:rsidRPr="00F62015">
        <w:rPr>
          <w:rStyle w:val="FootnoteReference"/>
          <w:spacing w:val="-2"/>
        </w:rPr>
        <w:footnoteReference w:id="3"/>
      </w:r>
      <w:r w:rsidRPr="00F62015">
        <w:rPr>
          <w:rStyle w:val="FootnoteReference"/>
          <w:spacing w:val="-2"/>
          <w:rtl/>
        </w:rPr>
        <w:t xml:space="preserve"> </w:t>
      </w:r>
      <w:r w:rsidRPr="00F62015">
        <w:rPr>
          <w:rStyle w:val="FootnoteReference"/>
          <w:spacing w:val="-2"/>
        </w:rPr>
        <w:footnoteReference w:id="4"/>
      </w:r>
      <w:r w:rsidRPr="00F62015">
        <w:rPr>
          <w:spacing w:val="-2"/>
          <w:rtl/>
        </w:rPr>
        <w:t>. وأشارت الإعلانات الأولية إلى أن مشاكل القدرة الكهربائية والتوصيلية تؤدي إلى تدهور الخدمات في منطقة توافر واحدة في كل إقليم. واستمرت التحديثات اللاحقة في</w:t>
      </w:r>
      <w:r w:rsidR="00A66249">
        <w:rPr>
          <w:rFonts w:hint="cs"/>
          <w:spacing w:val="-2"/>
          <w:rtl/>
        </w:rPr>
        <w:t> </w:t>
      </w:r>
      <w:r w:rsidRPr="00F62015">
        <w:rPr>
          <w:spacing w:val="-2"/>
        </w:rPr>
        <w:t>1</w:t>
      </w:r>
      <w:r w:rsidRPr="00F62015">
        <w:rPr>
          <w:spacing w:val="-2"/>
          <w:rtl/>
        </w:rPr>
        <w:t xml:space="preserve"> و</w:t>
      </w:r>
      <w:r w:rsidRPr="00F62015">
        <w:rPr>
          <w:spacing w:val="-2"/>
        </w:rPr>
        <w:t>2</w:t>
      </w:r>
      <w:r w:rsidRPr="00F62015">
        <w:rPr>
          <w:spacing w:val="-2"/>
          <w:rtl/>
        </w:rPr>
        <w:t> مارس في تسليط الضوء على تأثر خدمات شركة AWS بمشاكل القدرة الكهربائية والتوصيلية، مع الإشارة أيضاً إلى أن فرق</w:t>
      </w:r>
      <w:r w:rsidR="00A66249">
        <w:rPr>
          <w:rFonts w:hint="cs"/>
          <w:spacing w:val="-2"/>
          <w:rtl/>
        </w:rPr>
        <w:t> </w:t>
      </w:r>
      <w:r w:rsidRPr="00F62015">
        <w:rPr>
          <w:spacing w:val="-2"/>
          <w:rtl/>
        </w:rPr>
        <w:t>AWS كانت تعمل على استعادة الخدمة.</w:t>
      </w:r>
    </w:p>
    <w:p w14:paraId="77D5BCF4" w14:textId="77777777" w:rsidR="009958E2" w:rsidRPr="001C6160" w:rsidRDefault="009958E2" w:rsidP="009958E2">
      <w:pPr>
        <w:keepNext/>
        <w:keepLines/>
        <w:rPr>
          <w:rtl/>
        </w:rPr>
      </w:pPr>
      <w:r w:rsidRPr="001C6160">
        <w:rPr>
          <w:rtl/>
        </w:rPr>
        <w:lastRenderedPageBreak/>
        <w:t>وفي وقت لاحق، في الساعات الأولى من يوم</w:t>
      </w:r>
      <w:r>
        <w:rPr>
          <w:rtl/>
        </w:rPr>
        <w:t> </w:t>
      </w:r>
      <w:r>
        <w:t>3</w:t>
      </w:r>
      <w:r>
        <w:rPr>
          <w:rtl/>
        </w:rPr>
        <w:t> </w:t>
      </w:r>
      <w:r w:rsidRPr="001C6160">
        <w:rPr>
          <w:rtl/>
        </w:rPr>
        <w:t>مارس</w:t>
      </w:r>
      <w:r>
        <w:rPr>
          <w:rtl/>
        </w:rPr>
        <w:t> </w:t>
      </w:r>
      <w:r>
        <w:t>2026</w:t>
      </w:r>
      <w:r w:rsidRPr="001C6160">
        <w:rPr>
          <w:rtl/>
        </w:rPr>
        <w:t xml:space="preserve"> (بتوقيت الخليج القياسي)، ربطت شركة AWS تأثر الخدمة بالنزاع الدائر في الشرق الأوسط وأفادت بوضوح بأن كلا الإقليمين تعرض لهجمات بطائرات مسيّرة، وأشارت على العملاء "</w:t>
      </w:r>
      <w:r w:rsidRPr="00F16A0B">
        <w:rPr>
          <w:i/>
          <w:iCs/>
          <w:rtl/>
        </w:rPr>
        <w:t>بتطبيق</w:t>
      </w:r>
      <w:r w:rsidRPr="000A187C">
        <w:rPr>
          <w:i/>
          <w:iCs/>
          <w:rtl/>
        </w:rPr>
        <w:t xml:space="preserve"> خططهم للتعافي من الكوارث، </w:t>
      </w:r>
      <w:r w:rsidRPr="00F16A0B">
        <w:rPr>
          <w:i/>
          <w:iCs/>
          <w:rtl/>
        </w:rPr>
        <w:t xml:space="preserve">والاستعادة </w:t>
      </w:r>
      <w:r w:rsidRPr="000A187C">
        <w:rPr>
          <w:i/>
          <w:iCs/>
          <w:rtl/>
        </w:rPr>
        <w:t>من النسخ الاحتياطية عن بعد المخزَّنة في أقاليم أخرى، وتحديث تطبيقاتهم لتوجيه الحركة بعيداً عن المناطق المتضررة</w:t>
      </w:r>
      <w:r w:rsidRPr="001C6160">
        <w:rPr>
          <w:rtl/>
        </w:rPr>
        <w:t>"</w:t>
      </w:r>
      <w:bookmarkStart w:id="0" w:name="_Ref241173034"/>
      <w:r w:rsidRPr="00F16A0B">
        <w:rPr>
          <w:rStyle w:val="FootnoteReference"/>
        </w:rPr>
        <w:footnoteReference w:id="5"/>
      </w:r>
      <w:bookmarkEnd w:id="0"/>
      <w:r w:rsidRPr="00043165">
        <w:rPr>
          <w:rStyle w:val="FootnoteReference"/>
          <w:rtl/>
        </w:rPr>
        <w:t xml:space="preserve"> </w:t>
      </w:r>
      <w:bookmarkStart w:id="1" w:name="_Ref241173387"/>
      <w:r w:rsidRPr="00F16A0B">
        <w:rPr>
          <w:rStyle w:val="FootnoteReference"/>
        </w:rPr>
        <w:footnoteReference w:id="6"/>
      </w:r>
      <w:bookmarkEnd w:id="1"/>
      <w:r w:rsidRPr="001C6160">
        <w:rPr>
          <w:rtl/>
        </w:rPr>
        <w:t>.</w:t>
      </w:r>
    </w:p>
    <w:p w14:paraId="3DE5DA83" w14:textId="4FDDC4B0" w:rsidR="009958E2" w:rsidRPr="008E5DCF" w:rsidRDefault="009958E2" w:rsidP="009958E2">
      <w:pPr>
        <w:rPr>
          <w:spacing w:val="-4"/>
        </w:rPr>
      </w:pPr>
      <w:r w:rsidRPr="008E5DCF">
        <w:rPr>
          <w:spacing w:val="-4"/>
          <w:rtl/>
        </w:rPr>
        <w:t>ووفقاً للموقع الإلكتروني للسلامة التشغيلية لخدمة AWS</w:t>
      </w:r>
      <w:r w:rsidRPr="008E5DCF">
        <w:rPr>
          <w:rStyle w:val="FootnoteReference"/>
          <w:spacing w:val="-4"/>
        </w:rPr>
        <w:fldChar w:fldCharType="begin"/>
      </w:r>
      <w:r w:rsidRPr="008E5DCF">
        <w:rPr>
          <w:rStyle w:val="FootnoteReference"/>
          <w:spacing w:val="-4"/>
        </w:rPr>
        <w:instrText xml:space="preserve"> NOTEREF _Ref241173034 \h  \* MERGEFORMAT </w:instrText>
      </w:r>
      <w:r w:rsidRPr="008E5DCF">
        <w:rPr>
          <w:rStyle w:val="FootnoteReference"/>
          <w:spacing w:val="-4"/>
        </w:rPr>
      </w:r>
      <w:r w:rsidRPr="008E5DCF">
        <w:rPr>
          <w:rStyle w:val="FootnoteReference"/>
          <w:spacing w:val="-4"/>
        </w:rPr>
        <w:fldChar w:fldCharType="separate"/>
      </w:r>
      <w:r w:rsidRPr="008E5DCF">
        <w:rPr>
          <w:rStyle w:val="FootnoteReference"/>
          <w:spacing w:val="-4"/>
        </w:rPr>
        <w:t>5</w:t>
      </w:r>
      <w:r w:rsidRPr="008E5DCF">
        <w:rPr>
          <w:rStyle w:val="FootnoteReference"/>
          <w:spacing w:val="-4"/>
        </w:rPr>
        <w:fldChar w:fldCharType="end"/>
      </w:r>
      <w:r w:rsidRPr="008E5DCF">
        <w:rPr>
          <w:rStyle w:val="FootnoteReference"/>
          <w:spacing w:val="-4"/>
          <w:rtl/>
        </w:rPr>
        <w:t xml:space="preserve"> </w:t>
      </w:r>
      <w:r w:rsidRPr="008E5DCF">
        <w:rPr>
          <w:rStyle w:val="FootnoteReference"/>
          <w:spacing w:val="-4"/>
        </w:rPr>
        <w:fldChar w:fldCharType="begin"/>
      </w:r>
      <w:r w:rsidRPr="008E5DCF">
        <w:rPr>
          <w:rStyle w:val="FootnoteReference"/>
          <w:spacing w:val="-4"/>
        </w:rPr>
        <w:instrText xml:space="preserve"> NOTEREF _Ref241173387 \h  \* MERGEFORMAT </w:instrText>
      </w:r>
      <w:r w:rsidRPr="008E5DCF">
        <w:rPr>
          <w:rStyle w:val="FootnoteReference"/>
          <w:spacing w:val="-4"/>
        </w:rPr>
      </w:r>
      <w:r w:rsidRPr="008E5DCF">
        <w:rPr>
          <w:rStyle w:val="FootnoteReference"/>
          <w:spacing w:val="-4"/>
        </w:rPr>
        <w:fldChar w:fldCharType="separate"/>
      </w:r>
      <w:r w:rsidRPr="008E5DCF">
        <w:rPr>
          <w:rStyle w:val="FootnoteReference"/>
          <w:spacing w:val="-4"/>
        </w:rPr>
        <w:t>6</w:t>
      </w:r>
      <w:r w:rsidRPr="008E5DCF">
        <w:rPr>
          <w:rStyle w:val="FootnoteReference"/>
          <w:spacing w:val="-4"/>
        </w:rPr>
        <w:fldChar w:fldCharType="end"/>
      </w:r>
      <w:r w:rsidRPr="008E5DCF">
        <w:rPr>
          <w:spacing w:val="-4"/>
          <w:rtl/>
        </w:rPr>
        <w:t xml:space="preserve">، أفادت شركة AWS في البداية بأن الأضرار اقتصرت على منطقتين من مناطق التوافر الثلاث في إقليم الإمارات العربية المتحدة </w:t>
      </w:r>
      <w:r w:rsidRPr="008E5DCF">
        <w:rPr>
          <w:spacing w:val="-4"/>
        </w:rPr>
        <w:t>(ME-CENTRAL-1)</w:t>
      </w:r>
      <w:r w:rsidRPr="008E5DCF">
        <w:rPr>
          <w:spacing w:val="-4"/>
          <w:rtl/>
        </w:rPr>
        <w:t xml:space="preserve">، وواحدة من مناطق التوافر الثلاث في إقليم البحرين </w:t>
      </w:r>
      <w:r w:rsidRPr="008E5DCF">
        <w:rPr>
          <w:spacing w:val="-4"/>
        </w:rPr>
        <w:t>(ME-SOUTH-1)</w:t>
      </w:r>
      <w:r w:rsidRPr="008E5DCF">
        <w:rPr>
          <w:spacing w:val="-4"/>
          <w:rtl/>
        </w:rPr>
        <w:t>. وفي وقت لاحق، في </w:t>
      </w:r>
      <w:r w:rsidRPr="008E5DCF">
        <w:rPr>
          <w:spacing w:val="-4"/>
        </w:rPr>
        <w:t>30</w:t>
      </w:r>
      <w:r w:rsidRPr="008E5DCF">
        <w:rPr>
          <w:spacing w:val="-4"/>
          <w:rtl/>
        </w:rPr>
        <w:t> أبريل </w:t>
      </w:r>
      <w:r w:rsidRPr="008E5DCF">
        <w:rPr>
          <w:spacing w:val="-4"/>
        </w:rPr>
        <w:t>2026</w:t>
      </w:r>
      <w:r w:rsidRPr="008E5DCF">
        <w:rPr>
          <w:spacing w:val="-4"/>
          <w:rtl/>
        </w:rPr>
        <w:t>، أشار تحديث للمستجدات من شركة AWS إلى أن جميع مناطق التوافر في</w:t>
      </w:r>
      <w:r w:rsidR="00B15EFC">
        <w:rPr>
          <w:rFonts w:hint="cs"/>
          <w:spacing w:val="-4"/>
          <w:rtl/>
        </w:rPr>
        <w:t> </w:t>
      </w:r>
      <w:r w:rsidRPr="008E5DCF">
        <w:rPr>
          <w:spacing w:val="-4"/>
          <w:rtl/>
        </w:rPr>
        <w:t xml:space="preserve">كلا إقليمي AWS قد تأثرت بالوضع في الشرق الأوسط وأن تعافي كلا إقليمي </w:t>
      </w:r>
      <w:r w:rsidRPr="008E5DCF">
        <w:rPr>
          <w:spacing w:val="-4"/>
        </w:rPr>
        <w:t>ME</w:t>
      </w:r>
      <w:r w:rsidRPr="008E5DCF">
        <w:rPr>
          <w:spacing w:val="-4"/>
        </w:rPr>
        <w:noBreakHyphen/>
        <w:t>CENTRAL</w:t>
      </w:r>
      <w:r w:rsidRPr="008E5DCF">
        <w:rPr>
          <w:spacing w:val="-4"/>
        </w:rPr>
        <w:noBreakHyphen/>
        <w:t>1</w:t>
      </w:r>
      <w:r w:rsidRPr="008E5DCF">
        <w:rPr>
          <w:spacing w:val="-4"/>
          <w:rtl/>
        </w:rPr>
        <w:t xml:space="preserve"> و</w:t>
      </w:r>
      <w:r w:rsidRPr="008E5DCF">
        <w:rPr>
          <w:spacing w:val="-4"/>
        </w:rPr>
        <w:t>ME</w:t>
      </w:r>
      <w:r w:rsidRPr="008E5DCF">
        <w:rPr>
          <w:spacing w:val="-4"/>
        </w:rPr>
        <w:noBreakHyphen/>
        <w:t>SOUTH</w:t>
      </w:r>
      <w:r w:rsidRPr="008E5DCF">
        <w:rPr>
          <w:spacing w:val="-4"/>
        </w:rPr>
        <w:noBreakHyphen/>
        <w:t>1</w:t>
      </w:r>
      <w:r w:rsidRPr="008E5DCF">
        <w:rPr>
          <w:spacing w:val="-4"/>
          <w:rtl/>
        </w:rPr>
        <w:t xml:space="preserve"> سيستغرق عدة أشهر. وفي </w:t>
      </w:r>
      <w:r w:rsidRPr="008E5DCF">
        <w:rPr>
          <w:spacing w:val="-4"/>
        </w:rPr>
        <w:t>15</w:t>
      </w:r>
      <w:r w:rsidRPr="008E5DCF">
        <w:rPr>
          <w:spacing w:val="-4"/>
          <w:rtl/>
        </w:rPr>
        <w:t> سبتمبر </w:t>
      </w:r>
      <w:r w:rsidRPr="008E5DCF">
        <w:rPr>
          <w:spacing w:val="-4"/>
        </w:rPr>
        <w:t>2026</w:t>
      </w:r>
      <w:r w:rsidRPr="008E5DCF">
        <w:rPr>
          <w:spacing w:val="-4"/>
          <w:rtl/>
        </w:rPr>
        <w:t xml:space="preserve">، أفادت شركة AWS بتعذر استعادة البيانات المستضافة حصرياً في إقليم </w:t>
      </w:r>
      <w:r w:rsidRPr="008E5DCF">
        <w:rPr>
          <w:spacing w:val="-4"/>
        </w:rPr>
        <w:t>ME-SOUTH-1</w:t>
      </w:r>
      <w:r w:rsidRPr="008E5DCF">
        <w:rPr>
          <w:spacing w:val="-4"/>
          <w:rtl/>
        </w:rPr>
        <w:t xml:space="preserve"> (البحرين)، وأن الأمر نفسه ينطبق على واحدة من مناطق التوافر الثلاث في</w:t>
      </w:r>
      <w:r>
        <w:rPr>
          <w:spacing w:val="-4"/>
          <w:rtl/>
        </w:rPr>
        <w:t> </w:t>
      </w:r>
      <w:r w:rsidRPr="008E5DCF">
        <w:rPr>
          <w:spacing w:val="-4"/>
          <w:rtl/>
        </w:rPr>
        <w:t xml:space="preserve">إقليم </w:t>
      </w:r>
      <w:r w:rsidRPr="008E5DCF">
        <w:rPr>
          <w:spacing w:val="-4"/>
        </w:rPr>
        <w:t>ME</w:t>
      </w:r>
      <w:r>
        <w:rPr>
          <w:spacing w:val="-4"/>
        </w:rPr>
        <w:noBreakHyphen/>
      </w:r>
      <w:r w:rsidRPr="008E5DCF">
        <w:rPr>
          <w:spacing w:val="-4"/>
        </w:rPr>
        <w:t>CENTRAL-1</w:t>
      </w:r>
      <w:r w:rsidRPr="008E5DCF">
        <w:rPr>
          <w:spacing w:val="-4"/>
          <w:rtl/>
        </w:rPr>
        <w:t xml:space="preserve"> (الإمارات العربية المتحدة). وكررت شركة AWS المشورة التي قدمتها للعملاء بإعادة إنشاء العمليات في</w:t>
      </w:r>
      <w:r>
        <w:rPr>
          <w:spacing w:val="-4"/>
          <w:rtl/>
        </w:rPr>
        <w:t> </w:t>
      </w:r>
      <w:r w:rsidRPr="008E5DCF">
        <w:rPr>
          <w:spacing w:val="-4"/>
          <w:rtl/>
        </w:rPr>
        <w:t>مناطق بديلة.</w:t>
      </w:r>
    </w:p>
    <w:p w14:paraId="6566244D" w14:textId="77777777" w:rsidR="009958E2" w:rsidRPr="007A2F03" w:rsidRDefault="009958E2" w:rsidP="005F6116">
      <w:pPr>
        <w:rPr>
          <w:spacing w:val="-2"/>
          <w:rtl/>
        </w:rPr>
      </w:pPr>
      <w:bookmarkStart w:id="2" w:name="_Ref242118353"/>
      <w:bookmarkStart w:id="3" w:name="_Ref242118362"/>
      <w:bookmarkEnd w:id="2"/>
      <w:bookmarkEnd w:id="3"/>
      <w:r w:rsidRPr="007A2F03">
        <w:rPr>
          <w:spacing w:val="-2"/>
          <w:rtl/>
        </w:rPr>
        <w:t xml:space="preserve">وتظهر البيانات المستمدة من رادار Cloudflare انخفاضاً سريعاً للحركة في كلا الإقليمين، مما قد يبين عدم توافر الخدمة وكذلك انتقال أعباء عمل العملاء إلى أقاليم أخرى. وعلى النحو المبين في </w:t>
      </w:r>
      <w:r w:rsidRPr="007A2F03">
        <w:rPr>
          <w:spacing w:val="-2"/>
          <w:rtl/>
          <w:lang w:bidi="ar-SA"/>
        </w:rPr>
        <w:fldChar w:fldCharType="begin"/>
      </w:r>
      <w:r w:rsidRPr="007A2F03">
        <w:rPr>
          <w:spacing w:val="-2"/>
          <w:rtl/>
        </w:rPr>
        <w:instrText xml:space="preserve"> REF _Ref240550321 \h  \* MERGEFORMAT </w:instrText>
      </w:r>
      <w:r w:rsidRPr="007A2F03">
        <w:rPr>
          <w:spacing w:val="-2"/>
          <w:rtl/>
          <w:lang w:bidi="ar-SA"/>
        </w:rPr>
      </w:r>
      <w:r w:rsidRPr="007A2F03">
        <w:rPr>
          <w:spacing w:val="-2"/>
          <w:rtl/>
          <w:lang w:bidi="ar-SA"/>
        </w:rPr>
        <w:fldChar w:fldCharType="separate"/>
      </w:r>
      <w:r w:rsidRPr="00870955">
        <w:rPr>
          <w:spacing w:val="-2"/>
          <w:rtl/>
        </w:rPr>
        <w:t>الشكل </w:t>
      </w:r>
      <w:r w:rsidRPr="00870955">
        <w:rPr>
          <w:spacing w:val="-2"/>
        </w:rPr>
        <w:t>1</w:t>
      </w:r>
      <w:r w:rsidRPr="007A2F03">
        <w:rPr>
          <w:spacing w:val="-2"/>
          <w:rtl/>
        </w:rPr>
        <w:fldChar w:fldCharType="end"/>
      </w:r>
      <w:r w:rsidRPr="007A2F03">
        <w:rPr>
          <w:spacing w:val="-2"/>
          <w:rtl/>
        </w:rPr>
        <w:t xml:space="preserve">، فإن طلبات بروتوكول HTTP إلى عناوين بروتوكول IP التي يقدمها إقليما </w:t>
      </w:r>
      <w:r w:rsidRPr="007A2F03">
        <w:rPr>
          <w:spacing w:val="-2"/>
        </w:rPr>
        <w:t>ME-CENTRAL-1</w:t>
      </w:r>
      <w:r w:rsidRPr="00A52F58">
        <w:rPr>
          <w:spacing w:val="-2"/>
          <w:sz w:val="2"/>
          <w:szCs w:val="2"/>
          <w:rtl/>
        </w:rPr>
        <w:t xml:space="preserve"> </w:t>
      </w:r>
      <w:r w:rsidRPr="007A2F03">
        <w:rPr>
          <w:rStyle w:val="FootnoteReference"/>
        </w:rPr>
        <w:footnoteReference w:id="7"/>
      </w:r>
      <w:r w:rsidRPr="007A2F03">
        <w:rPr>
          <w:spacing w:val="-2"/>
          <w:rtl/>
        </w:rPr>
        <w:t xml:space="preserve"> و</w:t>
      </w:r>
      <w:r w:rsidRPr="007A2F03">
        <w:rPr>
          <w:spacing w:val="-2"/>
        </w:rPr>
        <w:t>ME-SOUTH-1</w:t>
      </w:r>
      <w:r w:rsidRPr="00A52F58">
        <w:rPr>
          <w:spacing w:val="-2"/>
          <w:sz w:val="2"/>
          <w:szCs w:val="2"/>
          <w:rtl/>
        </w:rPr>
        <w:t xml:space="preserve"> </w:t>
      </w:r>
      <w:r w:rsidRPr="007A2F03">
        <w:rPr>
          <w:rStyle w:val="FootnoteReference"/>
        </w:rPr>
        <w:footnoteReference w:id="8"/>
      </w:r>
      <w:r w:rsidRPr="007A2F03">
        <w:rPr>
          <w:spacing w:val="-2"/>
          <w:rtl/>
        </w:rPr>
        <w:t xml:space="preserve"> شهدت انخفاضاً حاداً منذ </w:t>
      </w:r>
      <w:r w:rsidRPr="007A2F03">
        <w:rPr>
          <w:spacing w:val="-2"/>
        </w:rPr>
        <w:t>2</w:t>
      </w:r>
      <w:r w:rsidRPr="007A2F03">
        <w:rPr>
          <w:spacing w:val="-2"/>
          <w:rtl/>
        </w:rPr>
        <w:t> مارس </w:t>
      </w:r>
      <w:r w:rsidRPr="007A2F03">
        <w:rPr>
          <w:spacing w:val="-2"/>
        </w:rPr>
        <w:t>2026</w:t>
      </w:r>
      <w:r w:rsidRPr="007A2F03">
        <w:rPr>
          <w:spacing w:val="-2"/>
          <w:rtl/>
        </w:rPr>
        <w:t>.</w:t>
      </w:r>
    </w:p>
    <w:tbl>
      <w:tblPr>
        <w:bidiVisual/>
        <w:tblW w:w="0" w:type="auto"/>
        <w:tblLook w:val="04A0" w:firstRow="1" w:lastRow="0" w:firstColumn="1" w:lastColumn="0" w:noHBand="0" w:noVBand="1"/>
      </w:tblPr>
      <w:tblGrid>
        <w:gridCol w:w="4751"/>
        <w:gridCol w:w="4751"/>
      </w:tblGrid>
      <w:tr w:rsidR="009958E2" w:rsidRPr="001C6160" w14:paraId="08CA25D3" w14:textId="77777777" w:rsidTr="003073ED">
        <w:tc>
          <w:tcPr>
            <w:tcW w:w="4535" w:type="dxa"/>
          </w:tcPr>
          <w:p w14:paraId="1A8B8933" w14:textId="4D8BC621" w:rsidR="009958E2" w:rsidRPr="001C6160" w:rsidRDefault="003073ED" w:rsidP="009958E2">
            <w:bookmarkStart w:id="4" w:name="Figure1"/>
            <w:r w:rsidRPr="003073ED">
              <w:rPr>
                <w:noProof/>
                <w:rtl/>
              </w:rPr>
              <w:drawing>
                <wp:inline distT="0" distB="0" distL="0" distR="0" wp14:anchorId="0C5838AC" wp14:editId="46B9D127">
                  <wp:extent cx="2880000" cy="221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000" cy="2210400"/>
                          </a:xfrm>
                          <a:prstGeom prst="rect">
                            <a:avLst/>
                          </a:prstGeom>
                          <a:noFill/>
                          <a:ln>
                            <a:noFill/>
                          </a:ln>
                        </pic:spPr>
                      </pic:pic>
                    </a:graphicData>
                  </a:graphic>
                </wp:inline>
              </w:drawing>
            </w:r>
            <w:r w:rsidR="009958E2">
              <w:rPr>
                <w:rtl/>
              </w:rPr>
              <w:fldChar w:fldCharType="begin"/>
            </w:r>
            <w:r w:rsidR="009958E2">
              <w:rPr>
                <w:rtl/>
              </w:rPr>
              <w:instrText xml:space="preserve"> </w:instrText>
            </w:r>
            <w:r w:rsidR="009958E2">
              <w:instrText>REF</w:instrText>
            </w:r>
            <w:r w:rsidR="009958E2">
              <w:rPr>
                <w:rtl/>
              </w:rPr>
              <w:instrText xml:space="preserve"> </w:instrText>
            </w:r>
            <w:r w:rsidR="009958E2">
              <w:instrText>OLE_LINK3 \h</w:instrText>
            </w:r>
            <w:r w:rsidR="009958E2">
              <w:rPr>
                <w:rtl/>
              </w:rPr>
              <w:instrText xml:space="preserve"> </w:instrText>
            </w:r>
            <w:r w:rsidR="009958E2">
              <w:rPr>
                <w:rtl/>
              </w:rPr>
            </w:r>
            <w:r w:rsidR="009958E2">
              <w:rPr>
                <w:rtl/>
              </w:rPr>
              <w:fldChar w:fldCharType="end"/>
            </w:r>
            <w:r w:rsidR="009958E2">
              <w:rPr>
                <w:rtl/>
              </w:rPr>
              <w:fldChar w:fldCharType="begin"/>
            </w:r>
            <w:r w:rsidR="009958E2">
              <w:rPr>
                <w:rtl/>
              </w:rPr>
              <w:instrText xml:space="preserve"> </w:instrText>
            </w:r>
            <w:r w:rsidR="009958E2">
              <w:instrText>REF</w:instrText>
            </w:r>
            <w:r w:rsidR="009958E2">
              <w:rPr>
                <w:rtl/>
              </w:rPr>
              <w:instrText xml:space="preserve"> </w:instrText>
            </w:r>
            <w:r w:rsidR="009958E2">
              <w:instrText>OLE_LINK3 \h</w:instrText>
            </w:r>
            <w:r w:rsidR="009958E2">
              <w:rPr>
                <w:rtl/>
              </w:rPr>
              <w:instrText xml:space="preserve"> </w:instrText>
            </w:r>
            <w:r w:rsidR="009958E2">
              <w:rPr>
                <w:rtl/>
              </w:rPr>
            </w:r>
            <w:r w:rsidR="009958E2">
              <w:rPr>
                <w:rtl/>
              </w:rPr>
              <w:fldChar w:fldCharType="end"/>
            </w:r>
            <w:r w:rsidR="009958E2">
              <w:rPr>
                <w:rtl/>
              </w:rPr>
              <w:fldChar w:fldCharType="begin"/>
            </w:r>
            <w:r w:rsidR="009958E2">
              <w:rPr>
                <w:rtl/>
              </w:rPr>
              <w:instrText xml:space="preserve"> </w:instrText>
            </w:r>
            <w:r w:rsidR="009958E2">
              <w:instrText>REF</w:instrText>
            </w:r>
            <w:r w:rsidR="009958E2">
              <w:rPr>
                <w:rtl/>
              </w:rPr>
              <w:instrText xml:space="preserve"> </w:instrText>
            </w:r>
            <w:r w:rsidR="009958E2">
              <w:instrText>OLE_LINK3 \p \h</w:instrText>
            </w:r>
            <w:r w:rsidR="009958E2">
              <w:rPr>
                <w:rtl/>
              </w:rPr>
              <w:instrText xml:space="preserve"> </w:instrText>
            </w:r>
            <w:r w:rsidR="009958E2">
              <w:rPr>
                <w:rtl/>
              </w:rPr>
            </w:r>
            <w:r w:rsidR="009958E2">
              <w:rPr>
                <w:rtl/>
              </w:rPr>
              <w:fldChar w:fldCharType="end"/>
            </w:r>
            <w:r w:rsidR="009958E2">
              <w:rPr>
                <w:rtl/>
              </w:rPr>
              <w:fldChar w:fldCharType="begin"/>
            </w:r>
            <w:r w:rsidR="009958E2">
              <w:rPr>
                <w:rtl/>
              </w:rPr>
              <w:instrText xml:space="preserve"> </w:instrText>
            </w:r>
            <w:r w:rsidR="009958E2">
              <w:instrText>REF</w:instrText>
            </w:r>
            <w:r w:rsidR="009958E2">
              <w:rPr>
                <w:rtl/>
              </w:rPr>
              <w:instrText xml:space="preserve"> </w:instrText>
            </w:r>
            <w:r w:rsidR="009958E2">
              <w:instrText>OLE_LINK3 \p \h</w:instrText>
            </w:r>
            <w:r w:rsidR="009958E2">
              <w:rPr>
                <w:rtl/>
              </w:rPr>
              <w:instrText xml:space="preserve"> </w:instrText>
            </w:r>
            <w:r w:rsidR="009958E2">
              <w:rPr>
                <w:rtl/>
              </w:rPr>
            </w:r>
            <w:r w:rsidR="009958E2">
              <w:rPr>
                <w:rtl/>
              </w:rPr>
              <w:fldChar w:fldCharType="end"/>
            </w:r>
          </w:p>
        </w:tc>
        <w:tc>
          <w:tcPr>
            <w:tcW w:w="4536" w:type="dxa"/>
          </w:tcPr>
          <w:p w14:paraId="761B1A3A" w14:textId="4E19AB51" w:rsidR="009958E2" w:rsidRPr="001C6160" w:rsidRDefault="003073ED" w:rsidP="009958E2">
            <w:r w:rsidRPr="003073ED">
              <w:rPr>
                <w:noProof/>
                <w:rtl/>
              </w:rPr>
              <w:drawing>
                <wp:inline distT="0" distB="0" distL="0" distR="0" wp14:anchorId="05706C21" wp14:editId="0E2783DC">
                  <wp:extent cx="2880000" cy="221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000" cy="2217600"/>
                          </a:xfrm>
                          <a:prstGeom prst="rect">
                            <a:avLst/>
                          </a:prstGeom>
                          <a:noFill/>
                          <a:ln>
                            <a:noFill/>
                          </a:ln>
                        </pic:spPr>
                      </pic:pic>
                    </a:graphicData>
                  </a:graphic>
                </wp:inline>
              </w:drawing>
            </w:r>
          </w:p>
        </w:tc>
      </w:tr>
    </w:tbl>
    <w:bookmarkEnd w:id="4"/>
    <w:p w14:paraId="4E19C1C7" w14:textId="77777777" w:rsidR="009958E2" w:rsidRPr="00B8703C" w:rsidRDefault="009958E2" w:rsidP="009958E2">
      <w:pPr>
        <w:pStyle w:val="Caption"/>
        <w:rPr>
          <w:spacing w:val="-4"/>
          <w:lang w:bidi="ar-EG"/>
        </w:rPr>
      </w:pPr>
      <w:r w:rsidRPr="00B8703C">
        <w:rPr>
          <w:spacing w:val="-4"/>
          <w:rtl/>
        </w:rPr>
        <w:t>الشكل </w:t>
      </w:r>
      <w:r w:rsidRPr="00B8703C">
        <w:rPr>
          <w:spacing w:val="-4"/>
          <w:lang w:bidi="ar-SY"/>
        </w:rPr>
        <w:fldChar w:fldCharType="begin"/>
      </w:r>
      <w:r w:rsidRPr="00B8703C">
        <w:rPr>
          <w:spacing w:val="-4"/>
        </w:rPr>
        <w:instrText>SEQ Figure \* ARABIC</w:instrText>
      </w:r>
      <w:r w:rsidRPr="00B8703C">
        <w:rPr>
          <w:spacing w:val="-4"/>
          <w:lang w:bidi="ar-SY"/>
        </w:rPr>
        <w:fldChar w:fldCharType="separate"/>
      </w:r>
      <w:r>
        <w:rPr>
          <w:noProof/>
          <w:spacing w:val="-4"/>
          <w:lang w:bidi="ar-SY"/>
        </w:rPr>
        <w:t>1</w:t>
      </w:r>
      <w:r w:rsidRPr="00B8703C">
        <w:rPr>
          <w:spacing w:val="-4"/>
          <w:lang w:bidi="ar-EG"/>
        </w:rPr>
        <w:fldChar w:fldCharType="end"/>
      </w:r>
      <w:r w:rsidRPr="00B8703C">
        <w:rPr>
          <w:spacing w:val="-4"/>
          <w:rtl/>
        </w:rPr>
        <w:t xml:space="preserve">: حجم طلبات بروتوكول HTTP في إقليمي </w:t>
      </w:r>
      <w:r w:rsidRPr="00B8703C">
        <w:rPr>
          <w:spacing w:val="-4"/>
          <w:lang w:val="en-GB"/>
        </w:rPr>
        <w:t>ME-CENTRAL-1</w:t>
      </w:r>
      <w:r w:rsidRPr="00B8703C">
        <w:rPr>
          <w:spacing w:val="-4"/>
          <w:rtl/>
        </w:rPr>
        <w:t xml:space="preserve"> (الإمارات العربية المتحدة) و</w:t>
      </w:r>
      <w:r w:rsidRPr="00B8703C">
        <w:rPr>
          <w:spacing w:val="-4"/>
          <w:lang w:val="en-GB"/>
        </w:rPr>
        <w:t>ME-SOUTH-1</w:t>
      </w:r>
      <w:r w:rsidRPr="00B8703C">
        <w:rPr>
          <w:spacing w:val="-4"/>
          <w:rtl/>
        </w:rPr>
        <w:t xml:space="preserve"> (البحرين) التابعين لشركة AWS. المصدر: رادار </w:t>
      </w:r>
      <w:r w:rsidRPr="00B8703C">
        <w:rPr>
          <w:spacing w:val="-4"/>
          <w:lang w:bidi="ar-EG"/>
        </w:rPr>
        <w:t>Cloudflare</w:t>
      </w:r>
      <w:r w:rsidRPr="00702BE7">
        <w:rPr>
          <w:spacing w:val="-4"/>
          <w:sz w:val="2"/>
          <w:szCs w:val="2"/>
          <w:vertAlign w:val="superscript"/>
          <w:rtl/>
        </w:rPr>
        <w:t xml:space="preserve"> </w:t>
      </w:r>
      <w:r w:rsidRPr="00B8703C">
        <w:rPr>
          <w:spacing w:val="-4"/>
          <w:vertAlign w:val="superscript"/>
          <w:lang w:bidi="ar-SY"/>
        </w:rPr>
        <w:fldChar w:fldCharType="begin"/>
      </w:r>
      <w:r w:rsidRPr="00B8703C">
        <w:rPr>
          <w:spacing w:val="-4"/>
          <w:vertAlign w:val="superscript"/>
        </w:rPr>
        <w:instrText xml:space="preserve"> NOTEREF _Ref242118353 \h  \* MERGEFORMAT </w:instrText>
      </w:r>
      <w:r w:rsidRPr="00B8703C">
        <w:rPr>
          <w:spacing w:val="-4"/>
          <w:vertAlign w:val="superscript"/>
          <w:lang w:bidi="ar-SY"/>
        </w:rPr>
      </w:r>
      <w:r w:rsidRPr="00B8703C">
        <w:rPr>
          <w:spacing w:val="-4"/>
          <w:vertAlign w:val="superscript"/>
          <w:lang w:bidi="ar-SY"/>
        </w:rPr>
        <w:fldChar w:fldCharType="separate"/>
      </w:r>
      <w:r>
        <w:rPr>
          <w:spacing w:val="-4"/>
          <w:vertAlign w:val="superscript"/>
        </w:rPr>
        <w:t>7</w:t>
      </w:r>
      <w:r w:rsidRPr="00B8703C">
        <w:rPr>
          <w:spacing w:val="-4"/>
          <w:lang w:bidi="ar-EG"/>
        </w:rPr>
        <w:fldChar w:fldCharType="end"/>
      </w:r>
      <w:r w:rsidRPr="00B8703C">
        <w:rPr>
          <w:spacing w:val="-4"/>
          <w:vertAlign w:val="superscript"/>
          <w:rtl/>
        </w:rPr>
        <w:t xml:space="preserve"> </w:t>
      </w:r>
      <w:r w:rsidRPr="00B8703C">
        <w:rPr>
          <w:spacing w:val="-4"/>
          <w:vertAlign w:val="superscript"/>
          <w:lang w:bidi="ar-SY"/>
        </w:rPr>
        <w:fldChar w:fldCharType="begin"/>
      </w:r>
      <w:r w:rsidRPr="00B8703C">
        <w:rPr>
          <w:spacing w:val="-4"/>
          <w:vertAlign w:val="superscript"/>
        </w:rPr>
        <w:instrText xml:space="preserve"> NOTEREF _Ref242118362 \h  \* MERGEFORMAT </w:instrText>
      </w:r>
      <w:r w:rsidRPr="00B8703C">
        <w:rPr>
          <w:spacing w:val="-4"/>
          <w:vertAlign w:val="superscript"/>
          <w:lang w:bidi="ar-SY"/>
        </w:rPr>
      </w:r>
      <w:r w:rsidRPr="00B8703C">
        <w:rPr>
          <w:spacing w:val="-4"/>
          <w:vertAlign w:val="superscript"/>
          <w:lang w:bidi="ar-SY"/>
        </w:rPr>
        <w:fldChar w:fldCharType="separate"/>
      </w:r>
      <w:r>
        <w:rPr>
          <w:spacing w:val="-4"/>
          <w:vertAlign w:val="superscript"/>
        </w:rPr>
        <w:t>8</w:t>
      </w:r>
      <w:r w:rsidRPr="00B8703C">
        <w:rPr>
          <w:spacing w:val="-4"/>
          <w:lang w:bidi="ar-EG"/>
        </w:rPr>
        <w:fldChar w:fldCharType="end"/>
      </w:r>
      <w:r w:rsidRPr="00B8703C">
        <w:rPr>
          <w:spacing w:val="-4"/>
          <w:rtl/>
        </w:rPr>
        <w:t>.</w:t>
      </w:r>
    </w:p>
    <w:p w14:paraId="056525EB" w14:textId="7847331D" w:rsidR="008F773C" w:rsidRPr="008F773C" w:rsidRDefault="0072561A" w:rsidP="00A93698">
      <w:pPr>
        <w:pStyle w:val="Heading2"/>
        <w:rPr>
          <w:lang w:bidi="ar-SA"/>
        </w:rPr>
      </w:pPr>
      <w:r>
        <w:rPr>
          <w:lang w:bidi="ar-SA"/>
        </w:rPr>
        <w:lastRenderedPageBreak/>
        <w:t>2.2</w:t>
      </w:r>
      <w:r w:rsidR="008F773C" w:rsidRPr="008F773C">
        <w:rPr>
          <w:rtl/>
          <w:lang w:bidi="ar-SA"/>
        </w:rPr>
        <w:tab/>
      </w:r>
      <w:r w:rsidR="00A93698" w:rsidRPr="00A93698">
        <w:rPr>
          <w:rtl/>
          <w:lang w:bidi="ar-SA"/>
        </w:rPr>
        <w:t>أهمية مراكز بيانات AWS في الإمارات العربية المتحدة والبحرين لخدمات تكنولوجيا المعلومات والاتصالات العامة والخاصة</w:t>
      </w:r>
    </w:p>
    <w:p w14:paraId="1F0E044E" w14:textId="3D7943F6" w:rsidR="00A93698" w:rsidRPr="00AA7CCA" w:rsidRDefault="00A93698" w:rsidP="00A93698">
      <w:pPr>
        <w:rPr>
          <w:spacing w:val="-2"/>
          <w:rtl/>
        </w:rPr>
      </w:pPr>
      <w:r w:rsidRPr="00AA7CCA">
        <w:rPr>
          <w:spacing w:val="-2"/>
          <w:rtl/>
        </w:rPr>
        <w:t xml:space="preserve">يمثل إقليما شركة AWS في البحرين والإمارات العربية المتحدة بنية تحتية حيوية لتكنولوجيا المعلومات والاتصالات في كلا البلدين وفي المنطقة ككل. فإقليم </w:t>
      </w:r>
      <w:r w:rsidRPr="00AA7CCA">
        <w:rPr>
          <w:spacing w:val="-2"/>
        </w:rPr>
        <w:t>ME-CENTRAL-1</w:t>
      </w:r>
      <w:r w:rsidRPr="00AA7CCA">
        <w:rPr>
          <w:spacing w:val="-2"/>
          <w:rtl/>
        </w:rPr>
        <w:t xml:space="preserve"> في الإمارات العربية المتحدة، الذي أُنشئ عام </w:t>
      </w:r>
      <w:r w:rsidRPr="00AA7CCA">
        <w:rPr>
          <w:spacing w:val="-2"/>
        </w:rPr>
        <w:t>2022</w:t>
      </w:r>
      <w:r w:rsidRPr="00AA7CCA">
        <w:rPr>
          <w:spacing w:val="-2"/>
          <w:sz w:val="2"/>
          <w:szCs w:val="2"/>
          <w:rtl/>
        </w:rPr>
        <w:t> </w:t>
      </w:r>
      <w:r w:rsidRPr="00AA7CCA">
        <w:rPr>
          <w:rStyle w:val="FootnoteReference"/>
          <w:spacing w:val="-2"/>
        </w:rPr>
        <w:footnoteReference w:id="9"/>
      </w:r>
      <w:r w:rsidRPr="00AA7CCA">
        <w:rPr>
          <w:spacing w:val="-2"/>
          <w:rtl/>
        </w:rPr>
        <w:t xml:space="preserve">، وإقليم </w:t>
      </w:r>
      <w:r w:rsidRPr="00AA7CCA">
        <w:rPr>
          <w:spacing w:val="-2"/>
        </w:rPr>
        <w:t>ME</w:t>
      </w:r>
      <w:r w:rsidR="00AA7CCA" w:rsidRPr="00AA7CCA">
        <w:rPr>
          <w:spacing w:val="-2"/>
        </w:rPr>
        <w:noBreakHyphen/>
      </w:r>
      <w:r w:rsidRPr="00AA7CCA">
        <w:rPr>
          <w:spacing w:val="-2"/>
        </w:rPr>
        <w:t>SOUTH</w:t>
      </w:r>
      <w:r w:rsidR="00AA7CCA" w:rsidRPr="00AA7CCA">
        <w:rPr>
          <w:spacing w:val="-2"/>
        </w:rPr>
        <w:noBreakHyphen/>
      </w:r>
      <w:r w:rsidRPr="00AA7CCA">
        <w:rPr>
          <w:spacing w:val="-2"/>
        </w:rPr>
        <w:t>1</w:t>
      </w:r>
      <w:r w:rsidRPr="00AA7CCA">
        <w:rPr>
          <w:spacing w:val="-2"/>
          <w:rtl/>
        </w:rPr>
        <w:t xml:space="preserve"> في</w:t>
      </w:r>
      <w:r w:rsidR="00AA7CCA">
        <w:rPr>
          <w:rFonts w:hint="cs"/>
          <w:spacing w:val="-2"/>
          <w:rtl/>
        </w:rPr>
        <w:t> </w:t>
      </w:r>
      <w:r w:rsidRPr="00AA7CCA">
        <w:rPr>
          <w:spacing w:val="-2"/>
          <w:rtl/>
        </w:rPr>
        <w:t>البحرين، الذي أُنشئ في عام </w:t>
      </w:r>
      <w:r w:rsidRPr="00AA7CCA">
        <w:rPr>
          <w:spacing w:val="-2"/>
        </w:rPr>
        <w:t>2019</w:t>
      </w:r>
      <w:r w:rsidRPr="00AA7CCA">
        <w:rPr>
          <w:spacing w:val="-2"/>
          <w:sz w:val="2"/>
          <w:szCs w:val="2"/>
          <w:rtl/>
        </w:rPr>
        <w:t> </w:t>
      </w:r>
      <w:r w:rsidRPr="00AA7CCA">
        <w:rPr>
          <w:rStyle w:val="FootnoteReference"/>
          <w:spacing w:val="-2"/>
        </w:rPr>
        <w:footnoteReference w:id="10"/>
      </w:r>
      <w:r w:rsidRPr="00AA7CCA">
        <w:rPr>
          <w:spacing w:val="-2"/>
          <w:rtl/>
        </w:rPr>
        <w:t xml:space="preserve">، هما إقليمان تابعان لـشركة </w:t>
      </w:r>
      <w:r w:rsidRPr="00AA7CCA">
        <w:rPr>
          <w:spacing w:val="-2"/>
        </w:rPr>
        <w:t>AWS</w:t>
      </w:r>
      <w:r w:rsidRPr="00AA7CCA">
        <w:rPr>
          <w:spacing w:val="-2"/>
          <w:rtl/>
        </w:rPr>
        <w:t>، وليس لها سواهما في منطقة الخليج؛ وهما يشكلان، إلى جانب إقليم AWS في إسرائيل، الأقاليم الوحيدة النشطة في منطقة الشرق الأوسط وشمال إفريقيا بأكملها.</w:t>
      </w:r>
    </w:p>
    <w:p w14:paraId="77C7DC87" w14:textId="33E76D5F" w:rsidR="00A93698" w:rsidRPr="001C6160" w:rsidRDefault="00A93698" w:rsidP="00A93698">
      <w:pPr>
        <w:rPr>
          <w:rtl/>
        </w:rPr>
      </w:pPr>
      <w:r w:rsidRPr="001C6160">
        <w:rPr>
          <w:rtl/>
        </w:rPr>
        <w:t>وأفادت شركة AWS بأن الإقليمين في البحرين والإمارات العربية المتحدة يخدمان العديد من عملاء القطاع الخاص ضمن كل بلد وفي جميع أنحاء العالم. وسلطت شركة AWS الضوء أيضاً على ميزة مناطق التوافر الثلاث لاستمرارية الأعمال ووقت الاستجابة القصير الذي توفره هذه المناطق نظرا</w:t>
      </w:r>
      <w:r w:rsidR="00AA7CCA">
        <w:rPr>
          <w:rFonts w:hint="cs"/>
          <w:rtl/>
        </w:rPr>
        <w:t>ً</w:t>
      </w:r>
      <w:r w:rsidRPr="001C6160">
        <w:rPr>
          <w:rtl/>
        </w:rPr>
        <w:t xml:space="preserve"> لقربها.</w:t>
      </w:r>
    </w:p>
    <w:p w14:paraId="49643016" w14:textId="77777777" w:rsidR="00A93698" w:rsidRPr="00CE6BC4" w:rsidRDefault="00A93698" w:rsidP="00A93698">
      <w:pPr>
        <w:rPr>
          <w:spacing w:val="-4"/>
          <w:rtl/>
        </w:rPr>
      </w:pPr>
      <w:r w:rsidRPr="00CE6BC4">
        <w:rPr>
          <w:spacing w:val="-4"/>
          <w:rtl/>
        </w:rPr>
        <w:t>وبالإضافة إلى ذلك، اعتُبرت مراكز البيانات في إقليمي AWS هاتين ركيزةً أساسية لمبادرات التحول الرقمي الوطنية. وأطلقت البحرين، على وجه الخصوص، استراتيجية "الحوسبة السحابية أولاً" عام </w:t>
      </w:r>
      <w:r w:rsidRPr="00CE6BC4">
        <w:rPr>
          <w:spacing w:val="-4"/>
        </w:rPr>
        <w:t>2017</w:t>
      </w:r>
      <w:r w:rsidRPr="00CE6BC4">
        <w:rPr>
          <w:spacing w:val="-4"/>
          <w:sz w:val="2"/>
          <w:szCs w:val="2"/>
          <w:rtl/>
        </w:rPr>
        <w:t xml:space="preserve"> </w:t>
      </w:r>
      <w:r w:rsidRPr="00CE6BC4">
        <w:rPr>
          <w:rStyle w:val="FootnoteReference"/>
          <w:spacing w:val="-4"/>
        </w:rPr>
        <w:footnoteReference w:id="11"/>
      </w:r>
      <w:r w:rsidRPr="00CE6BC4">
        <w:rPr>
          <w:spacing w:val="-4"/>
          <w:rtl/>
        </w:rPr>
        <w:t>، بما يعني أن الحوسبة السحابية تُعدّ عامل تمكين رئيسياً للتحول الرقمي، وينبغي تفضيلها على البنية التحتية داخل المباني. ونتيجةً لذلك، وبحلول أبريل </w:t>
      </w:r>
      <w:r w:rsidRPr="00CE6BC4">
        <w:rPr>
          <w:spacing w:val="-4"/>
        </w:rPr>
        <w:t>2023</w:t>
      </w:r>
      <w:r w:rsidRPr="00CE6BC4">
        <w:rPr>
          <w:spacing w:val="-4"/>
          <w:sz w:val="2"/>
          <w:szCs w:val="2"/>
          <w:rtl/>
        </w:rPr>
        <w:t> </w:t>
      </w:r>
      <w:r w:rsidRPr="00CE6BC4">
        <w:rPr>
          <w:rStyle w:val="FootnoteReference"/>
          <w:spacing w:val="-4"/>
        </w:rPr>
        <w:footnoteReference w:id="12"/>
      </w:r>
      <w:r w:rsidRPr="00CE6BC4">
        <w:rPr>
          <w:spacing w:val="-4"/>
          <w:rtl/>
        </w:rPr>
        <w:t>، نُقل </w:t>
      </w:r>
      <w:r w:rsidRPr="00CE6BC4">
        <w:rPr>
          <w:spacing w:val="-4"/>
        </w:rPr>
        <w:t>%85</w:t>
      </w:r>
      <w:r w:rsidRPr="00CE6BC4">
        <w:rPr>
          <w:spacing w:val="-4"/>
          <w:rtl/>
        </w:rPr>
        <w:t xml:space="preserve"> من إجمالي البيانات الحكومية إلى منصة </w:t>
      </w:r>
      <w:r w:rsidRPr="00CE6BC4">
        <w:rPr>
          <w:spacing w:val="-4"/>
        </w:rPr>
        <w:t>AWS</w:t>
      </w:r>
      <w:r w:rsidRPr="00CE6BC4">
        <w:rPr>
          <w:spacing w:val="-4"/>
          <w:rtl/>
        </w:rPr>
        <w:t>. وبحلول عام </w:t>
      </w:r>
      <w:r w:rsidRPr="00CE6BC4">
        <w:rPr>
          <w:spacing w:val="-4"/>
        </w:rPr>
        <w:t>2025</w:t>
      </w:r>
      <w:r w:rsidRPr="00CE6BC4">
        <w:rPr>
          <w:spacing w:val="-4"/>
          <w:rtl/>
        </w:rPr>
        <w:t>، أفاد برنامج التحول السحابي في</w:t>
      </w:r>
      <w:r>
        <w:rPr>
          <w:spacing w:val="-4"/>
          <w:rtl/>
        </w:rPr>
        <w:t> </w:t>
      </w:r>
      <w:r w:rsidRPr="00CE6BC4">
        <w:rPr>
          <w:spacing w:val="-4"/>
          <w:rtl/>
        </w:rPr>
        <w:t>البحرين بأن</w:t>
      </w:r>
      <w:r>
        <w:rPr>
          <w:spacing w:val="-4"/>
          <w:rtl/>
        </w:rPr>
        <w:t> </w:t>
      </w:r>
      <w:r w:rsidRPr="00CE6BC4">
        <w:rPr>
          <w:spacing w:val="-4"/>
        </w:rPr>
        <w:t>72</w:t>
      </w:r>
      <w:r w:rsidRPr="00CE6BC4">
        <w:rPr>
          <w:spacing w:val="-4"/>
          <w:rtl/>
        </w:rPr>
        <w:t xml:space="preserve"> جهة حكومية - تقدم أكثر من </w:t>
      </w:r>
      <w:r w:rsidRPr="00CE6BC4">
        <w:rPr>
          <w:spacing w:val="-4"/>
        </w:rPr>
        <w:t>1 385</w:t>
      </w:r>
      <w:r w:rsidRPr="00CE6BC4">
        <w:rPr>
          <w:spacing w:val="-4"/>
          <w:rtl/>
        </w:rPr>
        <w:t xml:space="preserve"> خدمة حكومية و</w:t>
      </w:r>
      <w:r w:rsidRPr="00CE6BC4">
        <w:rPr>
          <w:spacing w:val="-4"/>
        </w:rPr>
        <w:t>570</w:t>
      </w:r>
      <w:r w:rsidRPr="00CE6BC4">
        <w:rPr>
          <w:spacing w:val="-4"/>
          <w:rtl/>
        </w:rPr>
        <w:t xml:space="preserve"> خدمة إلكترونية - قد انتقلت بالفعل إلى البيئة السحابية.</w:t>
      </w:r>
    </w:p>
    <w:p w14:paraId="23959E60" w14:textId="77777777" w:rsidR="00A93698" w:rsidRPr="00CE6BC4" w:rsidRDefault="00A93698" w:rsidP="00A93698">
      <w:pPr>
        <w:rPr>
          <w:spacing w:val="-2"/>
          <w:rtl/>
        </w:rPr>
      </w:pPr>
      <w:r w:rsidRPr="00CE6BC4">
        <w:rPr>
          <w:spacing w:val="-2"/>
          <w:rtl/>
        </w:rPr>
        <w:t xml:space="preserve">وعلاوة على ذلك، تتطلب قوانين سيادة البيانات وحمايتها وجود أنواع معينة من البيانات داخل أراضي كل بلد. فعلى سبيل المثال، وفق القانون الاتحادي رقم </w:t>
      </w:r>
      <w:r w:rsidRPr="00CE6BC4">
        <w:rPr>
          <w:spacing w:val="-2"/>
        </w:rPr>
        <w:t>(2)</w:t>
      </w:r>
      <w:r w:rsidRPr="00CE6BC4">
        <w:rPr>
          <w:spacing w:val="-2"/>
          <w:rtl/>
        </w:rPr>
        <w:t> عام </w:t>
      </w:r>
      <w:r w:rsidRPr="00CE6BC4">
        <w:rPr>
          <w:spacing w:val="-2"/>
        </w:rPr>
        <w:t>2019</w:t>
      </w:r>
      <w:r w:rsidRPr="00CE6BC4">
        <w:rPr>
          <w:spacing w:val="-2"/>
          <w:rtl/>
        </w:rPr>
        <w:t xml:space="preserve"> للإمارات العربية المتحدة، يحظر تخزين أو معالجة أي بيانات للرعاية الصحية خارج الإمارات العربية المتحدة</w:t>
      </w:r>
      <w:r w:rsidRPr="00CE6BC4">
        <w:rPr>
          <w:rStyle w:val="FootnoteReference"/>
          <w:spacing w:val="-2"/>
        </w:rPr>
        <w:footnoteReference w:id="13"/>
      </w:r>
      <w:r w:rsidRPr="00CE6BC4">
        <w:rPr>
          <w:spacing w:val="-2"/>
          <w:rtl/>
        </w:rPr>
        <w:t>. وبالمثل، يطلب مصرف الإمارات العربية المتحدة المركزي من المؤسسات المالية المرخصة ضمان بقاء بيانات المستهلك والمعاملات داخل الإمارات العربية المتحدة</w:t>
      </w:r>
      <w:r w:rsidRPr="00CE6BC4">
        <w:rPr>
          <w:rStyle w:val="FootnoteReference"/>
          <w:spacing w:val="-2"/>
        </w:rPr>
        <w:footnoteReference w:id="14"/>
      </w:r>
      <w:r w:rsidRPr="00CE6BC4">
        <w:rPr>
          <w:spacing w:val="-2"/>
          <w:rtl/>
        </w:rPr>
        <w:t>.</w:t>
      </w:r>
    </w:p>
    <w:p w14:paraId="3DE98F4F" w14:textId="77777777" w:rsidR="00A93698" w:rsidRPr="00CE6BC4" w:rsidRDefault="00A93698" w:rsidP="00A93698">
      <w:pPr>
        <w:rPr>
          <w:spacing w:val="-2"/>
          <w:rtl/>
        </w:rPr>
      </w:pPr>
      <w:r w:rsidRPr="00CE6BC4">
        <w:rPr>
          <w:spacing w:val="-2"/>
          <w:rtl/>
        </w:rPr>
        <w:t>ولذلك، فإن مراكز البيانات التي تستضيفها البحرين والإمارات العربية المتحدة لا تساعد الوكالات العامة في هذين البلدين على الالتزام باللوائح المحلية فحسب، بل تمكِّن أيضاً البلدان الأخرى في المنطقة من الاستفادة من القرب عندما تسمح اللوائح بذلك. فعلى سبيل المثال، سلط رئيس قطاع تكنولوجيا المعلومات في الهيئة العامة للاتصالات وتقنية المعلومات (CITRA) في الكويت الضوء على فرص استخدام البنية التحتية السحابية العامة مع تصنيف البيانات المناسب في</w:t>
      </w:r>
      <w:r>
        <w:rPr>
          <w:spacing w:val="-2"/>
          <w:rtl/>
        </w:rPr>
        <w:t> </w:t>
      </w:r>
      <w:r w:rsidRPr="00CE6BC4">
        <w:rPr>
          <w:spacing w:val="-2"/>
          <w:rtl/>
        </w:rPr>
        <w:t>مقابلة مع AWS</w:t>
      </w:r>
      <w:r w:rsidRPr="00CE6BC4">
        <w:rPr>
          <w:spacing w:val="-2"/>
          <w:sz w:val="2"/>
          <w:szCs w:val="2"/>
          <w:rtl/>
        </w:rPr>
        <w:t> </w:t>
      </w:r>
      <w:r w:rsidRPr="00CE6BC4">
        <w:rPr>
          <w:rStyle w:val="FootnoteReference"/>
          <w:spacing w:val="-2"/>
        </w:rPr>
        <w:footnoteReference w:id="15"/>
      </w:r>
    </w:p>
    <w:p w14:paraId="1D9C44A6" w14:textId="667965A3" w:rsidR="008F773C" w:rsidRPr="008F773C" w:rsidRDefault="006253C6" w:rsidP="006253C6">
      <w:pPr>
        <w:pStyle w:val="Heading2"/>
        <w:rPr>
          <w:lang w:bidi="ar-SA"/>
        </w:rPr>
      </w:pPr>
      <w:r>
        <w:rPr>
          <w:lang w:bidi="ar-SA"/>
        </w:rPr>
        <w:lastRenderedPageBreak/>
        <w:t>3.2</w:t>
      </w:r>
      <w:r w:rsidR="008F773C" w:rsidRPr="008F773C">
        <w:rPr>
          <w:rtl/>
          <w:lang w:bidi="ar-SA"/>
        </w:rPr>
        <w:tab/>
        <w:t xml:space="preserve">أثر الهجمات على مراكز بيانات </w:t>
      </w:r>
      <w:r w:rsidR="008F773C" w:rsidRPr="008F773C">
        <w:rPr>
          <w:lang w:bidi="ar-SA"/>
        </w:rPr>
        <w:t>AWS</w:t>
      </w:r>
      <w:r w:rsidR="008F773C" w:rsidRPr="008F773C">
        <w:rPr>
          <w:rtl/>
          <w:lang w:bidi="ar-SA"/>
        </w:rPr>
        <w:t xml:space="preserve"> في الإمارات العربية المتحدة والبحرين</w:t>
      </w:r>
    </w:p>
    <w:p w14:paraId="13A26FE6" w14:textId="77777777" w:rsidR="00A93698" w:rsidRPr="00813771" w:rsidRDefault="00A93698" w:rsidP="00A93698">
      <w:pPr>
        <w:keepNext/>
        <w:keepLines/>
        <w:rPr>
          <w:spacing w:val="-2"/>
          <w:rtl/>
        </w:rPr>
      </w:pPr>
      <w:r w:rsidRPr="00813771">
        <w:rPr>
          <w:spacing w:val="-2"/>
          <w:rtl/>
        </w:rPr>
        <w:t xml:space="preserve">في حين سيُتناول في الخطوات التالية التقييم التفصيلي للأثر والأضرار الناجمة عن الهجمات على مراكز بيانات </w:t>
      </w:r>
      <w:r w:rsidRPr="00813771">
        <w:rPr>
          <w:spacing w:val="-2"/>
        </w:rPr>
        <w:t>AWS</w:t>
      </w:r>
      <w:r w:rsidRPr="00813771">
        <w:rPr>
          <w:spacing w:val="-2"/>
          <w:rtl/>
        </w:rPr>
        <w:t xml:space="preserve"> في البحرين والإمارات العربية المتحدة، تشير الدلائل المبكرة إلى خسائر جسيمة في عدة فئات. وتشمل فئة الأضرار الأولى تعطّل الخدمات الرقمية أو عدم توافرها وهو ما بدأ مع الهجمات واستمر حتى اكتمال الانتقال إلى إقليم AWS جديد، أو تنفيذ خطط النسخ الاحتياطي التي وضعتها مصالح الأعمال. فعلى سبيل المثال، ذكر بنك أبو ظبي التجاري (ADCB) أن استعادة الخدمات المصرفية الإلكترونية استغرقت </w:t>
      </w:r>
      <w:r w:rsidRPr="00813771">
        <w:rPr>
          <w:spacing w:val="-2"/>
        </w:rPr>
        <w:t>48</w:t>
      </w:r>
      <w:r w:rsidRPr="00813771">
        <w:rPr>
          <w:spacing w:val="-2"/>
          <w:rtl/>
        </w:rPr>
        <w:t> ساعة</w:t>
      </w:r>
      <w:r w:rsidRPr="00813771">
        <w:rPr>
          <w:rStyle w:val="FootnoteReference"/>
          <w:spacing w:val="-2"/>
        </w:rPr>
        <w:footnoteReference w:id="16"/>
      </w:r>
      <w:r w:rsidRPr="00813771">
        <w:rPr>
          <w:spacing w:val="-2"/>
          <w:rtl/>
        </w:rPr>
        <w:t>.</w:t>
      </w:r>
    </w:p>
    <w:p w14:paraId="59AB77CF" w14:textId="77777777" w:rsidR="00A93698" w:rsidRPr="001C6160" w:rsidRDefault="00A93698" w:rsidP="00A93698">
      <w:pPr>
        <w:rPr>
          <w:rtl/>
        </w:rPr>
      </w:pPr>
      <w:r w:rsidRPr="001C6160">
        <w:rPr>
          <w:rtl/>
        </w:rPr>
        <w:t xml:space="preserve">وتنشأ فئة الأضرار الثانية من التكلفة الإضافية للانتقال وتشغيل الخدمات الرقمية عبر مختلف الأقاليم </w:t>
      </w:r>
      <w:r>
        <w:rPr>
          <w:rtl/>
        </w:rPr>
        <w:t>ومزوّدي</w:t>
      </w:r>
      <w:r w:rsidRPr="001C6160">
        <w:rPr>
          <w:rtl/>
        </w:rPr>
        <w:t xml:space="preserve"> الخدمات السحابية، بما في ذلك الخطط الطارئة لاستمرارية الأعمال، مثل النسخ الاحتياطي للبيانات في مواقع مختلفة</w:t>
      </w:r>
      <w:r w:rsidRPr="00987AAF">
        <w:rPr>
          <w:rStyle w:val="FootnoteReference"/>
        </w:rPr>
        <w:footnoteReference w:id="17"/>
      </w:r>
      <w:r w:rsidRPr="001C6160">
        <w:rPr>
          <w:rtl/>
        </w:rPr>
        <w:t>.</w:t>
      </w:r>
    </w:p>
    <w:p w14:paraId="22203550" w14:textId="77777777" w:rsidR="00A93698" w:rsidRPr="001C6160" w:rsidRDefault="00A93698" w:rsidP="00A93698">
      <w:r w:rsidRPr="001C6160">
        <w:rPr>
          <w:rtl/>
        </w:rPr>
        <w:t>وتتعلق الفئة الثالثة بطموح الشرق الأوسط طويل الأجل بأن يصبح مركزاً للذكاء الاصطناعي والبنية التحتية الرقمية</w:t>
      </w:r>
      <w:r w:rsidRPr="00987AAF">
        <w:rPr>
          <w:rStyle w:val="FootnoteReference"/>
        </w:rPr>
        <w:footnoteReference w:id="18"/>
      </w:r>
      <w:r w:rsidRPr="001C6160">
        <w:rPr>
          <w:rtl/>
        </w:rPr>
        <w:t xml:space="preserve">. ويبدو أن خروج إقليم </w:t>
      </w:r>
      <w:r w:rsidRPr="00D63847">
        <w:t>ME-SOUTH-1</w:t>
      </w:r>
      <w:r w:rsidRPr="001C6160">
        <w:rPr>
          <w:rtl/>
        </w:rPr>
        <w:t xml:space="preserve"> عن الخدمة -وما تلا ذلك من تأكيد شركة AWS على استحالة استعادة البيانات التي كانت مخزنة حصرياً هناك</w:t>
      </w:r>
      <w:r w:rsidRPr="00987AAF">
        <w:rPr>
          <w:rStyle w:val="FootnoteReference"/>
        </w:rPr>
        <w:footnoteReference w:id="19"/>
      </w:r>
      <w:r w:rsidRPr="001C6160">
        <w:rPr>
          <w:rtl/>
        </w:rPr>
        <w:t xml:space="preserve"> يشكل سابقة لم يشهد مثلها أي نزاع مسلح من قبل.</w:t>
      </w:r>
    </w:p>
    <w:p w14:paraId="48AA143B" w14:textId="77777777" w:rsidR="00A93698" w:rsidRPr="001C6160" w:rsidRDefault="00A93698" w:rsidP="00A93698">
      <w:pPr>
        <w:rPr>
          <w:rtl/>
        </w:rPr>
      </w:pPr>
      <w:r w:rsidRPr="001C6160">
        <w:rPr>
          <w:rtl/>
        </w:rPr>
        <w:t>وكما يشير "معهد بيكر للسياسات العامة" التابع لجامعة رايس</w:t>
      </w:r>
      <w:r w:rsidRPr="00987AAF">
        <w:rPr>
          <w:rStyle w:val="FootnoteReference"/>
        </w:rPr>
        <w:footnoteReference w:id="20"/>
      </w:r>
      <w:r w:rsidRPr="001C6160">
        <w:rPr>
          <w:rtl/>
        </w:rPr>
        <w:t>، فإن تداعيات هذه الهجمات تتجاوز الأضرار المالية لتصل إلى ثقة المستثمرين في إنشاء وتشغيل مراكز البيانات في المنطقة. ولكن نظرا لأن النزاع لا يزال مستمراً، فإن الأثر الكامل على هذه الثقة وعلى صورة المنطقة على المدى الطويل سيظل غير واضح.</w:t>
      </w:r>
    </w:p>
    <w:p w14:paraId="1CEAAEBF" w14:textId="6F6EAB59" w:rsidR="008F773C" w:rsidRPr="008F773C" w:rsidRDefault="004956B9" w:rsidP="000C1714">
      <w:pPr>
        <w:pStyle w:val="Heading2"/>
        <w:rPr>
          <w:lang w:bidi="ar-SA"/>
        </w:rPr>
      </w:pPr>
      <w:r>
        <w:rPr>
          <w:lang w:bidi="ar-SA"/>
        </w:rPr>
        <w:t>4.2</w:t>
      </w:r>
      <w:r w:rsidR="008F773C" w:rsidRPr="008F773C">
        <w:rPr>
          <w:rtl/>
          <w:lang w:bidi="ar-SA"/>
        </w:rPr>
        <w:tab/>
      </w:r>
      <w:r w:rsidR="000C1714" w:rsidRPr="000C1714">
        <w:rPr>
          <w:rtl/>
          <w:lang w:bidi="ar-SA"/>
        </w:rPr>
        <w:t>مارس - أبريل </w:t>
      </w:r>
      <w:r w:rsidR="000C1714" w:rsidRPr="000C1714">
        <w:rPr>
          <w:lang w:val="en-US" w:bidi="ar-SA"/>
        </w:rPr>
        <w:t>2026</w:t>
      </w:r>
      <w:r w:rsidR="000C1714" w:rsidRPr="000C1714">
        <w:rPr>
          <w:rtl/>
          <w:lang w:bidi="ar-SA"/>
        </w:rPr>
        <w:t>: الهجمات على مزوّدي خدمات الاتصالات</w:t>
      </w:r>
    </w:p>
    <w:p w14:paraId="2BFBBA4A" w14:textId="3F1483ED" w:rsidR="000C1714" w:rsidRPr="001C6160" w:rsidRDefault="000C1714" w:rsidP="000C1714">
      <w:pPr>
        <w:rPr>
          <w:rtl/>
        </w:rPr>
      </w:pPr>
      <w:r w:rsidRPr="001C6160">
        <w:rPr>
          <w:rtl/>
        </w:rPr>
        <w:t xml:space="preserve">أشارت تقارير إعلامية إلى شن عدة هجمات على </w:t>
      </w:r>
      <w:r>
        <w:rPr>
          <w:rtl/>
        </w:rPr>
        <w:t>مزوّدي</w:t>
      </w:r>
      <w:r w:rsidRPr="001C6160">
        <w:rPr>
          <w:rtl/>
        </w:rPr>
        <w:t xml:space="preserve"> خدمات الاتصالات في المنطقة (مثل مكتب الثريا للاتصالات</w:t>
      </w:r>
      <w:r w:rsidRPr="00987AAF">
        <w:rPr>
          <w:rStyle w:val="FootnoteReference"/>
        </w:rPr>
        <w:footnoteReference w:id="21"/>
      </w:r>
      <w:r w:rsidRPr="001C6160">
        <w:rPr>
          <w:rtl/>
        </w:rPr>
        <w:t>، ومكتب دو للاتصالات</w:t>
      </w:r>
      <w:r w:rsidRPr="00987AAF">
        <w:rPr>
          <w:rStyle w:val="FootnoteReference"/>
        </w:rPr>
        <w:footnoteReference w:id="22"/>
      </w:r>
      <w:r w:rsidRPr="001C6160">
        <w:rPr>
          <w:rtl/>
        </w:rPr>
        <w:t>). وبما أن هذا التقرير المرحلي يستند إلى منهجية البحث المكتبي ونظرا للافتقار إلى تفاصيل متاحة للعموم يمكن استخدامها للتحقق من صحة الهجمات والأضرار الناجمة عنها، سيجري جمع المزيد من البيانات والأدلة في الخطوات التالية لهذا التقييم لتقييم هذه التقارير الإعلامية وتقييم أي ضرر سببته، وكذلك أي هجوم آخر يمكن أن تكون وسائل الإعلام قد أبلغت عنه.</w:t>
      </w:r>
    </w:p>
    <w:p w14:paraId="68DDE0DD" w14:textId="62D3AE3D" w:rsidR="008F773C" w:rsidRPr="008F773C" w:rsidRDefault="008F773C" w:rsidP="000C1714">
      <w:pPr>
        <w:pStyle w:val="Heading1"/>
        <w:rPr>
          <w:lang w:bidi="ar-SA"/>
        </w:rPr>
      </w:pPr>
      <w:r w:rsidRPr="008F773C">
        <w:rPr>
          <w:lang w:bidi="ar-SA"/>
        </w:rPr>
        <w:lastRenderedPageBreak/>
        <w:t>3</w:t>
      </w:r>
      <w:r w:rsidRPr="008F773C">
        <w:rPr>
          <w:rtl/>
          <w:lang w:bidi="ar-SA"/>
        </w:rPr>
        <w:tab/>
      </w:r>
      <w:r w:rsidR="000C1714" w:rsidRPr="000C1714">
        <w:rPr>
          <w:rtl/>
          <w:lang w:bidi="ar-SA"/>
        </w:rPr>
        <w:t xml:space="preserve">التداخل على النظام العالمي للملاحة الساتلية </w:t>
      </w:r>
      <w:r w:rsidR="000C1714" w:rsidRPr="000C1714">
        <w:rPr>
          <w:lang w:val="en-US" w:bidi="ar-SA"/>
        </w:rPr>
        <w:t>(GNSS)</w:t>
      </w:r>
    </w:p>
    <w:p w14:paraId="5EAD01E4" w14:textId="77777777" w:rsidR="000C1714" w:rsidRPr="001C6160" w:rsidRDefault="000C1714" w:rsidP="000C1714">
      <w:pPr>
        <w:keepNext/>
        <w:keepLines/>
        <w:rPr>
          <w:rtl/>
        </w:rPr>
      </w:pPr>
      <w:r w:rsidRPr="001C6160">
        <w:rPr>
          <w:rtl/>
        </w:rPr>
        <w:t xml:space="preserve">على مدى السنوات القليلة الماضية، برز التداخل الضار الذي يؤثر على خدمة الملاحة الراديوية الساتلية </w:t>
      </w:r>
      <w:r w:rsidRPr="001C6160">
        <w:t>(RNSS)</w:t>
      </w:r>
      <w:r w:rsidRPr="001C6160">
        <w:rPr>
          <w:rtl/>
        </w:rPr>
        <w:t>، الداعمة ل</w:t>
      </w:r>
      <w:r w:rsidRPr="001C6160">
        <w:rPr>
          <w:b/>
          <w:rtl/>
        </w:rPr>
        <w:t xml:space="preserve">لنظام </w:t>
      </w:r>
      <w:r w:rsidRPr="001C6160">
        <w:rPr>
          <w:rtl/>
        </w:rPr>
        <w:t xml:space="preserve">العالمي للملاحة الساتلية </w:t>
      </w:r>
      <w:r>
        <w:t>(</w:t>
      </w:r>
      <w:r w:rsidRPr="001C6160">
        <w:t>GNSS</w:t>
      </w:r>
      <w:r>
        <w:t>)</w:t>
      </w:r>
      <w:r w:rsidRPr="001C6160">
        <w:rPr>
          <w:rtl/>
        </w:rPr>
        <w:t xml:space="preserve">، كمصدر قلق متزايد للجنة لوائح الراديو </w:t>
      </w:r>
      <w:r w:rsidRPr="001C6160">
        <w:t>(RRB)</w:t>
      </w:r>
      <w:r w:rsidRPr="001C6160">
        <w:rPr>
          <w:rtl/>
        </w:rPr>
        <w:t>.</w:t>
      </w:r>
    </w:p>
    <w:p w14:paraId="2E2E6830" w14:textId="77777777" w:rsidR="000C1714" w:rsidRPr="001C6160" w:rsidRDefault="000C1714" w:rsidP="000C1714">
      <w:pPr>
        <w:keepNext/>
        <w:keepLines/>
      </w:pPr>
      <w:r w:rsidRPr="001C6160">
        <w:rPr>
          <w:rtl/>
        </w:rPr>
        <w:t>وفي عام</w:t>
      </w:r>
      <w:r>
        <w:rPr>
          <w:rtl/>
        </w:rPr>
        <w:t> </w:t>
      </w:r>
      <w:r>
        <w:t>2024</w:t>
      </w:r>
      <w:r w:rsidRPr="001C6160">
        <w:rPr>
          <w:rtl/>
        </w:rPr>
        <w:t xml:space="preserve">، لاحظت لجنة لوائح الراديو زيادة ملحوظة في التقارير عن التداخل الضار الذي يؤثر على مستقبلات النظام العالمي للملاحة الساتلية </w:t>
      </w:r>
      <w:r w:rsidRPr="001C6160">
        <w:t>(GNSS)</w:t>
      </w:r>
      <w:r w:rsidRPr="001C6160">
        <w:rPr>
          <w:rtl/>
        </w:rPr>
        <w:t xml:space="preserve"> عبر مناطق متعددة. ولم تقتصر الحوادث المبلغ عنها على حالات انقطاع معزولة؛ بل</w:t>
      </w:r>
      <w:r>
        <w:rPr>
          <w:rtl/>
        </w:rPr>
        <w:t> </w:t>
      </w:r>
      <w:r w:rsidRPr="001C6160">
        <w:rPr>
          <w:rtl/>
        </w:rPr>
        <w:t>أثَّرت أكثر فأكثر على تطبيقات الملاحة والتوقيت الحرجة الداعمة للطيران المدني والعمليات البحرية والاتصالات. وأعربت لجنة لوائح الراديو مراراً عن قلقها بشأن استخدام تقنيات التشويش والانتحال، مشيرة إلى أن هذه الممارسات يمكن أن تقوض التشغيل الآمن والفعال للبنية التحتية الحيوية وخدمات سلامة الأرواح.</w:t>
      </w:r>
    </w:p>
    <w:p w14:paraId="455FC38B" w14:textId="2698BB20" w:rsidR="000C1714" w:rsidRPr="00FD4EBF" w:rsidRDefault="000C1714" w:rsidP="000C1714">
      <w:pPr>
        <w:rPr>
          <w:spacing w:val="-2"/>
          <w:rtl/>
        </w:rPr>
      </w:pPr>
      <w:r w:rsidRPr="00FD4EBF">
        <w:rPr>
          <w:spacing w:val="-2"/>
          <w:rtl/>
        </w:rPr>
        <w:t>وفي الشرق الأوسط، أبلغت الإدارات عن تداخل يؤثر على مستقبلات النظام العالمي للملاحة الساتلية </w:t>
      </w:r>
      <w:r w:rsidRPr="00FD4EBF">
        <w:rPr>
          <w:spacing w:val="-2"/>
        </w:rPr>
        <w:t>(GNSS)</w:t>
      </w:r>
      <w:r w:rsidRPr="00FD4EBF">
        <w:rPr>
          <w:spacing w:val="-2"/>
          <w:rtl/>
        </w:rPr>
        <w:t xml:space="preserve"> المستخدمة في</w:t>
      </w:r>
      <w:r w:rsidR="00FD4EBF" w:rsidRPr="00FD4EBF">
        <w:rPr>
          <w:rFonts w:hint="cs"/>
          <w:spacing w:val="-2"/>
          <w:rtl/>
        </w:rPr>
        <w:t> </w:t>
      </w:r>
      <w:r w:rsidRPr="00FD4EBF">
        <w:rPr>
          <w:spacing w:val="-2"/>
          <w:rtl/>
        </w:rPr>
        <w:t xml:space="preserve">تطبيقات الملاحة والسلامة. وشجعت لجنة لوائح الراديو الإدارات المعنية على التحقيق في الحالات والتعاون المباشر واتخاذ خطوات فورية لإزالة التداخل الضار. ومن خلال سلسلة من المناقشات والإجراءات المنسقة التي يسرها مكتب الاتصالات الراديوية، أظهرت الإدارات المعنية استعدادها للتعاون، وبحلول أواخر عام </w:t>
      </w:r>
      <w:r w:rsidRPr="00FD4EBF">
        <w:rPr>
          <w:spacing w:val="-2"/>
        </w:rPr>
        <w:t>2025</w:t>
      </w:r>
      <w:r w:rsidRPr="00FD4EBF">
        <w:rPr>
          <w:spacing w:val="-2"/>
          <w:rtl/>
        </w:rPr>
        <w:t>، لاحظت لجنة لوائح الراديو تقدماً إيجابياً في</w:t>
      </w:r>
      <w:r w:rsidR="00FD4EBF" w:rsidRPr="00FD4EBF">
        <w:rPr>
          <w:rFonts w:hint="cs"/>
          <w:spacing w:val="-2"/>
          <w:rtl/>
        </w:rPr>
        <w:t> </w:t>
      </w:r>
      <w:r w:rsidRPr="00FD4EBF">
        <w:rPr>
          <w:spacing w:val="-2"/>
          <w:rtl/>
        </w:rPr>
        <w:t xml:space="preserve">معالجة </w:t>
      </w:r>
      <w:r w:rsidRPr="00FD4EBF">
        <w:rPr>
          <w:spacing w:val="-2"/>
          <w:rtl/>
          <w:lang w:bidi="ar-SY"/>
        </w:rPr>
        <w:t>عدة</w:t>
      </w:r>
      <w:r w:rsidRPr="00FD4EBF">
        <w:rPr>
          <w:spacing w:val="-2"/>
          <w:rtl/>
        </w:rPr>
        <w:t xml:space="preserve"> حالات مبلَّغ عنها.</w:t>
      </w:r>
    </w:p>
    <w:p w14:paraId="05DD77A1" w14:textId="293D1595" w:rsidR="000C1714" w:rsidRPr="00FD4EBF" w:rsidRDefault="000C1714" w:rsidP="000C1714">
      <w:pPr>
        <w:rPr>
          <w:spacing w:val="-4"/>
          <w:rtl/>
        </w:rPr>
      </w:pPr>
      <w:r w:rsidRPr="00FD4EBF">
        <w:rPr>
          <w:spacing w:val="-4"/>
          <w:rtl/>
        </w:rPr>
        <w:t xml:space="preserve">وبالإضافة إلى ذلك، سلطت التقييمات والتقارير الصادرة عن دوائر الصناعة - والمتاحة للعموم - الضوء على زيادة كبيرة في الاضطرابات التي تؤثر على إشارات النظام العالمي للملاحة الساتلية في منطقة الخليج. وكانت المنطقة تشهد بالفعل مستويات مرتفعة من التداخل على النظام العالمي للملاحة الساتلية حتى قبل نشوب النزاع. فعلى سبيل المثال، أشار استطلاع أجراه "المعهد الملكي للملاحة" </w:t>
      </w:r>
      <w:r w:rsidRPr="00FD4EBF">
        <w:rPr>
          <w:spacing w:val="-4"/>
        </w:rPr>
        <w:t>(Royal Institute of Navigation)</w:t>
      </w:r>
      <w:r w:rsidRPr="00FD4EBF">
        <w:rPr>
          <w:spacing w:val="-4"/>
          <w:rtl/>
        </w:rPr>
        <w:t xml:space="preserve"> عام </w:t>
      </w:r>
      <w:r w:rsidRPr="00FD4EBF">
        <w:rPr>
          <w:spacing w:val="-4"/>
        </w:rPr>
        <w:t>2025</w:t>
      </w:r>
      <w:r w:rsidRPr="00FD4EBF">
        <w:rPr>
          <w:spacing w:val="-4"/>
          <w:rtl/>
        </w:rPr>
        <w:t xml:space="preserve"> إلى أن أكثر من </w:t>
      </w:r>
      <w:r w:rsidRPr="00FD4EBF">
        <w:rPr>
          <w:spacing w:val="-4"/>
        </w:rPr>
        <w:t>80</w:t>
      </w:r>
      <w:r w:rsidRPr="00FD4EBF">
        <w:rPr>
          <w:spacing w:val="-4"/>
          <w:rtl/>
        </w:rPr>
        <w:t xml:space="preserve"> في المائة من البحارة الذين عملوا في </w:t>
      </w:r>
      <w:r w:rsidR="006B3924">
        <w:rPr>
          <w:rtl/>
        </w:rPr>
        <w:t>الخليج الفارسي</w:t>
      </w:r>
      <w:r w:rsidR="006B3924">
        <w:rPr>
          <w:rFonts w:hint="cs"/>
          <w:rtl/>
        </w:rPr>
        <w:t xml:space="preserve"> </w:t>
      </w:r>
      <w:r w:rsidRPr="00FD4EBF">
        <w:rPr>
          <w:spacing w:val="-4"/>
          <w:rtl/>
        </w:rPr>
        <w:t xml:space="preserve">قد تعرضوا لتداخل على النظام العالمي للملاحة الساتلية </w:t>
      </w:r>
      <w:r w:rsidRPr="00FD4EBF">
        <w:rPr>
          <w:spacing w:val="-4"/>
        </w:rPr>
        <w:t>(GNSS)</w:t>
      </w:r>
      <w:r w:rsidRPr="00FD4EBF">
        <w:rPr>
          <w:spacing w:val="-4"/>
          <w:sz w:val="2"/>
          <w:szCs w:val="2"/>
          <w:rtl/>
        </w:rPr>
        <w:t> </w:t>
      </w:r>
      <w:r w:rsidRPr="00FD4EBF">
        <w:rPr>
          <w:rStyle w:val="FootnoteReference"/>
          <w:spacing w:val="-4"/>
        </w:rPr>
        <w:footnoteReference w:id="23"/>
      </w:r>
      <w:r w:rsidRPr="00FD4EBF">
        <w:rPr>
          <w:spacing w:val="-4"/>
          <w:rtl/>
        </w:rPr>
        <w:t xml:space="preserve">. وبالمثل، حدد الاتحاد الدولي الجوي </w:t>
      </w:r>
      <w:r w:rsidRPr="00FD4EBF">
        <w:rPr>
          <w:spacing w:val="-4"/>
        </w:rPr>
        <w:t>(IATA)</w:t>
      </w:r>
      <w:r w:rsidRPr="00FD4EBF">
        <w:rPr>
          <w:spacing w:val="-4"/>
          <w:rtl/>
        </w:rPr>
        <w:t xml:space="preserve"> في تقييمه للمخاطر على السلامة عام </w:t>
      </w:r>
      <w:bookmarkStart w:id="5" w:name="_Ref241576694"/>
      <w:r w:rsidRPr="00FD4EBF">
        <w:rPr>
          <w:spacing w:val="-4"/>
        </w:rPr>
        <w:t>2025</w:t>
      </w:r>
      <w:r w:rsidRPr="00FD4EBF">
        <w:rPr>
          <w:spacing w:val="-4"/>
          <w:sz w:val="2"/>
          <w:szCs w:val="2"/>
          <w:rtl/>
        </w:rPr>
        <w:t> </w:t>
      </w:r>
      <w:r w:rsidRPr="00FD4EBF">
        <w:rPr>
          <w:rStyle w:val="FootnoteReference"/>
          <w:spacing w:val="-4"/>
        </w:rPr>
        <w:footnoteReference w:id="24"/>
      </w:r>
      <w:bookmarkEnd w:id="5"/>
      <w:r w:rsidRPr="00FD4EBF">
        <w:rPr>
          <w:spacing w:val="-4"/>
          <w:rtl/>
        </w:rPr>
        <w:t xml:space="preserve"> مستويات متزايدة من التداخل على الترددات الراديوية الخاصة بأنظمة </w:t>
      </w:r>
      <w:r w:rsidRPr="00FD4EBF">
        <w:rPr>
          <w:spacing w:val="-4"/>
        </w:rPr>
        <w:t>GNSS</w:t>
      </w:r>
      <w:r w:rsidRPr="00FD4EBF">
        <w:rPr>
          <w:spacing w:val="-4"/>
          <w:rtl/>
        </w:rPr>
        <w:t xml:space="preserve"> داخل منطقة الخليج والمناطق المحيطة بها.</w:t>
      </w:r>
    </w:p>
    <w:p w14:paraId="1C42FD95" w14:textId="77777777" w:rsidR="000C1714" w:rsidRPr="001C6160" w:rsidRDefault="000C1714" w:rsidP="000C1714">
      <w:pPr>
        <w:rPr>
          <w:rtl/>
        </w:rPr>
      </w:pPr>
      <w:r w:rsidRPr="001C6160">
        <w:rPr>
          <w:rtl/>
        </w:rPr>
        <w:t xml:space="preserve">وتشير بيانات المراقبة المتاحة إلى </w:t>
      </w:r>
      <w:r w:rsidRPr="001C6160">
        <w:rPr>
          <w:rtl/>
          <w:lang w:bidi="ar-SY"/>
        </w:rPr>
        <w:t>استشراء</w:t>
      </w:r>
      <w:r w:rsidRPr="001C6160">
        <w:rPr>
          <w:rtl/>
        </w:rPr>
        <w:t xml:space="preserve"> نشاط التداخل خلال عام</w:t>
      </w:r>
      <w:r>
        <w:rPr>
          <w:rtl/>
        </w:rPr>
        <w:t> </w:t>
      </w:r>
      <w:r>
        <w:t>2026</w:t>
      </w:r>
      <w:r w:rsidRPr="001C6160">
        <w:rPr>
          <w:rtl/>
        </w:rPr>
        <w:t>. وتُظهر بيانات المراقبة التجارية أن الربع الأول من عام</w:t>
      </w:r>
      <w:r>
        <w:rPr>
          <w:rtl/>
        </w:rPr>
        <w:t> </w:t>
      </w:r>
      <w:r>
        <w:t>2026</w:t>
      </w:r>
      <w:r w:rsidRPr="001C6160">
        <w:rPr>
          <w:rtl/>
        </w:rPr>
        <w:t xml:space="preserve"> سجَّل أعلى كثافة لحالات التداخل على نظام GNSS البحري حتى الآن، حيث وقعت</w:t>
      </w:r>
      <w:r>
        <w:rPr>
          <w:rtl/>
        </w:rPr>
        <w:t> </w:t>
      </w:r>
      <w:r>
        <w:t>98</w:t>
      </w:r>
      <w:r w:rsidRPr="001C6160">
        <w:rPr>
          <w:rtl/>
        </w:rPr>
        <w:t xml:space="preserve"> في</w:t>
      </w:r>
      <w:r>
        <w:rPr>
          <w:rtl/>
        </w:rPr>
        <w:t> </w:t>
      </w:r>
      <w:r w:rsidRPr="001C6160">
        <w:rPr>
          <w:rtl/>
        </w:rPr>
        <w:t>المائة منها في منطقة الخليج</w:t>
      </w:r>
      <w:r w:rsidRPr="00987AAF">
        <w:rPr>
          <w:rStyle w:val="FootnoteReference"/>
        </w:rPr>
        <w:footnoteReference w:id="25"/>
      </w:r>
      <w:r w:rsidRPr="001C6160">
        <w:rPr>
          <w:rtl/>
        </w:rPr>
        <w:t>. وأشارت تقارير إعلامية أيضاً إلى حدوث اضطرابات أثرت على أنظمة الملاحة عبر GNSS، ولا</w:t>
      </w:r>
      <w:r>
        <w:rPr>
          <w:rtl/>
        </w:rPr>
        <w:t> </w:t>
      </w:r>
      <w:r w:rsidRPr="001C6160">
        <w:rPr>
          <w:rtl/>
        </w:rPr>
        <w:t xml:space="preserve">سيما مستقبلات النظام العالمي لتحديد المواقع </w:t>
      </w:r>
      <w:r w:rsidRPr="001C6160">
        <w:t>(GPS)</w:t>
      </w:r>
      <w:r w:rsidRPr="001C6160">
        <w:rPr>
          <w:rtl/>
        </w:rPr>
        <w:t xml:space="preserve"> التي يستخدمها العاملون في قطاعات الملاحة البحرية والطيران والنقل البري</w:t>
      </w:r>
      <w:r w:rsidRPr="00987AAF">
        <w:rPr>
          <w:rStyle w:val="FootnoteReference"/>
        </w:rPr>
        <w:footnoteReference w:id="26"/>
      </w:r>
      <w:r w:rsidRPr="001C6160">
        <w:rPr>
          <w:rtl/>
        </w:rPr>
        <w:t>.</w:t>
      </w:r>
    </w:p>
    <w:p w14:paraId="51070968" w14:textId="77777777" w:rsidR="000C1714" w:rsidRPr="007A2824" w:rsidRDefault="000C1714" w:rsidP="000C1714">
      <w:pPr>
        <w:rPr>
          <w:spacing w:val="-2"/>
          <w:rtl/>
        </w:rPr>
      </w:pPr>
      <w:r w:rsidRPr="007A2824">
        <w:rPr>
          <w:spacing w:val="-2"/>
          <w:rtl/>
        </w:rPr>
        <w:t>وقد أثرت الاضطرابات المبلغ عنها على خدمات تحديد المواقع والملاحة والتوقيت التي يستخدمها العاملون في قطاعات الملاحة البحرية والطيران والنقل البري. وقد يؤدي ارتفاع مستويات التداخل إلى زيادة المخاطر التشغيلية في القطاعات التي تعتمد على الإشارات الدقيقة والموثوقة من النظام العالمي للملاحة الساتلية، بما في ذلك شبكات النقل والاتصالات</w:t>
      </w:r>
      <w:r w:rsidRPr="007A2824">
        <w:rPr>
          <w:rStyle w:val="FootnoteReference"/>
          <w:spacing w:val="-2"/>
        </w:rPr>
        <w:footnoteReference w:id="27"/>
      </w:r>
      <w:r w:rsidRPr="007A2824">
        <w:rPr>
          <w:spacing w:val="-2"/>
          <w:rtl/>
        </w:rPr>
        <w:t xml:space="preserve"> </w:t>
      </w:r>
    </w:p>
    <w:p w14:paraId="6D44B549" w14:textId="397FF11F" w:rsidR="008F773C" w:rsidRPr="008F773C" w:rsidRDefault="00AC1815" w:rsidP="00EA2E3B">
      <w:pPr>
        <w:pStyle w:val="Heading2"/>
        <w:rPr>
          <w:lang w:bidi="ar-SA"/>
        </w:rPr>
      </w:pPr>
      <w:r>
        <w:rPr>
          <w:lang w:bidi="ar-SA"/>
        </w:rPr>
        <w:lastRenderedPageBreak/>
        <w:t>1.3</w:t>
      </w:r>
      <w:r w:rsidR="008F773C" w:rsidRPr="008F773C">
        <w:rPr>
          <w:rtl/>
          <w:lang w:bidi="ar-SA"/>
        </w:rPr>
        <w:tab/>
      </w:r>
      <w:r w:rsidR="00EA2E3B" w:rsidRPr="00EA2E3B">
        <w:rPr>
          <w:rtl/>
          <w:lang w:bidi="ar-SA"/>
        </w:rPr>
        <w:t>جهود الاتحاد بشأن معالجة التداخل المتزايد على الأنظمة العالمية للملاحة الساتلية (GNSS)</w:t>
      </w:r>
    </w:p>
    <w:p w14:paraId="26993777" w14:textId="77777777" w:rsidR="00EA2E3B" w:rsidRPr="001C6160" w:rsidRDefault="00EA2E3B" w:rsidP="00EA2E3B">
      <w:pPr>
        <w:rPr>
          <w:rtl/>
        </w:rPr>
      </w:pPr>
      <w:r w:rsidRPr="001C6160">
        <w:rPr>
          <w:rtl/>
        </w:rPr>
        <w:t>إدراكاً لاستفحال المشكلة وأهميتها الدولية، طلبت لجنة لوائح الراديو من مكتب الاتصالات الراديوية إنشاء صفحة ويب عامة تتضمن معلومات عن الحالات المبلَّغ عنها، والأحكام التنظيمية وقرارات لجنة لوائح الراديو المَرعية</w:t>
      </w:r>
      <w:r w:rsidRPr="00987AAF">
        <w:rPr>
          <w:rStyle w:val="FootnoteReference"/>
        </w:rPr>
        <w:footnoteReference w:id="28"/>
      </w:r>
      <w:r w:rsidRPr="00987AAF">
        <w:rPr>
          <w:rtl/>
        </w:rPr>
        <w:t>.</w:t>
      </w:r>
      <w:r w:rsidRPr="001C6160">
        <w:rPr>
          <w:rtl/>
        </w:rPr>
        <w:t xml:space="preserve"> وأيدت لجنة لوائح الراديو أيضاً استمرار جهود الإبلاغ والتنسيق، مشددةً على أن التداخل الضار على إشارات النظام العالمي للملاحة الساتلية لا يشكل خطراً على أنظمة الاتصالات الراديوية الوطنية فحسب، بل على النقل والملاحة والسلامة على الصعيد الدولي أيضاً</w:t>
      </w:r>
      <w:r w:rsidRPr="001C6160">
        <w:t>.</w:t>
      </w:r>
    </w:p>
    <w:p w14:paraId="5EF1A99E" w14:textId="77777777" w:rsidR="00EA2E3B" w:rsidRPr="00EA2E3B" w:rsidRDefault="00EA2E3B" w:rsidP="00EA2E3B">
      <w:pPr>
        <w:rPr>
          <w:spacing w:val="-2"/>
          <w:rtl/>
        </w:rPr>
      </w:pPr>
      <w:r w:rsidRPr="00EA2E3B">
        <w:rPr>
          <w:spacing w:val="-2"/>
          <w:rtl/>
        </w:rPr>
        <w:t>وبحلول عام </w:t>
      </w:r>
      <w:r w:rsidRPr="00EA2E3B">
        <w:rPr>
          <w:spacing w:val="-2"/>
        </w:rPr>
        <w:t>2026</w:t>
      </w:r>
      <w:r w:rsidRPr="00EA2E3B">
        <w:rPr>
          <w:spacing w:val="-2"/>
          <w:rtl/>
        </w:rPr>
        <w:t xml:space="preserve">، استمرت لجنة لوائح الراديو في تلقي تقارير عن التشويش وانتحال الهوية في النظام العالمي للملاحة الساتلية. وفي حين أظهرت بعض الحالات الفردية </w:t>
      </w:r>
      <w:r w:rsidRPr="00EA2E3B">
        <w:rPr>
          <w:spacing w:val="-2"/>
          <w:rtl/>
          <w:lang w:bidi="ar"/>
        </w:rPr>
        <w:t xml:space="preserve">مؤشرات على التحسن بفضل </w:t>
      </w:r>
      <w:r w:rsidRPr="00EA2E3B">
        <w:rPr>
          <w:spacing w:val="-2"/>
          <w:rtl/>
        </w:rPr>
        <w:t xml:space="preserve">الحوار والتدابير التشغيلية، خلصت لجنة لوائح الراديو إلى أن التداخل الضار على خدمة الملاحة الراديوية الساتلية لا يزال </w:t>
      </w:r>
      <w:r w:rsidRPr="00EA2E3B">
        <w:rPr>
          <w:spacing w:val="-2"/>
          <w:rtl/>
          <w:lang w:bidi="ar"/>
        </w:rPr>
        <w:t xml:space="preserve">مشكلة كبيرة </w:t>
      </w:r>
      <w:r w:rsidRPr="00EA2E3B">
        <w:rPr>
          <w:spacing w:val="-2"/>
          <w:rtl/>
        </w:rPr>
        <w:t xml:space="preserve">غير محلولة تتطلب </w:t>
      </w:r>
      <w:r w:rsidRPr="00EA2E3B">
        <w:rPr>
          <w:spacing w:val="-2"/>
          <w:rtl/>
          <w:lang w:bidi="ar"/>
        </w:rPr>
        <w:t>مواصلة التعاون الدولي</w:t>
      </w:r>
      <w:r w:rsidRPr="00EA2E3B">
        <w:rPr>
          <w:spacing w:val="-2"/>
          <w:rtl/>
        </w:rPr>
        <w:t xml:space="preserve">. وأكدت لجنة لوائح الراديو </w:t>
      </w:r>
      <w:r w:rsidRPr="00EA2E3B">
        <w:rPr>
          <w:spacing w:val="-2"/>
          <w:rtl/>
          <w:lang w:bidi="ar"/>
        </w:rPr>
        <w:t xml:space="preserve">باستمرار، طوال مداولاتها، </w:t>
      </w:r>
      <w:r w:rsidRPr="00EA2E3B">
        <w:rPr>
          <w:spacing w:val="-2"/>
          <w:rtl/>
        </w:rPr>
        <w:t xml:space="preserve">على ضرورة أن تعمل الإدارات </w:t>
      </w:r>
      <w:r w:rsidRPr="00EA2E3B">
        <w:rPr>
          <w:spacing w:val="-2"/>
          <w:rtl/>
          <w:lang w:bidi="ar"/>
        </w:rPr>
        <w:t xml:space="preserve">معاً </w:t>
      </w:r>
      <w:r w:rsidRPr="00EA2E3B">
        <w:rPr>
          <w:spacing w:val="-2"/>
          <w:rtl/>
        </w:rPr>
        <w:t xml:space="preserve">للتحقيق في الحوادث وتسوية حالات التداخل الضار على </w:t>
      </w:r>
      <w:r w:rsidRPr="00EA2E3B">
        <w:rPr>
          <w:spacing w:val="-2"/>
          <w:rtl/>
          <w:lang w:bidi="ar"/>
        </w:rPr>
        <w:t xml:space="preserve">وجه السرعة، وحماية </w:t>
      </w:r>
      <w:r w:rsidRPr="00EA2E3B">
        <w:rPr>
          <w:spacing w:val="-2"/>
          <w:rtl/>
        </w:rPr>
        <w:t>سلامة أنظمة الملاحة الساتلية التي تدعم التطبيقات الحرجة في مجال الملاحة والتوقيت والسلامة.</w:t>
      </w:r>
    </w:p>
    <w:p w14:paraId="7E7D0385" w14:textId="464C9292" w:rsidR="008F773C" w:rsidRPr="008F773C" w:rsidRDefault="008F773C" w:rsidP="00EA2E3B">
      <w:pPr>
        <w:pStyle w:val="Heading1"/>
      </w:pPr>
      <w:r w:rsidRPr="008F773C">
        <w:rPr>
          <w:lang w:bidi="ar-SA"/>
        </w:rPr>
        <w:t>4</w:t>
      </w:r>
      <w:r w:rsidRPr="008F773C">
        <w:rPr>
          <w:rtl/>
          <w:lang w:bidi="ar-SA"/>
        </w:rPr>
        <w:tab/>
      </w:r>
      <w:r w:rsidR="00EA2E3B" w:rsidRPr="00EA2E3B">
        <w:rPr>
          <w:rtl/>
          <w:lang w:bidi="ar-SA"/>
        </w:rPr>
        <w:t>المخاطر التي تهدد الكبلات البحرية والشبكة الفقرية للإنترنت</w:t>
      </w:r>
    </w:p>
    <w:p w14:paraId="42C63EA6" w14:textId="0CA22402" w:rsidR="00916E51" w:rsidRPr="00BB2C38" w:rsidRDefault="00916E51" w:rsidP="00916E51">
      <w:pPr>
        <w:rPr>
          <w:spacing w:val="-2"/>
        </w:rPr>
      </w:pPr>
      <w:r w:rsidRPr="00BB2C38">
        <w:rPr>
          <w:spacing w:val="-2"/>
          <w:rtl/>
        </w:rPr>
        <w:t>إن المساهمة المشتركة المقدَّمة من البحرين والكويت والإمارات العربية المتحدة والأردن إلى المجلس في دورته لعام </w:t>
      </w:r>
      <w:r w:rsidRPr="00BB2C38">
        <w:rPr>
          <w:spacing w:val="-2"/>
        </w:rPr>
        <w:t>2026</w:t>
      </w:r>
      <w:r w:rsidRPr="00BB2C38">
        <w:rPr>
          <w:spacing w:val="-2"/>
          <w:rtl/>
        </w:rPr>
        <w:t xml:space="preserve"> (القرار </w:t>
      </w:r>
      <w:r w:rsidRPr="00BB2C38">
        <w:rPr>
          <w:spacing w:val="-2"/>
        </w:rPr>
        <w:t>1436</w:t>
      </w:r>
      <w:r w:rsidRPr="00BB2C38">
        <w:rPr>
          <w:spacing w:val="-2"/>
          <w:rtl/>
        </w:rPr>
        <w:t xml:space="preserve"> الآن) تشير إلى وقوع ضربات مباشرة على محطة توصيل الكبلات البحرية بالشبكة الأرضية في الإمارات العربية المتحدة في </w:t>
      </w:r>
      <w:r w:rsidRPr="00BB2C38">
        <w:rPr>
          <w:spacing w:val="-2"/>
        </w:rPr>
        <w:t>31</w:t>
      </w:r>
      <w:r w:rsidRPr="00BB2C38">
        <w:rPr>
          <w:spacing w:val="-2"/>
          <w:rtl/>
        </w:rPr>
        <w:t> مارس و</w:t>
      </w:r>
      <w:r w:rsidRPr="00BB2C38">
        <w:rPr>
          <w:spacing w:val="-2"/>
        </w:rPr>
        <w:t>6</w:t>
      </w:r>
      <w:r w:rsidRPr="00BB2C38">
        <w:rPr>
          <w:spacing w:val="-2"/>
          <w:rtl/>
        </w:rPr>
        <w:t> أبريل </w:t>
      </w:r>
      <w:r w:rsidRPr="00BB2C38">
        <w:rPr>
          <w:spacing w:val="-2"/>
        </w:rPr>
        <w:t>2026</w:t>
      </w:r>
      <w:r w:rsidRPr="00BB2C38">
        <w:rPr>
          <w:spacing w:val="-2"/>
          <w:rtl/>
        </w:rPr>
        <w:t>. وفي حين سيجري تقييم أثر الهجمات على محطة توصيل الكبلات البحرية بالشبكة الأرضية في</w:t>
      </w:r>
      <w:r w:rsidR="00FD4EBF">
        <w:rPr>
          <w:rFonts w:hint="cs"/>
          <w:spacing w:val="-2"/>
          <w:rtl/>
        </w:rPr>
        <w:t> </w:t>
      </w:r>
      <w:r w:rsidRPr="00BB2C38">
        <w:rPr>
          <w:spacing w:val="-2"/>
        </w:rPr>
        <w:t>31</w:t>
      </w:r>
      <w:r w:rsidRPr="00BB2C38">
        <w:rPr>
          <w:spacing w:val="-2"/>
          <w:rtl/>
        </w:rPr>
        <w:t> مارس و</w:t>
      </w:r>
      <w:r w:rsidRPr="00BB2C38">
        <w:rPr>
          <w:spacing w:val="-2"/>
        </w:rPr>
        <w:t>6</w:t>
      </w:r>
      <w:r w:rsidRPr="00BB2C38">
        <w:rPr>
          <w:spacing w:val="-2"/>
          <w:rtl/>
        </w:rPr>
        <w:t> أبريل في الخطوات التالية من هذا التقرير، فمن الأهمية بمكان رفع مستوى الوعي بهذه المخاطر في</w:t>
      </w:r>
      <w:r w:rsidR="00BB4F65">
        <w:rPr>
          <w:rFonts w:hint="cs"/>
          <w:spacing w:val="-2"/>
          <w:rtl/>
        </w:rPr>
        <w:t> </w:t>
      </w:r>
      <w:r w:rsidRPr="00BB2C38">
        <w:rPr>
          <w:spacing w:val="-2"/>
          <w:rtl/>
        </w:rPr>
        <w:t xml:space="preserve">المنطقة وضمان حماية الشبكة </w:t>
      </w:r>
      <w:r w:rsidRPr="00BB2C38">
        <w:rPr>
          <w:b/>
          <w:spacing w:val="-2"/>
          <w:rtl/>
        </w:rPr>
        <w:t xml:space="preserve">الفقرية </w:t>
      </w:r>
      <w:r w:rsidRPr="00BB2C38">
        <w:rPr>
          <w:spacing w:val="-2"/>
          <w:rtl/>
        </w:rPr>
        <w:t>للإنترنت في المنطقة.</w:t>
      </w:r>
    </w:p>
    <w:p w14:paraId="4A5E4F21" w14:textId="77777777" w:rsidR="00916E51" w:rsidRPr="001C6160" w:rsidRDefault="00916E51" w:rsidP="00916E51">
      <w:r w:rsidRPr="001C6160">
        <w:rPr>
          <w:rtl/>
        </w:rPr>
        <w:t>وتشير تقييمات دوائر الصناعة</w:t>
      </w:r>
      <w:bookmarkStart w:id="7" w:name="_Ref242719535"/>
      <w:r w:rsidRPr="00987AAF">
        <w:rPr>
          <w:rStyle w:val="FootnoteReference"/>
        </w:rPr>
        <w:footnoteReference w:id="29"/>
      </w:r>
      <w:bookmarkEnd w:id="7"/>
      <w:r w:rsidRPr="001C6160">
        <w:rPr>
          <w:rtl/>
        </w:rPr>
        <w:t xml:space="preserve"> إلى أن الكبلات البحرية تمثل المصدر الرئيسي للتوصيلية الدولية لدول الخليج على الرغم من وجود مسارات أرضية في منطقة الخليج.</w:t>
      </w:r>
    </w:p>
    <w:p w14:paraId="1F0E8340" w14:textId="0E0CFA04" w:rsidR="00916E51" w:rsidRPr="001C6160" w:rsidRDefault="00916E51" w:rsidP="00916E51">
      <w:r w:rsidRPr="001C6160">
        <w:rPr>
          <w:rtl/>
        </w:rPr>
        <w:t>وكما أشارت شركة TeleGeography</w:t>
      </w:r>
      <w:r w:rsidRPr="00A563CA">
        <w:rPr>
          <w:sz w:val="2"/>
          <w:szCs w:val="2"/>
          <w:rtl/>
        </w:rPr>
        <w:t> </w:t>
      </w:r>
      <w:r w:rsidRPr="00744A43">
        <w:rPr>
          <w:position w:val="6"/>
          <w:sz w:val="18"/>
          <w:szCs w:val="18"/>
          <w:rtl/>
        </w:rPr>
        <w:fldChar w:fldCharType="begin"/>
      </w:r>
      <w:r w:rsidRPr="00744A43">
        <w:rPr>
          <w:position w:val="6"/>
          <w:sz w:val="18"/>
          <w:szCs w:val="18"/>
          <w:rtl/>
        </w:rPr>
        <w:instrText xml:space="preserve"> </w:instrText>
      </w:r>
      <w:r w:rsidRPr="00744A43">
        <w:rPr>
          <w:position w:val="6"/>
          <w:sz w:val="18"/>
          <w:szCs w:val="18"/>
        </w:rPr>
        <w:instrText>NOTEREF _Ref242118896 \h  \* MERGEFORMAT</w:instrText>
      </w:r>
      <w:r w:rsidRPr="00744A43">
        <w:rPr>
          <w:position w:val="6"/>
          <w:sz w:val="18"/>
          <w:szCs w:val="18"/>
          <w:rtl/>
        </w:rPr>
        <w:instrText xml:space="preserve"> </w:instrText>
      </w:r>
      <w:r w:rsidRPr="00744A43">
        <w:rPr>
          <w:position w:val="6"/>
          <w:sz w:val="18"/>
          <w:szCs w:val="18"/>
          <w:rtl/>
        </w:rPr>
      </w:r>
      <w:r w:rsidRPr="00744A43">
        <w:rPr>
          <w:position w:val="6"/>
          <w:sz w:val="18"/>
          <w:szCs w:val="18"/>
          <w:rtl/>
        </w:rPr>
        <w:fldChar w:fldCharType="separate"/>
      </w:r>
      <w:r w:rsidRPr="00744A43">
        <w:rPr>
          <w:position w:val="6"/>
          <w:sz w:val="18"/>
          <w:szCs w:val="18"/>
          <w:rtl/>
        </w:rPr>
        <w:fldChar w:fldCharType="begin"/>
      </w:r>
      <w:r w:rsidRPr="00744A43">
        <w:rPr>
          <w:position w:val="6"/>
          <w:sz w:val="18"/>
          <w:szCs w:val="18"/>
          <w:rtl/>
        </w:rPr>
        <w:instrText xml:space="preserve"> </w:instrText>
      </w:r>
      <w:r w:rsidRPr="00744A43">
        <w:rPr>
          <w:position w:val="6"/>
          <w:sz w:val="18"/>
          <w:szCs w:val="18"/>
        </w:rPr>
        <w:instrText>NOTEREF _Ref242719535 \h</w:instrText>
      </w:r>
      <w:r w:rsidRPr="00744A43">
        <w:rPr>
          <w:position w:val="6"/>
          <w:sz w:val="18"/>
          <w:szCs w:val="18"/>
          <w:rtl/>
        </w:rPr>
        <w:instrText xml:space="preserve">  \* </w:instrText>
      </w:r>
      <w:r w:rsidRPr="00744A43">
        <w:rPr>
          <w:position w:val="6"/>
          <w:sz w:val="18"/>
          <w:szCs w:val="18"/>
        </w:rPr>
        <w:instrText>MERGEFORMAT</w:instrText>
      </w:r>
      <w:r w:rsidRPr="00744A43">
        <w:rPr>
          <w:position w:val="6"/>
          <w:sz w:val="18"/>
          <w:szCs w:val="18"/>
          <w:rtl/>
        </w:rPr>
        <w:instrText xml:space="preserve"> </w:instrText>
      </w:r>
      <w:r w:rsidRPr="00744A43">
        <w:rPr>
          <w:position w:val="6"/>
          <w:sz w:val="18"/>
          <w:szCs w:val="18"/>
          <w:rtl/>
        </w:rPr>
      </w:r>
      <w:r w:rsidRPr="00744A43">
        <w:rPr>
          <w:position w:val="6"/>
          <w:sz w:val="18"/>
          <w:szCs w:val="18"/>
          <w:rtl/>
        </w:rPr>
        <w:fldChar w:fldCharType="separate"/>
      </w:r>
      <w:r w:rsidRPr="00744A43">
        <w:rPr>
          <w:position w:val="6"/>
          <w:sz w:val="18"/>
          <w:szCs w:val="18"/>
        </w:rPr>
        <w:t>29</w:t>
      </w:r>
      <w:r w:rsidRPr="00744A43">
        <w:rPr>
          <w:position w:val="6"/>
          <w:sz w:val="18"/>
          <w:szCs w:val="18"/>
          <w:rtl/>
        </w:rPr>
        <w:fldChar w:fldCharType="end"/>
      </w:r>
      <w:r w:rsidRPr="00744A43">
        <w:rPr>
          <w:position w:val="6"/>
          <w:sz w:val="18"/>
          <w:szCs w:val="18"/>
          <w:rtl/>
        </w:rPr>
        <w:fldChar w:fldCharType="end"/>
      </w:r>
      <w:r>
        <w:rPr>
          <w:rtl/>
        </w:rPr>
        <w:t>،</w:t>
      </w:r>
      <w:r w:rsidRPr="001C6160">
        <w:rPr>
          <w:rtl/>
        </w:rPr>
        <w:t xml:space="preserve"> "قد لا تكفي سعة الشبكات الأرضية للتعامل مع إعادة تسيير الحركة بالكامل إذا</w:t>
      </w:r>
      <w:r w:rsidR="00BB4F65">
        <w:rPr>
          <w:rFonts w:hint="cs"/>
          <w:rtl/>
        </w:rPr>
        <w:t> </w:t>
      </w:r>
      <w:r w:rsidRPr="001C6160">
        <w:rPr>
          <w:rtl/>
        </w:rPr>
        <w:t>تضررت الأنظمة البحرية في الخليج. والشبكات الأرضية ليست بديلاً مثاليًا للأنظمة تحت سطح البحر، وهي ليست محصنة ضد الأضرار الناجمة عن الأعمال العدائية نفسها." وعلى وجه الخصوص، يلاحَظ بالنسبة للكويت أن "هذه البلدان لديها توصيلات شبكية أرضية بالمملكة العربية السعودية، في حين أن الكويت موصولة أيضاً بالعراق. وتتيح هذه المسارات الأرضية مواصلة التوصيل ببقية أصقاع العالم"</w:t>
      </w:r>
      <w:r w:rsidRPr="00EE6FB2">
        <w:rPr>
          <w:position w:val="6"/>
          <w:sz w:val="18"/>
          <w:szCs w:val="18"/>
        </w:rPr>
        <w:fldChar w:fldCharType="begin"/>
      </w:r>
      <w:r w:rsidRPr="00744A43">
        <w:rPr>
          <w:position w:val="6"/>
          <w:sz w:val="18"/>
          <w:szCs w:val="18"/>
        </w:rPr>
        <w:instrText xml:space="preserve"> NOTEREF _Ref242719535 \h  \* MERGEFORMAT </w:instrText>
      </w:r>
      <w:r w:rsidRPr="00EE6FB2">
        <w:rPr>
          <w:position w:val="6"/>
          <w:sz w:val="18"/>
          <w:szCs w:val="18"/>
        </w:rPr>
      </w:r>
      <w:r w:rsidRPr="00EE6FB2">
        <w:rPr>
          <w:position w:val="6"/>
          <w:sz w:val="18"/>
          <w:szCs w:val="18"/>
        </w:rPr>
        <w:fldChar w:fldCharType="separate"/>
      </w:r>
      <w:r w:rsidRPr="00744A43">
        <w:rPr>
          <w:position w:val="6"/>
          <w:sz w:val="18"/>
          <w:szCs w:val="18"/>
        </w:rPr>
        <w:t>29</w:t>
      </w:r>
      <w:r w:rsidRPr="00EE6FB2">
        <w:rPr>
          <w:position w:val="6"/>
          <w:sz w:val="18"/>
          <w:szCs w:val="18"/>
        </w:rPr>
        <w:fldChar w:fldCharType="end"/>
      </w:r>
      <w:r w:rsidRPr="001C6160">
        <w:rPr>
          <w:rtl/>
        </w:rPr>
        <w:t>.</w:t>
      </w:r>
    </w:p>
    <w:p w14:paraId="0ACDF510" w14:textId="77777777" w:rsidR="00916E51" w:rsidRPr="001C6160" w:rsidRDefault="00916E51" w:rsidP="00916E51">
      <w:r w:rsidRPr="001C6160">
        <w:rPr>
          <w:rtl/>
        </w:rPr>
        <w:t>والإمارات العربية المتحدة أقدر على الثبات في وجه أي اضطرابات تعصف بالكبلات البحرية، وذلك بفضل ما لديها من توصيلات أرضية أيضاً مع البلدان المجاورة، بالإضافة إلى وجود عدة كبلات بحرية توصَّل بالشبكة الأرضية في إمارة الفجيرة المطلة على خليج عُمان. وهذا يجعل الإمارات العربية المتحدة أقدر على الصمود في حال تعطل تلك الكبلات.</w:t>
      </w:r>
    </w:p>
    <w:p w14:paraId="1A3F0CE1" w14:textId="28157B09" w:rsidR="00916E51" w:rsidRPr="00425093" w:rsidRDefault="00916E51" w:rsidP="00916E51">
      <w:pPr>
        <w:rPr>
          <w:spacing w:val="-4"/>
        </w:rPr>
      </w:pPr>
      <w:r w:rsidRPr="00425093">
        <w:rPr>
          <w:spacing w:val="-4"/>
          <w:rtl/>
        </w:rPr>
        <w:t>ولكن وفقاً للمصدر</w:t>
      </w:r>
      <w:r w:rsidRPr="00425093">
        <w:rPr>
          <w:rStyle w:val="FootnoteReference"/>
          <w:spacing w:val="-4"/>
        </w:rPr>
        <w:fldChar w:fldCharType="begin"/>
      </w:r>
      <w:r w:rsidRPr="00425093">
        <w:rPr>
          <w:rStyle w:val="FootnoteReference"/>
          <w:spacing w:val="-4"/>
        </w:rPr>
        <w:instrText xml:space="preserve"> NOTEREF _Ref242719535 \h  \* MERGEFORMAT </w:instrText>
      </w:r>
      <w:r w:rsidRPr="00425093">
        <w:rPr>
          <w:rStyle w:val="FootnoteReference"/>
          <w:spacing w:val="-4"/>
        </w:rPr>
      </w:r>
      <w:r w:rsidRPr="00425093">
        <w:rPr>
          <w:rStyle w:val="FootnoteReference"/>
          <w:spacing w:val="-4"/>
        </w:rPr>
        <w:fldChar w:fldCharType="separate"/>
      </w:r>
      <w:r w:rsidRPr="00425093">
        <w:rPr>
          <w:rStyle w:val="FootnoteReference"/>
          <w:spacing w:val="-4"/>
        </w:rPr>
        <w:t>29</w:t>
      </w:r>
      <w:r w:rsidRPr="00425093">
        <w:rPr>
          <w:rStyle w:val="FootnoteReference"/>
          <w:spacing w:val="-4"/>
        </w:rPr>
        <w:fldChar w:fldCharType="end"/>
      </w:r>
      <w:r w:rsidRPr="00425093">
        <w:rPr>
          <w:spacing w:val="-4"/>
          <w:rtl/>
        </w:rPr>
        <w:t>، وعلى الرغم من أن أياً من هذه البلدان لا يعتمد كلياً على الكبلات البحرية لتأمين التوصيلية الدولية، فإن الشبكات الأرضية قد تفتقر إلى السعة اللازمة للتعامل مع إعادة تسيير الحركة بالكامل إذا تضررت الكبلات البحرية في الخليج</w:t>
      </w:r>
      <w:r w:rsidR="007E43B7" w:rsidRPr="00425093">
        <w:rPr>
          <w:rFonts w:hint="cs"/>
          <w:spacing w:val="-4"/>
          <w:rtl/>
        </w:rPr>
        <w:t xml:space="preserve"> </w:t>
      </w:r>
      <w:r w:rsidR="006B3924" w:rsidRPr="00425093">
        <w:rPr>
          <w:rFonts w:hint="cs"/>
          <w:spacing w:val="-4"/>
          <w:rtl/>
        </w:rPr>
        <w:t>الفارسي</w:t>
      </w:r>
      <w:r w:rsidR="007E43B7" w:rsidRPr="00425093">
        <w:rPr>
          <w:rFonts w:hint="cs"/>
          <w:spacing w:val="-4"/>
          <w:rtl/>
        </w:rPr>
        <w:t>.</w:t>
      </w:r>
    </w:p>
    <w:p w14:paraId="691E1D17" w14:textId="1D3631FB" w:rsidR="008F773C" w:rsidRPr="008F773C" w:rsidRDefault="008F773C" w:rsidP="006B15B6">
      <w:pPr>
        <w:pStyle w:val="Heading1"/>
        <w:rPr>
          <w:lang w:bidi="ar-SA"/>
        </w:rPr>
      </w:pPr>
      <w:r w:rsidRPr="008F773C">
        <w:rPr>
          <w:lang w:bidi="ar-SA"/>
        </w:rPr>
        <w:lastRenderedPageBreak/>
        <w:t>5</w:t>
      </w:r>
      <w:r w:rsidRPr="008F773C">
        <w:rPr>
          <w:rtl/>
          <w:lang w:bidi="ar-SA"/>
        </w:rPr>
        <w:tab/>
        <w:t>الأثر على برامج الاتحاد</w:t>
      </w:r>
    </w:p>
    <w:p w14:paraId="241794EA" w14:textId="77777777" w:rsidR="00916E51" w:rsidRPr="001C6160" w:rsidRDefault="00916E51" w:rsidP="00916E51">
      <w:pPr>
        <w:keepNext/>
        <w:keepLines/>
      </w:pPr>
      <w:r w:rsidRPr="001C6160">
        <w:rPr>
          <w:rtl/>
        </w:rPr>
        <w:t>نتيجة للنزاع، تأثرت البرامج التالية للاتحاد:</w:t>
      </w:r>
    </w:p>
    <w:p w14:paraId="3E7A2EA9" w14:textId="77777777" w:rsidR="00916E51" w:rsidRPr="001C6160" w:rsidRDefault="00916E51" w:rsidP="00916E51">
      <w:pPr>
        <w:pStyle w:val="enumlev1"/>
        <w:keepNext/>
        <w:keepLines/>
      </w:pPr>
      <w:bookmarkStart w:id="8" w:name="_Ref240587414"/>
      <w:r>
        <w:sym w:font="Symbol" w:char="F0B7"/>
      </w:r>
      <w:r>
        <w:rPr>
          <w:rtl/>
        </w:rPr>
        <w:tab/>
      </w:r>
      <w:r w:rsidRPr="001C6160">
        <w:rPr>
          <w:rtl/>
        </w:rPr>
        <w:t>كان من المخطط إجراء التدريب السيبراني العالمي للاتحاد في دبي في الفترة بين</w:t>
      </w:r>
      <w:r>
        <w:rPr>
          <w:rtl/>
        </w:rPr>
        <w:t> </w:t>
      </w:r>
      <w:r>
        <w:t>5</w:t>
      </w:r>
      <w:r w:rsidRPr="001C6160">
        <w:rPr>
          <w:rtl/>
        </w:rPr>
        <w:t xml:space="preserve"> و</w:t>
      </w:r>
      <w:r>
        <w:t>7</w:t>
      </w:r>
      <w:r>
        <w:rPr>
          <w:rtl/>
        </w:rPr>
        <w:t> </w:t>
      </w:r>
      <w:r w:rsidRPr="001C6160">
        <w:rPr>
          <w:rtl/>
        </w:rPr>
        <w:t>مايو</w:t>
      </w:r>
      <w:r>
        <w:rPr>
          <w:rtl/>
        </w:rPr>
        <w:t> </w:t>
      </w:r>
      <w:r>
        <w:t>2026</w:t>
      </w:r>
      <w:r w:rsidRPr="001C6160">
        <w:rPr>
          <w:rtl/>
        </w:rPr>
        <w:t>، لكنه تأجل في البداية ثم ألغي لاحقاً</w:t>
      </w:r>
      <w:r w:rsidRPr="002C58E1">
        <w:rPr>
          <w:rStyle w:val="FootnoteReference"/>
        </w:rPr>
        <w:footnoteReference w:id="30"/>
      </w:r>
      <w:r w:rsidRPr="001C6160">
        <w:rPr>
          <w:rtl/>
        </w:rPr>
        <w:t>. وكان القرار الأولي بتأجيل الحدث يرتبط مباشرة بالنزاع الدائر في المنطقة، إذ</w:t>
      </w:r>
      <w:r>
        <w:rPr>
          <w:rtl/>
        </w:rPr>
        <w:t> </w:t>
      </w:r>
      <w:r w:rsidRPr="001C6160">
        <w:rPr>
          <w:rtl/>
        </w:rPr>
        <w:t>لم تتمكن العديد من البلدان من المشاركة بما فيها الكويت والأردن. وبما أن النزاع لا يزال قائماً، قرر الاتحاد لاحقاً إلغاء الحدث.</w:t>
      </w:r>
    </w:p>
    <w:p w14:paraId="705CE687" w14:textId="77777777" w:rsidR="00916E51" w:rsidRPr="001C6160" w:rsidRDefault="00916E51" w:rsidP="00916E51">
      <w:pPr>
        <w:pStyle w:val="enumlev1"/>
      </w:pPr>
      <w:r>
        <w:sym w:font="Symbol" w:char="F0B7"/>
      </w:r>
      <w:r>
        <w:rPr>
          <w:rtl/>
        </w:rPr>
        <w:tab/>
      </w:r>
      <w:r w:rsidRPr="001C6160">
        <w:rPr>
          <w:rtl/>
        </w:rPr>
        <w:t xml:space="preserve">أُجِّل المنتدى الإقليمي للتنمية لمنطقة الدول العربية </w:t>
      </w:r>
      <w:r w:rsidRPr="0099657C">
        <w:t>(RDF26-ARB)</w:t>
      </w:r>
      <w:r w:rsidRPr="001C6160">
        <w:rPr>
          <w:rtl/>
        </w:rPr>
        <w:t>، الذي كان من المخطط عقده في</w:t>
      </w:r>
      <w:r>
        <w:rPr>
          <w:rtl/>
        </w:rPr>
        <w:t> </w:t>
      </w:r>
      <w:r w:rsidRPr="001C6160">
        <w:rPr>
          <w:rtl/>
        </w:rPr>
        <w:t>الأردن، إلى عام</w:t>
      </w:r>
      <w:r>
        <w:rPr>
          <w:rtl/>
        </w:rPr>
        <w:t> </w:t>
      </w:r>
      <w:r>
        <w:t>2027</w:t>
      </w:r>
      <w:r w:rsidRPr="00EB0545">
        <w:rPr>
          <w:sz w:val="2"/>
          <w:szCs w:val="2"/>
          <w:rtl/>
        </w:rPr>
        <w:t> </w:t>
      </w:r>
      <w:r w:rsidRPr="002C58E1">
        <w:rPr>
          <w:rStyle w:val="FootnoteReference"/>
        </w:rPr>
        <w:footnoteReference w:id="31"/>
      </w:r>
      <w:r w:rsidRPr="001C6160">
        <w:rPr>
          <w:rtl/>
        </w:rPr>
        <w:t>. وأرجأ المكتب الإقليمي للاتحاد لمنطقة الدول العربية هذا الحدث بعد مشاورات مع الدول الأعضاء ودعوة أصحاب المصلحة إلى الاختيار بين عقد المنتدى افتراضياً في عام</w:t>
      </w:r>
      <w:r>
        <w:rPr>
          <w:rtl/>
        </w:rPr>
        <w:t> </w:t>
      </w:r>
      <w:r>
        <w:t>2026</w:t>
      </w:r>
      <w:r>
        <w:rPr>
          <w:rtl/>
        </w:rPr>
        <w:t xml:space="preserve"> </w:t>
      </w:r>
      <w:r w:rsidRPr="001C6160">
        <w:rPr>
          <w:rtl/>
        </w:rPr>
        <w:t>أو تأجيله إلى عام</w:t>
      </w:r>
      <w:r>
        <w:rPr>
          <w:rtl/>
        </w:rPr>
        <w:t> </w:t>
      </w:r>
      <w:r>
        <w:t>2027</w:t>
      </w:r>
      <w:r w:rsidRPr="001C6160">
        <w:rPr>
          <w:rtl/>
        </w:rPr>
        <w:t xml:space="preserve"> لعقد اجتماع بالحضور الشخصي. وتقرر تأجيل الحدث إلى عام</w:t>
      </w:r>
      <w:r>
        <w:rPr>
          <w:rtl/>
        </w:rPr>
        <w:t> </w:t>
      </w:r>
      <w:r>
        <w:t>2027</w:t>
      </w:r>
      <w:r w:rsidRPr="001C6160">
        <w:rPr>
          <w:rtl/>
        </w:rPr>
        <w:t>.</w:t>
      </w:r>
    </w:p>
    <w:p w14:paraId="3704C0C7" w14:textId="77777777" w:rsidR="00916E51" w:rsidRPr="001C6160" w:rsidRDefault="00916E51" w:rsidP="00916E51">
      <w:pPr>
        <w:pStyle w:val="enumlev1"/>
      </w:pPr>
      <w:r>
        <w:sym w:font="Symbol" w:char="F0B7"/>
      </w:r>
      <w:r>
        <w:rPr>
          <w:rtl/>
        </w:rPr>
        <w:tab/>
      </w:r>
      <w:r w:rsidRPr="001C6160">
        <w:rPr>
          <w:rtl/>
        </w:rPr>
        <w:t>أُجِّل الحوار الإقليمي العربي بشأن السياسات العامة والتنظيم إلى عام</w:t>
      </w:r>
      <w:r>
        <w:rPr>
          <w:rtl/>
        </w:rPr>
        <w:t> </w:t>
      </w:r>
      <w:r>
        <w:t>2027</w:t>
      </w:r>
      <w:r w:rsidRPr="00EB0545">
        <w:rPr>
          <w:sz w:val="2"/>
          <w:szCs w:val="2"/>
          <w:rtl/>
        </w:rPr>
        <w:t> </w:t>
      </w:r>
      <w:r w:rsidRPr="002C58E1">
        <w:rPr>
          <w:rStyle w:val="FootnoteReference"/>
        </w:rPr>
        <w:footnoteReference w:id="32"/>
      </w:r>
      <w:r w:rsidRPr="001C6160">
        <w:rPr>
          <w:rtl/>
        </w:rPr>
        <w:t xml:space="preserve"> لتمكين جميع البلدان من المشاركة، بما في ذلك البلدان الأربعة المذكورة في هذا القرار.</w:t>
      </w:r>
    </w:p>
    <w:p w14:paraId="635E1DAF" w14:textId="4E72C151" w:rsidR="008F773C" w:rsidRPr="008F773C" w:rsidRDefault="008F773C" w:rsidP="00916E51">
      <w:pPr>
        <w:pStyle w:val="Heading1"/>
        <w:rPr>
          <w:lang w:bidi="ar-SA"/>
        </w:rPr>
      </w:pPr>
      <w:r w:rsidRPr="008F773C">
        <w:rPr>
          <w:lang w:bidi="ar-SA"/>
        </w:rPr>
        <w:t>6</w:t>
      </w:r>
      <w:r w:rsidRPr="008F773C">
        <w:rPr>
          <w:rtl/>
          <w:lang w:bidi="ar-SA"/>
        </w:rPr>
        <w:tab/>
      </w:r>
      <w:bookmarkEnd w:id="8"/>
      <w:r w:rsidR="00916E51" w:rsidRPr="00916E51">
        <w:rPr>
          <w:rtl/>
          <w:lang w:bidi="ar-SA"/>
        </w:rPr>
        <w:t>الخطوات التالية للتقييم</w:t>
      </w:r>
    </w:p>
    <w:p w14:paraId="4D047AE0" w14:textId="77777777" w:rsidR="00916E51" w:rsidRPr="001C6160" w:rsidRDefault="00916E51" w:rsidP="00916E51">
      <w:r w:rsidRPr="001C6160">
        <w:rPr>
          <w:rtl/>
        </w:rPr>
        <w:t>من المخطط أن تغطي الخطوات التالية من التقييم الأنشطة التالية:</w:t>
      </w:r>
    </w:p>
    <w:p w14:paraId="3FEAB040" w14:textId="77777777" w:rsidR="00916E51" w:rsidRPr="001C6160" w:rsidRDefault="00916E51" w:rsidP="00916E51">
      <w:pPr>
        <w:pStyle w:val="enumlev1"/>
      </w:pPr>
      <w:r>
        <w:sym w:font="Symbol" w:char="F0B7"/>
      </w:r>
      <w:r>
        <w:rPr>
          <w:rtl/>
        </w:rPr>
        <w:tab/>
      </w:r>
      <w:r w:rsidRPr="001C6160">
        <w:rPr>
          <w:rtl/>
        </w:rPr>
        <w:t>جمع البيانات من المصادر الأولية، بما في ذلك مقابلات مع أصحاب المصلحة المعنيين في البلدان الأربعة.</w:t>
      </w:r>
    </w:p>
    <w:p w14:paraId="29786F07" w14:textId="4CBE5E93" w:rsidR="00916E51" w:rsidRPr="00916E51" w:rsidRDefault="00916E51" w:rsidP="00916E51">
      <w:pPr>
        <w:pStyle w:val="enumlev1"/>
        <w:rPr>
          <w:spacing w:val="-2"/>
        </w:rPr>
      </w:pPr>
      <w:r w:rsidRPr="00916E51">
        <w:rPr>
          <w:spacing w:val="-2"/>
        </w:rPr>
        <w:sym w:font="Symbol" w:char="F0B7"/>
      </w:r>
      <w:r w:rsidRPr="00916E51">
        <w:rPr>
          <w:spacing w:val="-2"/>
          <w:rtl/>
        </w:rPr>
        <w:tab/>
        <w:t>تحليل البيانات باستخدام منهجيات نوعية وكمية، بما في ذلك إمكانية تطبيق إطار تقييم الاحتياجات بعد الكارثة </w:t>
      </w:r>
      <w:r w:rsidRPr="00916E51">
        <w:rPr>
          <w:spacing w:val="-2"/>
        </w:rPr>
        <w:t>(PDNA)</w:t>
      </w:r>
      <w:r w:rsidRPr="00916E51">
        <w:rPr>
          <w:spacing w:val="-2"/>
          <w:sz w:val="2"/>
          <w:szCs w:val="2"/>
          <w:rtl/>
        </w:rPr>
        <w:t> </w:t>
      </w:r>
      <w:r w:rsidRPr="00916E51">
        <w:rPr>
          <w:rStyle w:val="FootnoteReference"/>
          <w:spacing w:val="-2"/>
        </w:rPr>
        <w:footnoteReference w:id="33"/>
      </w:r>
      <w:r w:rsidRPr="00916E51">
        <w:rPr>
          <w:spacing w:val="-2"/>
          <w:rtl/>
        </w:rPr>
        <w:t xml:space="preserve"> لتقييم الأضرار.</w:t>
      </w:r>
    </w:p>
    <w:p w14:paraId="0C4828FA" w14:textId="77777777" w:rsidR="00916E51" w:rsidRPr="001C6160" w:rsidRDefault="00916E51" w:rsidP="00916E51">
      <w:pPr>
        <w:pStyle w:val="enumlev1"/>
      </w:pPr>
      <w:r>
        <w:sym w:font="Symbol" w:char="F0B7"/>
      </w:r>
      <w:r>
        <w:rPr>
          <w:rtl/>
        </w:rPr>
        <w:tab/>
      </w:r>
      <w:r w:rsidRPr="001C6160">
        <w:rPr>
          <w:rtl/>
        </w:rPr>
        <w:t>استكمال تقييم الأثر على برامج الاتحاد في البحرين والكويت والإمارات العربية المتحدة والأردن.</w:t>
      </w:r>
    </w:p>
    <w:p w14:paraId="4758B298" w14:textId="00A6B775" w:rsidR="00916E51" w:rsidRPr="001C6160" w:rsidRDefault="00916E51" w:rsidP="00916E51">
      <w:pPr>
        <w:pStyle w:val="enumlev1"/>
      </w:pPr>
      <w:r>
        <w:sym w:font="Symbol" w:char="F0B7"/>
      </w:r>
      <w:r>
        <w:rPr>
          <w:rtl/>
        </w:rPr>
        <w:tab/>
      </w:r>
      <w:r w:rsidRPr="001C6160">
        <w:rPr>
          <w:rtl/>
        </w:rPr>
        <w:t>تقديم تقرير التقييم النهائي إلى دورة المجلس في عام</w:t>
      </w:r>
      <w:r>
        <w:rPr>
          <w:rtl/>
        </w:rPr>
        <w:t> </w:t>
      </w:r>
      <w:r>
        <w:t>2027</w:t>
      </w:r>
      <w:r w:rsidRPr="001C6160">
        <w:rPr>
          <w:rtl/>
        </w:rPr>
        <w:t>.</w:t>
      </w:r>
    </w:p>
    <w:p w14:paraId="29456592" w14:textId="762BB263" w:rsidR="005857F3" w:rsidRPr="00916E51" w:rsidRDefault="00916E51" w:rsidP="00916E51">
      <w:pPr>
        <w:spacing w:before="600"/>
        <w:jc w:val="center"/>
      </w:pPr>
      <w:r w:rsidRPr="00916E51">
        <w:rPr>
          <w:rFonts w:hint="cs"/>
          <w:rtl/>
        </w:rPr>
        <w:t>ــــــــــــــــــــــــــــــــــــــــــــــــــــــــــــــــــــــــــــــــــــــــــــــــ</w:t>
      </w:r>
    </w:p>
    <w:sectPr w:rsidR="005857F3" w:rsidRPr="00916E51" w:rsidSect="003E018F">
      <w:headerReference w:type="even" r:id="rId11"/>
      <w:headerReference w:type="default" r:id="rId12"/>
      <w:footerReference w:type="default" r:id="rId13"/>
      <w:footerReference w:type="first" r:id="rId14"/>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6CF5A" w14:textId="77777777" w:rsidR="001906C8" w:rsidRDefault="001906C8" w:rsidP="00FE7FCA">
      <w:r>
        <w:separator/>
      </w:r>
    </w:p>
  </w:endnote>
  <w:endnote w:type="continuationSeparator" w:id="0">
    <w:p w14:paraId="79ABF906" w14:textId="77777777" w:rsidR="001906C8" w:rsidRDefault="001906C8"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7D93"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39AA8" w14:textId="77777777"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r w:rsidRPr="00715852">
        <w:rPr>
          <w:rStyle w:val="Hyperlink"/>
          <w:rFonts w:ascii="Calibri" w:hAnsi="Calibri" w:cs="Times New Roman"/>
          <w:lang w:eastAsia="zh-CN" w:bidi="ar-SA"/>
        </w:rPr>
        <w:t>www.itu.int/plenipotentiary/</w:t>
      </w:r>
      <w:r w:rsidRPr="00715852">
        <w:rPr>
          <w:rStyle w:val="Hyperlink"/>
          <w:rFonts w:ascii="Calibri" w:hAnsi="Calibri" w:cs="Times New Roman"/>
          <w:sz w:val="20"/>
          <w:szCs w:val="20"/>
          <w:lang w:eastAsia="zh-CN" w:bidi="ar-SA"/>
        </w:rPr>
        <w:t xml:space="preserve"> </w:t>
      </w:r>
      <w:r w:rsidRPr="00715852">
        <w:rPr>
          <w:rStyle w:val="Hyperlink"/>
          <w:rFonts w:ascii="Symbol" w:hAnsi="Symbol" w:cs="Times New Roman"/>
          <w:szCs w:val="20"/>
          <w:lang w:eastAsia="zh-CN" w:bidi="ar-SA"/>
        </w:rPr>
        <w: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078B2" w14:textId="77777777" w:rsidR="001906C8" w:rsidRPr="003318F9" w:rsidRDefault="001906C8" w:rsidP="008B4683">
      <w:pPr>
        <w:jc w:val="left"/>
        <w:rPr>
          <w:rtl/>
        </w:rPr>
      </w:pPr>
      <w:r w:rsidRPr="003318F9">
        <w:rPr>
          <w:rtl/>
        </w:rPr>
        <w:t>ـــــــــــــــــــــــــــــــــــــــــــــــــــــــــــــــــــــــــــــــــــــــــــــــــــــــــــــــــــــــــ</w:t>
      </w:r>
    </w:p>
  </w:footnote>
  <w:footnote w:type="continuationSeparator" w:id="0">
    <w:p w14:paraId="6E575629" w14:textId="77777777" w:rsidR="001906C8" w:rsidRDefault="001906C8" w:rsidP="00FE7FCA">
      <w:r>
        <w:continuationSeparator/>
      </w:r>
    </w:p>
  </w:footnote>
  <w:footnote w:id="1">
    <w:p w14:paraId="15150B7C" w14:textId="77777777" w:rsidR="00C74533" w:rsidRPr="009C4655" w:rsidRDefault="00C74533" w:rsidP="00C74533">
      <w:pPr>
        <w:pStyle w:val="FootnoteText"/>
        <w:tabs>
          <w:tab w:val="left" w:pos="282"/>
        </w:tabs>
      </w:pPr>
      <w:r w:rsidRPr="007F7558">
        <w:rPr>
          <w:rStyle w:val="FootnoteReference"/>
          <w:rtl/>
        </w:rPr>
        <w:footnoteRef/>
      </w:r>
      <w:r w:rsidRPr="009C4655">
        <w:tab/>
      </w:r>
      <w:r w:rsidRPr="009C4655">
        <w:rPr>
          <w:rtl/>
        </w:rPr>
        <w:t>القرار</w:t>
      </w:r>
      <w:r w:rsidRPr="009C4655">
        <w:rPr>
          <w:rFonts w:hint="cs"/>
          <w:rtl/>
        </w:rPr>
        <w:t> </w:t>
      </w:r>
      <w:r w:rsidRPr="009C4655">
        <w:t>1436</w:t>
      </w:r>
      <w:r w:rsidRPr="009C4655">
        <w:rPr>
          <w:rtl/>
        </w:rPr>
        <w:t xml:space="preserve"> الصادر عن مجلس الاتحاد الدولي للاتصالات | </w:t>
      </w:r>
      <w:r>
        <w:fldChar w:fldCharType="begin"/>
      </w:r>
      <w:r>
        <w:instrText>HYPERLINK "https://www.itu.int/md/S26-CL-C-0130/en"</w:instrText>
      </w:r>
      <w:r>
        <w:fldChar w:fldCharType="separate"/>
      </w:r>
      <w:r w:rsidRPr="009C4655">
        <w:rPr>
          <w:rStyle w:val="Hyperlink"/>
          <w:lang w:eastAsia="zh-CN"/>
        </w:rPr>
        <w:t>https://www.itu.int/md/S26-CL-C-0130/en</w:t>
      </w:r>
      <w:r>
        <w:fldChar w:fldCharType="end"/>
      </w:r>
    </w:p>
  </w:footnote>
  <w:footnote w:id="2">
    <w:p w14:paraId="04DF1B65" w14:textId="3FA5BB15" w:rsidR="004B2F2E" w:rsidRPr="001A2439" w:rsidRDefault="004B2F2E" w:rsidP="008312E1">
      <w:pPr>
        <w:pStyle w:val="FootnoteText"/>
        <w:tabs>
          <w:tab w:val="left" w:pos="282"/>
        </w:tabs>
        <w:ind w:left="0" w:firstLine="0"/>
        <w:rPr>
          <w:spacing w:val="-2"/>
        </w:rPr>
      </w:pPr>
      <w:r w:rsidRPr="007F7558">
        <w:rPr>
          <w:rStyle w:val="FootnoteReference"/>
          <w:rtl/>
        </w:rPr>
        <w:footnoteRef/>
      </w:r>
      <w:r w:rsidRPr="001A2439">
        <w:rPr>
          <w:spacing w:val="-2"/>
        </w:rPr>
        <w:tab/>
      </w:r>
      <w:r w:rsidRPr="001A2439">
        <w:rPr>
          <w:spacing w:val="-2"/>
          <w:rtl/>
        </w:rPr>
        <w:t>إقليم AWS هو مجموعة متميزة جغرافياً من مرافق مراكز البيانات. ويتألف كل إقليم من عدة مناطق توافر، ثلاث في كل من البحرين والإمارات العربية المتحدة، وتتألف كل منطقة توافر من واحد أو أكثر من المرافق المنفصلة مادياً ذات القدرة الكهربائية والتوصيلية المستقلة | البنية التحتية العالمية لشركة</w:t>
      </w:r>
      <w:r w:rsidR="001A2439" w:rsidRPr="001A2439">
        <w:rPr>
          <w:rFonts w:hint="cs"/>
          <w:spacing w:val="-2"/>
          <w:rtl/>
        </w:rPr>
        <w:t> </w:t>
      </w:r>
      <w:r w:rsidRPr="001A2439">
        <w:rPr>
          <w:spacing w:val="-2"/>
          <w:rtl/>
        </w:rPr>
        <w:t xml:space="preserve">AWS: الأقاليم ومناطق التوافر | </w:t>
      </w:r>
      <w:r>
        <w:fldChar w:fldCharType="begin"/>
      </w:r>
      <w:r>
        <w:instrText>HYPERLINK "https://aws.amazon.com/about-aws/global-infrastructure/regions_az/"</w:instrText>
      </w:r>
      <w:r>
        <w:fldChar w:fldCharType="separate"/>
      </w:r>
      <w:r w:rsidRPr="001A2439">
        <w:rPr>
          <w:rStyle w:val="Hyperlink"/>
          <w:spacing w:val="-2"/>
          <w:lang w:eastAsia="zh-CN"/>
        </w:rPr>
        <w:t>https://aws.amazon.com/about-aws/global-infrastructure/regions_az/</w:t>
      </w:r>
      <w:r>
        <w:fldChar w:fldCharType="end"/>
      </w:r>
    </w:p>
  </w:footnote>
  <w:footnote w:id="3">
    <w:p w14:paraId="7E2AB07A" w14:textId="77777777" w:rsidR="004B2F2E" w:rsidRPr="008312E1" w:rsidRDefault="004B2F2E" w:rsidP="006E46A0">
      <w:pPr>
        <w:pStyle w:val="FootnoteText"/>
        <w:tabs>
          <w:tab w:val="left" w:pos="282"/>
        </w:tabs>
        <w:ind w:left="0" w:firstLine="0"/>
        <w:jc w:val="left"/>
        <w:rPr>
          <w:spacing w:val="-6"/>
        </w:rPr>
      </w:pPr>
      <w:r w:rsidRPr="007F7558">
        <w:rPr>
          <w:rStyle w:val="FootnoteReference"/>
          <w:rtl/>
        </w:rPr>
        <w:footnoteRef/>
      </w:r>
      <w:r w:rsidRPr="008312E1">
        <w:rPr>
          <w:spacing w:val="-6"/>
        </w:rPr>
        <w:tab/>
      </w:r>
      <w:r w:rsidRPr="008312E1">
        <w:rPr>
          <w:spacing w:val="-6"/>
          <w:rtl/>
        </w:rPr>
        <w:t>مستجدات السلامة التشغيلية للخدمة، AWS</w:t>
      </w:r>
      <w:r w:rsidRPr="008312E1">
        <w:rPr>
          <w:rFonts w:hint="cs"/>
          <w:spacing w:val="-6"/>
          <w:rtl/>
        </w:rPr>
        <w:t xml:space="preserve">، </w:t>
      </w:r>
      <w:r w:rsidRPr="008312E1">
        <w:rPr>
          <w:spacing w:val="-6"/>
        </w:rPr>
        <w:t>ME-SOUTH-1</w:t>
      </w:r>
      <w:r w:rsidRPr="008312E1">
        <w:rPr>
          <w:rFonts w:hint="cs"/>
          <w:spacing w:val="-6"/>
          <w:rtl/>
        </w:rPr>
        <w:t xml:space="preserve"> </w:t>
      </w:r>
      <w:r w:rsidRPr="008312E1">
        <w:rPr>
          <w:spacing w:val="-6"/>
          <w:rtl/>
        </w:rPr>
        <w:t xml:space="preserve">(البحرين) | </w:t>
      </w:r>
      <w:r>
        <w:fldChar w:fldCharType="begin"/>
      </w:r>
      <w:r>
        <w:instrText>HYPERLINK "https://health.aws.amazon.com/health/status?eventid=arn:aws:health:me-south-1::event/multiple_services/aws_multiple_services_operational_issue/aws_multiple_services_operational_issue_e6426_01ad72b4e1e"</w:instrText>
      </w:r>
      <w:r>
        <w:fldChar w:fldCharType="separate"/>
      </w:r>
      <w:r w:rsidRPr="008312E1">
        <w:rPr>
          <w:rStyle w:val="Hyperlink"/>
          <w:spacing w:val="-6"/>
          <w:lang w:eastAsia="zh-CN"/>
        </w:rPr>
        <w:t>https://health.aws.amazon.com/health/status?eventid=arn:aws:health:me-south-1::event/multiple_services/aws_multiple_services_operational_issue/aws_multiple_services_operational_issue_e6426_01ad72b4e1e</w:t>
      </w:r>
      <w:r>
        <w:fldChar w:fldCharType="end"/>
      </w:r>
    </w:p>
  </w:footnote>
  <w:footnote w:id="4">
    <w:p w14:paraId="46C140C4" w14:textId="77777777" w:rsidR="004B2F2E" w:rsidRPr="00890E06" w:rsidRDefault="004B2F2E" w:rsidP="006E46A0">
      <w:pPr>
        <w:pStyle w:val="FootnoteText"/>
        <w:tabs>
          <w:tab w:val="left" w:pos="282"/>
        </w:tabs>
        <w:ind w:left="0" w:firstLine="0"/>
        <w:jc w:val="left"/>
        <w:rPr>
          <w:spacing w:val="-8"/>
        </w:rPr>
      </w:pPr>
      <w:r w:rsidRPr="007F7558">
        <w:rPr>
          <w:rStyle w:val="FootnoteReference"/>
          <w:rtl/>
        </w:rPr>
        <w:footnoteRef/>
      </w:r>
      <w:r w:rsidRPr="00890E06">
        <w:rPr>
          <w:spacing w:val="-8"/>
        </w:rPr>
        <w:tab/>
      </w:r>
      <w:r w:rsidRPr="00890E06">
        <w:rPr>
          <w:spacing w:val="-8"/>
          <w:rtl/>
        </w:rPr>
        <w:t>مستجدات السلامة التشغيلية للخدمة، AWS</w:t>
      </w:r>
      <w:r w:rsidRPr="00890E06">
        <w:rPr>
          <w:rFonts w:hint="cs"/>
          <w:spacing w:val="-8"/>
          <w:rtl/>
        </w:rPr>
        <w:t xml:space="preserve">، </w:t>
      </w:r>
      <w:r w:rsidRPr="00890E06">
        <w:rPr>
          <w:spacing w:val="-8"/>
        </w:rPr>
        <w:t>ME-CENTRAL-1</w:t>
      </w:r>
      <w:r w:rsidRPr="00890E06">
        <w:rPr>
          <w:rFonts w:hint="cs"/>
          <w:spacing w:val="-8"/>
          <w:rtl/>
        </w:rPr>
        <w:t xml:space="preserve"> </w:t>
      </w:r>
      <w:r w:rsidRPr="00890E06">
        <w:rPr>
          <w:spacing w:val="-8"/>
          <w:rtl/>
        </w:rPr>
        <w:t xml:space="preserve">(الإمارات العربية المتحدة) | </w:t>
      </w:r>
      <w:r>
        <w:fldChar w:fldCharType="begin"/>
      </w:r>
      <w:r>
        <w:instrText>HYPERLINK "https://health.aws.amazon.com/health/status?eventid=arn:aws:health:me-central-1::event/multiple_services/aws_multiple_services_operational_issue/aws_multiple_services_operational_issue_5e6b8_ef2498889b5"</w:instrText>
      </w:r>
      <w:r>
        <w:fldChar w:fldCharType="separate"/>
      </w:r>
      <w:r w:rsidRPr="00890E06">
        <w:rPr>
          <w:rStyle w:val="Hyperlink"/>
          <w:spacing w:val="-8"/>
          <w:lang w:eastAsia="zh-CN"/>
        </w:rPr>
        <w:t>https://health.aws.amazon.com/health/status?eventid=arn:aws:health:me-central-1::event/multiple_services/aws_multiple_services_operational_issue/aws_multiple_services_operational_issue_5e6b8_ef2498889b5</w:t>
      </w:r>
      <w:r>
        <w:fldChar w:fldCharType="end"/>
      </w:r>
    </w:p>
  </w:footnote>
  <w:footnote w:id="5">
    <w:p w14:paraId="5DBEE11D" w14:textId="77777777" w:rsidR="009958E2" w:rsidRPr="0078770F" w:rsidRDefault="009958E2" w:rsidP="00F902EF">
      <w:pPr>
        <w:pStyle w:val="FootnoteText"/>
        <w:tabs>
          <w:tab w:val="left" w:pos="282"/>
        </w:tabs>
        <w:ind w:left="0" w:firstLine="0"/>
        <w:jc w:val="left"/>
      </w:pPr>
      <w:r w:rsidRPr="007F7558">
        <w:rPr>
          <w:rStyle w:val="FootnoteReference"/>
          <w:rtl/>
        </w:rPr>
        <w:footnoteRef/>
      </w:r>
      <w:r w:rsidRPr="009965E0">
        <w:rPr>
          <w:spacing w:val="-8"/>
        </w:rPr>
        <w:tab/>
      </w:r>
      <w:r w:rsidRPr="009965E0">
        <w:rPr>
          <w:spacing w:val="-8"/>
          <w:rtl/>
        </w:rPr>
        <w:t>مستجدات السلامة التشغيلية للخدمة، AWS</w:t>
      </w:r>
      <w:r w:rsidRPr="009965E0">
        <w:rPr>
          <w:rFonts w:hint="cs"/>
          <w:spacing w:val="-8"/>
          <w:rtl/>
        </w:rPr>
        <w:t xml:space="preserve">، </w:t>
      </w:r>
      <w:r w:rsidRPr="009965E0">
        <w:rPr>
          <w:spacing w:val="-8"/>
        </w:rPr>
        <w:t>ME-CENTRAL-1</w:t>
      </w:r>
      <w:r w:rsidRPr="009965E0">
        <w:rPr>
          <w:rFonts w:hint="cs"/>
          <w:spacing w:val="-8"/>
          <w:rtl/>
        </w:rPr>
        <w:t xml:space="preserve"> </w:t>
      </w:r>
      <w:r w:rsidRPr="009965E0">
        <w:rPr>
          <w:spacing w:val="-8"/>
          <w:rtl/>
        </w:rPr>
        <w:t xml:space="preserve">(الإمارات العربية المتحدة) | </w:t>
      </w:r>
      <w:r>
        <w:fldChar w:fldCharType="begin"/>
      </w:r>
      <w:r>
        <w:instrText>HYPERLINK "https://health.aws.amazon.com/health/status?eventid=arn:aws:health:me-central-1::event/multiple_services/aws_multiple_services_operational_issue/aws_multiple_services_operational_issue_5e6b8_ef2498889b5"</w:instrText>
      </w:r>
      <w:r>
        <w:fldChar w:fldCharType="separate"/>
      </w:r>
      <w:r w:rsidRPr="00AA6156">
        <w:rPr>
          <w:rStyle w:val="Hyperlink"/>
          <w:spacing w:val="-8"/>
          <w:lang w:eastAsia="zh-CN"/>
        </w:rPr>
        <w:t>https://health.aws.amazon.com/health/status?eventid=arn:aws:health:me-central-1::event/multiple_services/aws_multiple_services_operational_issue/aws_multiple_services_operational_issue_5e6b8_ef2498889b5</w:t>
      </w:r>
      <w:r>
        <w:fldChar w:fldCharType="end"/>
      </w:r>
    </w:p>
  </w:footnote>
  <w:footnote w:id="6">
    <w:p w14:paraId="7ECEF4C4" w14:textId="77777777" w:rsidR="009958E2" w:rsidRPr="00F902EF" w:rsidRDefault="009958E2" w:rsidP="00F902EF">
      <w:pPr>
        <w:pStyle w:val="FootnoteText"/>
        <w:tabs>
          <w:tab w:val="left" w:pos="282"/>
        </w:tabs>
        <w:ind w:left="0" w:firstLine="0"/>
        <w:jc w:val="left"/>
        <w:rPr>
          <w:spacing w:val="-4"/>
        </w:rPr>
      </w:pPr>
      <w:r w:rsidRPr="007F7558">
        <w:rPr>
          <w:rStyle w:val="FootnoteReference"/>
          <w:rtl/>
        </w:rPr>
        <w:footnoteRef/>
      </w:r>
      <w:r w:rsidRPr="00F902EF">
        <w:tab/>
      </w:r>
      <w:r w:rsidRPr="00F902EF">
        <w:rPr>
          <w:rtl/>
        </w:rPr>
        <w:t>مستجدات السلامة التشغيلية للخدمة، AWS</w:t>
      </w:r>
      <w:r w:rsidRPr="00F902EF">
        <w:rPr>
          <w:rFonts w:hint="cs"/>
          <w:rtl/>
        </w:rPr>
        <w:t xml:space="preserve">، </w:t>
      </w:r>
      <w:r w:rsidRPr="00F902EF">
        <w:t>ME-SOUTH-1</w:t>
      </w:r>
      <w:r w:rsidRPr="00F902EF">
        <w:rPr>
          <w:rFonts w:hint="cs"/>
          <w:rtl/>
        </w:rPr>
        <w:t xml:space="preserve"> </w:t>
      </w:r>
      <w:r w:rsidRPr="00F902EF">
        <w:rPr>
          <w:rtl/>
        </w:rPr>
        <w:t xml:space="preserve">(البحرين) | </w:t>
      </w:r>
      <w:r>
        <w:fldChar w:fldCharType="begin"/>
      </w:r>
      <w:r>
        <w:instrText>HYPERLINK "https://health.aws.amazon.com/health/status?eventid=arn:aws:health:me-south-1::event/multiple_services/aws_multiple_services_operational_issue/aws_multiple_services_operational_issue_e6426_01ad72b4e1e"</w:instrText>
      </w:r>
      <w:r>
        <w:fldChar w:fldCharType="separate"/>
      </w:r>
      <w:r w:rsidRPr="00F902EF">
        <w:rPr>
          <w:rStyle w:val="Hyperlink"/>
          <w:spacing w:val="-4"/>
          <w:lang w:eastAsia="zh-CN"/>
        </w:rPr>
        <w:t>https://health.aws.amazon.com/health/status?eventid=arn:aws:health:me-south-1::event/multiple_services/aws_multiple_services_operational_issue/aws_multiple_services_operational_issue_e6426_01ad72b4e1e</w:t>
      </w:r>
      <w:r>
        <w:fldChar w:fldCharType="end"/>
      </w:r>
    </w:p>
  </w:footnote>
  <w:footnote w:id="7">
    <w:p w14:paraId="00BF223E" w14:textId="77777777" w:rsidR="009958E2" w:rsidRPr="0078770F" w:rsidRDefault="009958E2" w:rsidP="008312E1">
      <w:pPr>
        <w:pStyle w:val="FootnoteText"/>
        <w:tabs>
          <w:tab w:val="left" w:pos="282"/>
        </w:tabs>
        <w:ind w:left="0" w:firstLine="0"/>
      </w:pPr>
      <w:r w:rsidRPr="007F7558">
        <w:rPr>
          <w:rStyle w:val="FootnoteReference"/>
          <w:rtl/>
        </w:rPr>
        <w:footnoteRef/>
      </w:r>
      <w:r w:rsidRPr="0078770F">
        <w:tab/>
      </w:r>
      <w:r w:rsidRPr="0078770F">
        <w:rPr>
          <w:rtl/>
        </w:rPr>
        <w:t xml:space="preserve">رادار Cloudflare | </w:t>
      </w:r>
      <w:r>
        <w:fldChar w:fldCharType="begin"/>
      </w:r>
      <w:r>
        <w:instrText>HYPERLINK "https://radar.cloudflare.com/explorer?dataSet=origins&amp;filters=origin%253Damazon%252Cregion%253Dme-central-1&amp;metric=requests&amp;dt=2026-02-01_2026-09-17" \l "http-requests-time-series-worldwide"</w:instrText>
      </w:r>
      <w:r>
        <w:fldChar w:fldCharType="separate"/>
      </w:r>
      <w:r w:rsidRPr="0078770F">
        <w:rPr>
          <w:rStyle w:val="Hyperlink"/>
          <w:rtl/>
          <w:lang w:eastAsia="zh-CN"/>
        </w:rPr>
        <w:t xml:space="preserve">السلسلة الزمنية لطلبات بروتوكول HTTP في إقليم </w:t>
      </w:r>
      <w:r w:rsidRPr="0078770F">
        <w:rPr>
          <w:rStyle w:val="Hyperlink"/>
          <w:lang w:eastAsia="zh-CN"/>
        </w:rPr>
        <w:t>ME-CENTRAL-1</w:t>
      </w:r>
      <w:r>
        <w:fldChar w:fldCharType="end"/>
      </w:r>
    </w:p>
  </w:footnote>
  <w:footnote w:id="8">
    <w:p w14:paraId="3F9163B0" w14:textId="77777777" w:rsidR="009958E2" w:rsidRPr="0078770F" w:rsidRDefault="009958E2" w:rsidP="008312E1">
      <w:pPr>
        <w:pStyle w:val="FootnoteText"/>
        <w:tabs>
          <w:tab w:val="left" w:pos="282"/>
        </w:tabs>
        <w:ind w:left="0" w:firstLine="0"/>
      </w:pPr>
      <w:r w:rsidRPr="007F7558">
        <w:rPr>
          <w:rStyle w:val="FootnoteReference"/>
          <w:rtl/>
        </w:rPr>
        <w:footnoteRef/>
      </w:r>
      <w:r w:rsidRPr="0078770F">
        <w:tab/>
      </w:r>
      <w:r w:rsidRPr="0078770F">
        <w:rPr>
          <w:rtl/>
        </w:rPr>
        <w:t xml:space="preserve">رادار Cloudflare | </w:t>
      </w:r>
      <w:r>
        <w:fldChar w:fldCharType="begin"/>
      </w:r>
      <w:r>
        <w:instrText>HYPERLINK "https://radar.cloudflare.com/explorer?dataSet=origins&amp;filters=origin%253Damazon%252Cregion%253Dme-south-1&amp;metric=requests&amp;dt=2026-02-01_2026-09-17" \l "http-requests-time-series-worldwide"</w:instrText>
      </w:r>
      <w:r>
        <w:fldChar w:fldCharType="separate"/>
      </w:r>
      <w:r w:rsidRPr="0078770F">
        <w:rPr>
          <w:rStyle w:val="Hyperlink"/>
          <w:rtl/>
          <w:lang w:eastAsia="zh-CN"/>
        </w:rPr>
        <w:t xml:space="preserve">لسلسلة الزمنية لطلبات بروتوكول </w:t>
      </w:r>
      <w:r w:rsidRPr="0078770F">
        <w:rPr>
          <w:rStyle w:val="Hyperlink"/>
          <w:lang w:eastAsia="zh-CN"/>
        </w:rPr>
        <w:t>HTTP</w:t>
      </w:r>
      <w:r w:rsidRPr="0078770F">
        <w:rPr>
          <w:rStyle w:val="Hyperlink"/>
          <w:rtl/>
          <w:lang w:eastAsia="zh-CN"/>
        </w:rPr>
        <w:t xml:space="preserve"> في إقليم </w:t>
      </w:r>
      <w:r w:rsidRPr="0078770F">
        <w:rPr>
          <w:rStyle w:val="Hyperlink"/>
          <w:lang w:eastAsia="zh-CN"/>
        </w:rPr>
        <w:t>ME-SOUTH-1</w:t>
      </w:r>
      <w:r>
        <w:fldChar w:fldCharType="end"/>
      </w:r>
    </w:p>
  </w:footnote>
  <w:footnote w:id="9">
    <w:p w14:paraId="442B99A6" w14:textId="77777777" w:rsidR="00A93698" w:rsidRPr="00F962B7" w:rsidRDefault="00A93698" w:rsidP="008312E1">
      <w:pPr>
        <w:pStyle w:val="FootnoteText"/>
        <w:tabs>
          <w:tab w:val="left" w:pos="282"/>
        </w:tabs>
        <w:ind w:left="0" w:firstLine="0"/>
        <w:rPr>
          <w:spacing w:val="-6"/>
        </w:rPr>
      </w:pPr>
      <w:r w:rsidRPr="007F7558">
        <w:rPr>
          <w:rStyle w:val="FootnoteReference"/>
          <w:rtl/>
        </w:rPr>
        <w:footnoteRef/>
      </w:r>
      <w:r w:rsidRPr="00F962B7">
        <w:rPr>
          <w:spacing w:val="-6"/>
        </w:rPr>
        <w:tab/>
      </w:r>
      <w:r w:rsidRPr="00F962B7">
        <w:rPr>
          <w:spacing w:val="-6"/>
          <w:rtl/>
        </w:rPr>
        <w:t xml:space="preserve">ناسداك نيوز </w:t>
      </w:r>
      <w:r w:rsidRPr="00F962B7">
        <w:rPr>
          <w:spacing w:val="-6"/>
        </w:rPr>
        <w:t>(Nasdaq News)</w:t>
      </w:r>
      <w:r w:rsidRPr="00F962B7">
        <w:rPr>
          <w:spacing w:val="-6"/>
          <w:rtl/>
        </w:rPr>
        <w:t xml:space="preserve">: شركة AWS تطلق إقليماً في الإمارات العربية المتحدة | </w:t>
      </w:r>
      <w:r>
        <w:fldChar w:fldCharType="begin"/>
      </w:r>
      <w:r>
        <w:instrText>HYPERLINK "https://www.nasdaq.com/press-release/aws-launches-region-in-the-united-arab-emirates-2022-08-30"</w:instrText>
      </w:r>
      <w:r>
        <w:fldChar w:fldCharType="separate"/>
      </w:r>
      <w:r w:rsidRPr="00F962B7">
        <w:rPr>
          <w:rStyle w:val="Hyperlink"/>
          <w:spacing w:val="-6"/>
          <w:lang w:eastAsia="zh-CN"/>
        </w:rPr>
        <w:t>https://www.nasdaq.com/press-release/aws-launches-region-in-the-united-arab-emirates-2022-08-30</w:t>
      </w:r>
      <w:r>
        <w:fldChar w:fldCharType="end"/>
      </w:r>
    </w:p>
  </w:footnote>
  <w:footnote w:id="10">
    <w:p w14:paraId="57B247E0" w14:textId="77777777" w:rsidR="00A93698" w:rsidRPr="00F962B7" w:rsidRDefault="00A93698" w:rsidP="008312E1">
      <w:pPr>
        <w:pStyle w:val="FootnoteText"/>
        <w:tabs>
          <w:tab w:val="left" w:pos="282"/>
        </w:tabs>
        <w:ind w:left="0" w:firstLine="0"/>
        <w:rPr>
          <w:spacing w:val="-6"/>
        </w:rPr>
      </w:pPr>
      <w:r w:rsidRPr="007F7558">
        <w:rPr>
          <w:rStyle w:val="FootnoteReference"/>
          <w:rtl/>
        </w:rPr>
        <w:footnoteRef/>
      </w:r>
      <w:r w:rsidRPr="00F962B7">
        <w:rPr>
          <w:spacing w:val="-6"/>
        </w:rPr>
        <w:tab/>
      </w:r>
      <w:r w:rsidRPr="00F962B7">
        <w:rPr>
          <w:spacing w:val="-6"/>
          <w:rtl/>
        </w:rPr>
        <w:t xml:space="preserve">أخبار أمازون </w:t>
      </w:r>
      <w:r w:rsidRPr="00F962B7">
        <w:rPr>
          <w:spacing w:val="-6"/>
        </w:rPr>
        <w:t>(Amazon News)</w:t>
      </w:r>
      <w:r w:rsidRPr="00F962B7">
        <w:rPr>
          <w:spacing w:val="-6"/>
          <w:rtl/>
        </w:rPr>
        <w:t xml:space="preserve">: شركة AWS تطلق أول إقليم للشرق الأوسط | </w:t>
      </w:r>
      <w:r>
        <w:fldChar w:fldCharType="begin"/>
      </w:r>
      <w:r>
        <w:instrText>HYPERLINK "https://press.aboutamazon.com/2019/7/aws-launches-region-in-the-middle-east"</w:instrText>
      </w:r>
      <w:r>
        <w:fldChar w:fldCharType="separate"/>
      </w:r>
      <w:r w:rsidRPr="00F962B7">
        <w:rPr>
          <w:rStyle w:val="Hyperlink"/>
          <w:spacing w:val="-6"/>
          <w:lang w:eastAsia="zh-CN"/>
        </w:rPr>
        <w:t>https://press.aboutamazon.com/2019/7/aws-launches-region-in-the-middle-east</w:t>
      </w:r>
      <w:r>
        <w:fldChar w:fldCharType="end"/>
      </w:r>
    </w:p>
  </w:footnote>
  <w:footnote w:id="11">
    <w:p w14:paraId="6D7C3CA8" w14:textId="77777777" w:rsidR="00A93698" w:rsidRPr="00F962B7" w:rsidRDefault="00A93698" w:rsidP="008312E1">
      <w:pPr>
        <w:pStyle w:val="FootnoteText"/>
        <w:tabs>
          <w:tab w:val="left" w:pos="282"/>
        </w:tabs>
        <w:ind w:left="0" w:firstLine="0"/>
        <w:rPr>
          <w:spacing w:val="-6"/>
        </w:rPr>
      </w:pPr>
      <w:r w:rsidRPr="007F7558">
        <w:rPr>
          <w:rStyle w:val="FootnoteReference"/>
          <w:rtl/>
        </w:rPr>
        <w:footnoteRef/>
      </w:r>
      <w:r w:rsidRPr="00F962B7">
        <w:rPr>
          <w:spacing w:val="-6"/>
        </w:rPr>
        <w:tab/>
      </w:r>
      <w:r w:rsidRPr="00F962B7">
        <w:rPr>
          <w:spacing w:val="-6"/>
          <w:rtl/>
        </w:rPr>
        <w:t xml:space="preserve">قصة نجاح البحرين في مجال الحوسبة السحابية أولاً | </w:t>
      </w:r>
      <w:r>
        <w:fldChar w:fldCharType="begin"/>
      </w:r>
      <w:r>
        <w:instrText>HYPERLINK "https://aws.amazon.com/blogs/publicsector/bahrains-cloud-first-success-story/"</w:instrText>
      </w:r>
      <w:r>
        <w:fldChar w:fldCharType="separate"/>
      </w:r>
      <w:r w:rsidRPr="00F962B7">
        <w:rPr>
          <w:rStyle w:val="Hyperlink"/>
          <w:spacing w:val="-6"/>
          <w:lang w:eastAsia="zh-CN"/>
        </w:rPr>
        <w:t>https://aws.amazon.com/blogs/publicsector/bahrains-cloud-first-success-story/</w:t>
      </w:r>
      <w:r>
        <w:fldChar w:fldCharType="end"/>
      </w:r>
    </w:p>
  </w:footnote>
  <w:footnote w:id="12">
    <w:p w14:paraId="522FE288" w14:textId="77777777" w:rsidR="00A93698" w:rsidRPr="00F962B7" w:rsidRDefault="00A93698" w:rsidP="008312E1">
      <w:pPr>
        <w:pStyle w:val="FootnoteText"/>
        <w:tabs>
          <w:tab w:val="left" w:pos="282"/>
        </w:tabs>
        <w:ind w:left="0" w:firstLine="0"/>
        <w:rPr>
          <w:spacing w:val="-4"/>
        </w:rPr>
      </w:pPr>
      <w:r w:rsidRPr="007F7558">
        <w:rPr>
          <w:rStyle w:val="FootnoteReference"/>
          <w:rtl/>
        </w:rPr>
        <w:footnoteRef/>
      </w:r>
      <w:r w:rsidRPr="00F962B7">
        <w:rPr>
          <w:spacing w:val="-4"/>
        </w:rPr>
        <w:tab/>
        <w:t>%85</w:t>
      </w:r>
      <w:r w:rsidRPr="00F962B7">
        <w:rPr>
          <w:spacing w:val="-4"/>
          <w:rtl/>
        </w:rPr>
        <w:t xml:space="preserve"> </w:t>
      </w:r>
      <w:r w:rsidRPr="00F962B7">
        <w:rPr>
          <w:spacing w:val="-4"/>
          <w:rtl/>
        </w:rPr>
        <w:t xml:space="preserve">من البيانات الحكومية تُنقل إلى أمازون | هيئة المعلومات والحكومة الإلكترونية في البحرين | </w:t>
      </w:r>
      <w:r>
        <w:fldChar w:fldCharType="begin"/>
      </w:r>
      <w:r>
        <w:instrText>HYPERLINK "https://www.iga.gov.bh/article/85-of-government-data-transfer-to-amazon-more-than-300-sites-connected-to-the-government-data-network"</w:instrText>
      </w:r>
      <w:r>
        <w:fldChar w:fldCharType="separate"/>
      </w:r>
      <w:r>
        <w:rPr>
          <w:rStyle w:val="Hyperlink"/>
          <w:spacing w:val="-4"/>
          <w:lang w:eastAsia="zh-CN"/>
        </w:rPr>
        <w:t>https://www.iga.gov.bh/article/85-of-government-data-transfer-to-amazon-more-than-300-sites-connected-to-the-government-data-network</w:t>
      </w:r>
      <w:r>
        <w:fldChar w:fldCharType="end"/>
      </w:r>
    </w:p>
  </w:footnote>
  <w:footnote w:id="13">
    <w:p w14:paraId="12124BA8" w14:textId="77777777" w:rsidR="00A93698" w:rsidRPr="00870955" w:rsidRDefault="00A93698" w:rsidP="008312E1">
      <w:pPr>
        <w:pStyle w:val="FootnoteText"/>
        <w:tabs>
          <w:tab w:val="left" w:pos="282"/>
        </w:tabs>
        <w:ind w:left="0" w:firstLine="0"/>
      </w:pPr>
      <w:r w:rsidRPr="007F7558">
        <w:rPr>
          <w:rStyle w:val="FootnoteReference"/>
          <w:rtl/>
        </w:rPr>
        <w:footnoteRef/>
      </w:r>
      <w:r w:rsidRPr="00870955">
        <w:tab/>
      </w:r>
      <w:r w:rsidRPr="00870955">
        <w:rPr>
          <w:rtl/>
        </w:rPr>
        <w:t>القانون الاتحادي رقم</w:t>
      </w:r>
      <w:r w:rsidRPr="00870955">
        <w:rPr>
          <w:rFonts w:hint="cs"/>
          <w:rtl/>
        </w:rPr>
        <w:t> </w:t>
      </w:r>
      <w:r w:rsidRPr="00870955">
        <w:t>2</w:t>
      </w:r>
      <w:r w:rsidRPr="00870955">
        <w:rPr>
          <w:rtl/>
        </w:rPr>
        <w:t xml:space="preserve"> في الإمارات العربية المتحدة من عام</w:t>
      </w:r>
      <w:r w:rsidRPr="00870955">
        <w:rPr>
          <w:rFonts w:hint="cs"/>
          <w:rtl/>
        </w:rPr>
        <w:t> </w:t>
      </w:r>
      <w:r w:rsidRPr="00870955">
        <w:t>2019</w:t>
      </w:r>
      <w:r w:rsidRPr="00870955">
        <w:rPr>
          <w:rtl/>
        </w:rPr>
        <w:t xml:space="preserve"> | </w:t>
      </w:r>
      <w:r>
        <w:fldChar w:fldCharType="begin"/>
      </w:r>
      <w:r>
        <w:instrText>HYPERLINK "https://uaelegislation.gov.ae/ar/legislations/1209/download"</w:instrText>
      </w:r>
      <w:r>
        <w:fldChar w:fldCharType="separate"/>
      </w:r>
      <w:r>
        <w:rPr>
          <w:rStyle w:val="Hyperlink"/>
          <w:lang w:eastAsia="zh-CN"/>
        </w:rPr>
        <w:t>https://uaelegislation.gov.ae/ar/legislations/1209/download</w:t>
      </w:r>
      <w:r>
        <w:fldChar w:fldCharType="end"/>
      </w:r>
    </w:p>
  </w:footnote>
  <w:footnote w:id="14">
    <w:p w14:paraId="62ED341C" w14:textId="77777777" w:rsidR="00A93698" w:rsidRPr="00D2041A" w:rsidRDefault="00A93698" w:rsidP="008312E1">
      <w:pPr>
        <w:pStyle w:val="FootnoteText"/>
        <w:tabs>
          <w:tab w:val="left" w:pos="282"/>
        </w:tabs>
        <w:ind w:left="0" w:firstLine="0"/>
        <w:rPr>
          <w:sz w:val="16"/>
          <w:szCs w:val="16"/>
        </w:rPr>
      </w:pPr>
      <w:r w:rsidRPr="007F7558">
        <w:rPr>
          <w:rStyle w:val="FootnoteReference"/>
          <w:rtl/>
        </w:rPr>
        <w:footnoteRef/>
      </w:r>
      <w:r w:rsidRPr="00870955">
        <w:tab/>
      </w:r>
      <w:r w:rsidRPr="00870955">
        <w:rPr>
          <w:rtl/>
        </w:rPr>
        <w:t xml:space="preserve">كتاب قواعد CBUAE، المادة </w:t>
      </w:r>
      <w:r w:rsidRPr="00870955">
        <w:t>3.6.1.6</w:t>
      </w:r>
      <w:r w:rsidRPr="00870955">
        <w:rPr>
          <w:rtl/>
        </w:rPr>
        <w:t xml:space="preserve"> | </w:t>
      </w:r>
      <w:r>
        <w:fldChar w:fldCharType="begin"/>
      </w:r>
      <w:r>
        <w:instrText>HYPERLINK "https://rulebook.centralbank.ae/en/rulebook/consumer-protection-standards"</w:instrText>
      </w:r>
      <w:r>
        <w:fldChar w:fldCharType="separate"/>
      </w:r>
      <w:r w:rsidRPr="00870955">
        <w:rPr>
          <w:rStyle w:val="Hyperlink"/>
          <w:lang w:eastAsia="zh-CN"/>
        </w:rPr>
        <w:t>https://rulebook.centralbank.ae/en/rulebook/consumer-protection-standards</w:t>
      </w:r>
      <w:r>
        <w:fldChar w:fldCharType="end"/>
      </w:r>
    </w:p>
  </w:footnote>
  <w:footnote w:id="15">
    <w:p w14:paraId="40F50C56" w14:textId="77777777" w:rsidR="00A93698" w:rsidRPr="00F962B7" w:rsidRDefault="00A93698" w:rsidP="008312E1">
      <w:pPr>
        <w:pStyle w:val="FootnoteText"/>
        <w:tabs>
          <w:tab w:val="left" w:pos="282"/>
        </w:tabs>
        <w:ind w:left="0" w:firstLine="0"/>
      </w:pPr>
      <w:r w:rsidRPr="007F7558">
        <w:rPr>
          <w:rStyle w:val="FootnoteReference"/>
          <w:rtl/>
        </w:rPr>
        <w:footnoteRef/>
      </w:r>
      <w:r w:rsidRPr="00F962B7">
        <w:tab/>
      </w:r>
      <w:hyperlink r:id="rId1" w:history="1">
        <w:r w:rsidRPr="00F962B7">
          <w:rPr>
            <w:rStyle w:val="Hyperlink"/>
            <w:rtl/>
            <w:lang w:eastAsia="zh-CN"/>
          </w:rPr>
          <w:t>حديث صحفي مع محمد ال</w:t>
        </w:r>
        <w:r w:rsidRPr="00F962B7">
          <w:rPr>
            <w:rStyle w:val="Hyperlink"/>
            <w:rtl/>
            <w:lang w:eastAsia="zh-CN" w:bidi="ar-SY"/>
          </w:rPr>
          <w:t>تو</w:t>
        </w:r>
        <w:r w:rsidRPr="00F962B7">
          <w:rPr>
            <w:rStyle w:val="Hyperlink"/>
            <w:rtl/>
            <w:lang w:eastAsia="zh-CN"/>
          </w:rPr>
          <w:t>رة، رئيس الهيئة العامة للاتصالات وتقنية المعلومات (CITRA) في الكويت</w:t>
        </w:r>
      </w:hyperlink>
      <w:r w:rsidRPr="00F962B7">
        <w:rPr>
          <w:rtl/>
        </w:rPr>
        <w:t xml:space="preserve"> | قمة AWS البحرين</w:t>
      </w:r>
    </w:p>
  </w:footnote>
  <w:footnote w:id="16">
    <w:p w14:paraId="3FD6F0ED" w14:textId="77777777" w:rsidR="00A93698" w:rsidRPr="0005620D" w:rsidRDefault="00A93698" w:rsidP="008312E1">
      <w:pPr>
        <w:pStyle w:val="FootnoteText"/>
        <w:tabs>
          <w:tab w:val="left" w:pos="282"/>
        </w:tabs>
        <w:ind w:left="0" w:firstLine="0"/>
        <w:rPr>
          <w:spacing w:val="-8"/>
        </w:rPr>
      </w:pPr>
      <w:r w:rsidRPr="007F7558">
        <w:rPr>
          <w:rStyle w:val="FootnoteReference"/>
          <w:rtl/>
        </w:rPr>
        <w:footnoteRef/>
      </w:r>
      <w:r w:rsidRPr="0005620D">
        <w:rPr>
          <w:spacing w:val="-8"/>
        </w:rPr>
        <w:tab/>
      </w:r>
      <w:r w:rsidRPr="0005620D">
        <w:rPr>
          <w:spacing w:val="-8"/>
          <w:rtl/>
        </w:rPr>
        <w:t xml:space="preserve">بنك </w:t>
      </w:r>
      <w:r w:rsidRPr="0005620D">
        <w:rPr>
          <w:spacing w:val="-8"/>
          <w:rtl/>
        </w:rPr>
        <w:t xml:space="preserve">ADCB يؤكد استعادة الخدمات المصرفية المتنقلة للأفراد | </w:t>
      </w:r>
      <w:r>
        <w:fldChar w:fldCharType="begin"/>
      </w:r>
      <w:r>
        <w:instrText>HYPERLINK "https://www.adcb.com/ar/about-us/media-centre/news/2026/march/adcb-confirms-restoration-of-retail-mobile-banking-services"</w:instrText>
      </w:r>
      <w:r>
        <w:fldChar w:fldCharType="separate"/>
      </w:r>
      <w:r>
        <w:rPr>
          <w:rStyle w:val="Hyperlink"/>
          <w:spacing w:val="-8"/>
          <w:lang w:eastAsia="zh-CN"/>
        </w:rPr>
        <w:t>https://www.adcb.com/ar/about-us/media-centre/news/2026/march/adcb-confirms-restoration-of-retail-mobile-banking-services</w:t>
      </w:r>
      <w:r>
        <w:fldChar w:fldCharType="end"/>
      </w:r>
    </w:p>
  </w:footnote>
  <w:footnote w:id="17">
    <w:p w14:paraId="33E5979A" w14:textId="77777777" w:rsidR="00A93698" w:rsidRPr="00813771" w:rsidRDefault="00A93698" w:rsidP="008312E1">
      <w:pPr>
        <w:pStyle w:val="FootnoteText"/>
        <w:tabs>
          <w:tab w:val="left" w:pos="282"/>
        </w:tabs>
        <w:ind w:left="0" w:firstLine="0"/>
        <w:rPr>
          <w:spacing w:val="-6"/>
        </w:rPr>
      </w:pPr>
      <w:r w:rsidRPr="00813771">
        <w:rPr>
          <w:rStyle w:val="FootnoteReference"/>
          <w:spacing w:val="-6"/>
          <w:rtl/>
        </w:rPr>
        <w:footnoteRef/>
      </w:r>
      <w:r w:rsidRPr="00813771">
        <w:rPr>
          <w:spacing w:val="-6"/>
        </w:rPr>
        <w:tab/>
      </w:r>
      <w:r w:rsidRPr="00813771">
        <w:rPr>
          <w:spacing w:val="-6"/>
          <w:rtl/>
        </w:rPr>
        <w:t xml:space="preserve">بنوك دبي تتكبد تكاليف بالملايين مع استمرار تعطل خدمات </w:t>
      </w:r>
      <w:r w:rsidRPr="00813771">
        <w:rPr>
          <w:spacing w:val="-6"/>
        </w:rPr>
        <w:t>AWS</w:t>
      </w:r>
      <w:r w:rsidRPr="00813771">
        <w:rPr>
          <w:spacing w:val="-6"/>
          <w:rtl/>
        </w:rPr>
        <w:t xml:space="preserve"> | </w:t>
      </w:r>
      <w:r>
        <w:fldChar w:fldCharType="begin"/>
      </w:r>
      <w:r>
        <w:instrText>HYPERLINK "https://www.thebanker.com/content/fd078db2-7f55-436d-9d2e-62a0a742ad02"</w:instrText>
      </w:r>
      <w:r>
        <w:fldChar w:fldCharType="separate"/>
      </w:r>
      <w:r w:rsidRPr="00813771">
        <w:rPr>
          <w:rStyle w:val="Hyperlink"/>
          <w:spacing w:val="-6"/>
          <w:lang w:eastAsia="zh-CN"/>
        </w:rPr>
        <w:t>https://www.thebanker.com/content/fd078db2-7f55-436d-9d2e-62a0a742ad02</w:t>
      </w:r>
      <w:r>
        <w:fldChar w:fldCharType="end"/>
      </w:r>
    </w:p>
  </w:footnote>
  <w:footnote w:id="18">
    <w:p w14:paraId="09F5D12E" w14:textId="77777777" w:rsidR="00A93698" w:rsidRPr="007B159B" w:rsidRDefault="00A93698" w:rsidP="008312E1">
      <w:pPr>
        <w:pStyle w:val="FootnoteText"/>
        <w:tabs>
          <w:tab w:val="left" w:pos="282"/>
        </w:tabs>
        <w:ind w:left="0" w:firstLine="0"/>
        <w:rPr>
          <w:spacing w:val="-4"/>
        </w:rPr>
      </w:pPr>
      <w:r w:rsidRPr="007F7558">
        <w:rPr>
          <w:rStyle w:val="FootnoteReference"/>
          <w:rtl/>
        </w:rPr>
        <w:footnoteRef/>
      </w:r>
      <w:r w:rsidRPr="007B159B">
        <w:rPr>
          <w:spacing w:val="-4"/>
        </w:rPr>
        <w:tab/>
      </w:r>
      <w:r w:rsidRPr="007B159B">
        <w:rPr>
          <w:spacing w:val="-4"/>
          <w:rtl/>
        </w:rPr>
        <w:t>تكلفة الحرب مع إيران على الطموحات المشتركة لدول الخليج والولايات المتحدة في مجال الذكاء الاصطناعي | مركز الدراسات الاستراتيجية والدولية (CSIS)</w:t>
      </w:r>
      <w:r w:rsidRPr="007B159B">
        <w:rPr>
          <w:rFonts w:hint="cs"/>
          <w:spacing w:val="-4"/>
          <w:rtl/>
        </w:rPr>
        <w:t xml:space="preserve"> </w:t>
      </w:r>
      <w:r w:rsidRPr="007B159B">
        <w:rPr>
          <w:spacing w:val="-4"/>
          <w:rtl/>
        </w:rPr>
        <w:t xml:space="preserve">| </w:t>
      </w:r>
      <w:hyperlink r:id="rId2" w:history="1">
        <w:r w:rsidRPr="007B159B">
          <w:rPr>
            <w:rStyle w:val="Hyperlink"/>
            <w:spacing w:val="-4"/>
            <w:lang w:eastAsia="zh-CN"/>
          </w:rPr>
          <w:t>https://www.csis.org/analysis/what-iran-war-costing-joint-gulf-us-ambitions-ai</w:t>
        </w:r>
      </w:hyperlink>
    </w:p>
  </w:footnote>
  <w:footnote w:id="19">
    <w:p w14:paraId="36668A35" w14:textId="77777777" w:rsidR="00A93698" w:rsidRPr="00F96CB3" w:rsidRDefault="00A93698" w:rsidP="007B159B">
      <w:pPr>
        <w:pStyle w:val="FootnoteText"/>
        <w:tabs>
          <w:tab w:val="left" w:pos="282"/>
        </w:tabs>
        <w:ind w:left="0" w:firstLine="0"/>
        <w:jc w:val="left"/>
      </w:pPr>
      <w:r w:rsidRPr="00F96CB3">
        <w:rPr>
          <w:rStyle w:val="FootnoteReference"/>
          <w:rtl/>
        </w:rPr>
        <w:footnoteRef/>
      </w:r>
      <w:r w:rsidRPr="00F96CB3">
        <w:tab/>
      </w:r>
      <w:r w:rsidRPr="00F96CB3">
        <w:rPr>
          <w:rtl/>
        </w:rPr>
        <w:t xml:space="preserve">مستجدات السلامة التشغيلية للخدمة </w:t>
      </w:r>
      <w:r w:rsidRPr="00F96CB3">
        <w:t>ME-SOUTH-1</w:t>
      </w:r>
      <w:r w:rsidRPr="00F96CB3">
        <w:rPr>
          <w:rtl/>
        </w:rPr>
        <w:t xml:space="preserve"> (البحرين)، سبتمبر</w:t>
      </w:r>
      <w:r w:rsidRPr="00F96CB3">
        <w:rPr>
          <w:rFonts w:hint="cs"/>
          <w:rtl/>
        </w:rPr>
        <w:t> </w:t>
      </w:r>
      <w:r w:rsidRPr="00F96CB3">
        <w:t>2026</w:t>
      </w:r>
      <w:r w:rsidRPr="00F96CB3">
        <w:rPr>
          <w:rtl/>
        </w:rPr>
        <w:t xml:space="preserve"> | </w:t>
      </w:r>
      <w:r>
        <w:fldChar w:fldCharType="begin"/>
      </w:r>
      <w:r>
        <w:instrText>HYPERLINK "https://health.aws.amazon.com/health/status?_sp=d6244f1c-0cb2-498b-b35e-cd0e2a94502e&amp;tag=itechguides04-20"</w:instrText>
      </w:r>
      <w:r>
        <w:fldChar w:fldCharType="separate"/>
      </w:r>
      <w:r w:rsidRPr="00F96CB3">
        <w:rPr>
          <w:rStyle w:val="Hyperlink"/>
          <w:lang w:eastAsia="zh-CN"/>
        </w:rPr>
        <w:t>https://health.aws.amazon.com/health/status?_sp=d6244f1c-0cb2-498b-b35e-cd0e2a94502e&amp;tag=itechguides04-20</w:t>
      </w:r>
      <w:r>
        <w:fldChar w:fldCharType="end"/>
      </w:r>
    </w:p>
  </w:footnote>
  <w:footnote w:id="20">
    <w:p w14:paraId="16D0EB73" w14:textId="77777777" w:rsidR="00A93698" w:rsidRPr="00F96CB3" w:rsidRDefault="00A93698" w:rsidP="008312E1">
      <w:pPr>
        <w:pStyle w:val="FootnoteText"/>
        <w:tabs>
          <w:tab w:val="left" w:pos="282"/>
        </w:tabs>
        <w:ind w:left="0" w:firstLine="0"/>
      </w:pPr>
      <w:r w:rsidRPr="007F7558">
        <w:rPr>
          <w:rStyle w:val="FootnoteReference"/>
          <w:rtl/>
        </w:rPr>
        <w:footnoteRef/>
      </w:r>
      <w:r w:rsidRPr="00F96CB3">
        <w:tab/>
      </w:r>
      <w:r w:rsidRPr="00F96CB3">
        <w:rPr>
          <w:rtl/>
        </w:rPr>
        <w:t xml:space="preserve">دول الخليج تحتفظ بمزايا في سباق الذكاء الاصطناعي رغم الحرب | </w:t>
      </w:r>
      <w:r>
        <w:fldChar w:fldCharType="begin"/>
      </w:r>
      <w:r>
        <w:instrText>HYPERLINK "https://www.bakerinstitute.org/sites/default/files/2026-04/20260410_Global%20AI%20Race.pdf"</w:instrText>
      </w:r>
      <w:r>
        <w:fldChar w:fldCharType="separate"/>
      </w:r>
      <w:r w:rsidRPr="00F96CB3">
        <w:rPr>
          <w:rStyle w:val="Hyperlink"/>
          <w:lang w:eastAsia="zh-CN"/>
        </w:rPr>
        <w:t>https://www.bakerinstitute.org/sites/default/files/2026-04/20260410_Global%20AI%20Race.pdf</w:t>
      </w:r>
      <w:r>
        <w:fldChar w:fldCharType="end"/>
      </w:r>
    </w:p>
  </w:footnote>
  <w:footnote w:id="21">
    <w:p w14:paraId="73267FF2" w14:textId="77777777" w:rsidR="000C1714" w:rsidRPr="00F96CB3" w:rsidRDefault="000C1714" w:rsidP="008312E1">
      <w:pPr>
        <w:pStyle w:val="FootnoteText"/>
        <w:tabs>
          <w:tab w:val="left" w:pos="282"/>
        </w:tabs>
        <w:ind w:left="0" w:firstLine="0"/>
      </w:pPr>
      <w:r w:rsidRPr="007F7558">
        <w:rPr>
          <w:rStyle w:val="FootnoteReference"/>
          <w:rtl/>
        </w:rPr>
        <w:footnoteRef/>
      </w:r>
      <w:r w:rsidRPr="00F96CB3">
        <w:tab/>
      </w:r>
      <w:r w:rsidRPr="00F96CB3">
        <w:rPr>
          <w:rtl/>
        </w:rPr>
        <w:t>الشارقة تتعامل مع هجوم طائرة مسيَّرة على مبنى "ثريا" | الشارقة</w:t>
      </w:r>
      <w:r w:rsidRPr="00F96CB3">
        <w:rPr>
          <w:rFonts w:hint="cs"/>
          <w:rtl/>
        </w:rPr>
        <w:t> </w:t>
      </w:r>
      <w:r w:rsidRPr="00F96CB3">
        <w:t>2024</w:t>
      </w:r>
      <w:r w:rsidRPr="00F96CB3">
        <w:rPr>
          <w:rtl/>
        </w:rPr>
        <w:t xml:space="preserve"> | </w:t>
      </w:r>
      <w:r>
        <w:fldChar w:fldCharType="begin"/>
      </w:r>
      <w:r>
        <w:instrText>HYPERLINK "https://sharjah24.ae/ar/Articles/2026/03/31/a32"</w:instrText>
      </w:r>
      <w:r>
        <w:fldChar w:fldCharType="separate"/>
      </w:r>
      <w:r>
        <w:rPr>
          <w:rStyle w:val="Hyperlink"/>
          <w:lang w:eastAsia="zh-CN"/>
        </w:rPr>
        <w:t>https://sharjah24.ae/ar/Articles/2026/03/31/a32</w:t>
      </w:r>
      <w:r>
        <w:fldChar w:fldCharType="end"/>
      </w:r>
    </w:p>
  </w:footnote>
  <w:footnote w:id="22">
    <w:p w14:paraId="270769AA" w14:textId="77777777" w:rsidR="000C1714" w:rsidRPr="00F96CB3" w:rsidRDefault="000C1714" w:rsidP="007B159B">
      <w:pPr>
        <w:pStyle w:val="FootnoteText"/>
        <w:tabs>
          <w:tab w:val="left" w:pos="282"/>
        </w:tabs>
        <w:ind w:left="0" w:firstLine="0"/>
        <w:jc w:val="left"/>
      </w:pPr>
      <w:r w:rsidRPr="007F7558">
        <w:rPr>
          <w:rStyle w:val="FootnoteReference"/>
          <w:rtl/>
        </w:rPr>
        <w:footnoteRef/>
      </w:r>
      <w:r w:rsidRPr="00F96CB3">
        <w:tab/>
      </w:r>
      <w:r w:rsidRPr="00F96CB3">
        <w:rPr>
          <w:rtl/>
        </w:rPr>
        <w:t>السلطات في الفجيرة تستجيب لحادثة استهداف مبنى 'دو' بواسطة طائرة بدون طيار من إيران| وكالة الأنباء الإماراتية (WAM) |</w:t>
      </w:r>
      <w:r>
        <w:rPr>
          <w:rFonts w:hint="cs"/>
          <w:rtl/>
        </w:rPr>
        <w:t xml:space="preserve"> </w:t>
      </w:r>
      <w:hyperlink r:id="rId3" w:history="1">
        <w:r w:rsidRPr="00F96CB3">
          <w:rPr>
            <w:rStyle w:val="Hyperlink"/>
            <w:lang w:eastAsia="zh-CN"/>
          </w:rPr>
          <w:t>https://www.wam.ae/en/article/175otv1-authorities-fujairah-respond-incident-targeting-du</w:t>
        </w:r>
      </w:hyperlink>
    </w:p>
  </w:footnote>
  <w:footnote w:id="23">
    <w:p w14:paraId="1600B12D" w14:textId="77777777" w:rsidR="000C1714" w:rsidRPr="00F255D0" w:rsidRDefault="000C1714" w:rsidP="00A16587">
      <w:pPr>
        <w:pStyle w:val="FootnoteText"/>
        <w:tabs>
          <w:tab w:val="left" w:pos="282"/>
        </w:tabs>
        <w:ind w:left="0" w:firstLine="0"/>
        <w:jc w:val="left"/>
        <w:rPr>
          <w:spacing w:val="-6"/>
        </w:rPr>
      </w:pPr>
      <w:r w:rsidRPr="007F7558">
        <w:rPr>
          <w:rStyle w:val="FootnoteReference"/>
          <w:rtl/>
        </w:rPr>
        <w:footnoteRef/>
      </w:r>
      <w:r w:rsidRPr="007A2824">
        <w:tab/>
      </w:r>
      <w:r w:rsidRPr="00F255D0">
        <w:rPr>
          <w:spacing w:val="-6"/>
          <w:rtl/>
        </w:rPr>
        <w:t xml:space="preserve">تقرير عن آثار التداخل على النظام العالمي للملاحة الساتلية (GNSS) في مجال السلامة البحرية | المعهد الملكي للملاحة | </w:t>
      </w:r>
      <w:r>
        <w:fldChar w:fldCharType="begin"/>
      </w:r>
      <w:r>
        <w:instrText>HYPERLINK "https://rin.org.uk/page/RIN_Maritime_Report"</w:instrText>
      </w:r>
      <w:r>
        <w:fldChar w:fldCharType="separate"/>
      </w:r>
      <w:r w:rsidRPr="00F255D0">
        <w:rPr>
          <w:rStyle w:val="Hyperlink"/>
          <w:spacing w:val="-6"/>
          <w:lang w:eastAsia="zh-CN"/>
        </w:rPr>
        <w:t>https://rin.org.uk/page/RIN_Maritime_Report</w:t>
      </w:r>
      <w:r>
        <w:fldChar w:fldCharType="end"/>
      </w:r>
    </w:p>
  </w:footnote>
  <w:footnote w:id="24">
    <w:p w14:paraId="3399CF62" w14:textId="77777777" w:rsidR="000C1714" w:rsidRPr="007A2824" w:rsidRDefault="000C1714" w:rsidP="00A16587">
      <w:pPr>
        <w:pStyle w:val="FootnoteText"/>
        <w:tabs>
          <w:tab w:val="left" w:pos="282"/>
        </w:tabs>
        <w:ind w:left="0" w:firstLine="0"/>
        <w:jc w:val="left"/>
      </w:pPr>
      <w:r w:rsidRPr="007F7558">
        <w:rPr>
          <w:rStyle w:val="FootnoteReference"/>
          <w:rtl/>
        </w:rPr>
        <w:footnoteRef/>
      </w:r>
      <w:r w:rsidRPr="007A2824">
        <w:tab/>
      </w:r>
      <w:r w:rsidRPr="007A2824">
        <w:rPr>
          <w:rtl/>
        </w:rPr>
        <w:t xml:space="preserve">تقييم المخاطر على السلامة جراء التداخل على الترددات الراديوية للنظام العالمي للملاحة الساتلية (GNSS) | </w:t>
      </w:r>
      <w:bookmarkStart w:id="6" w:name="OLE_LINK3"/>
      <w:bookmarkEnd w:id="6"/>
      <w:r w:rsidRPr="007A2824">
        <w:t>IATA</w:t>
      </w:r>
      <w:r w:rsidRPr="007A2824">
        <w:rPr>
          <w:rFonts w:hint="cs"/>
          <w:rtl/>
        </w:rPr>
        <w:t xml:space="preserve"> | </w:t>
      </w:r>
      <w:r>
        <w:fldChar w:fldCharType="begin"/>
      </w:r>
      <w:r>
        <w:instrText>HYPERLINK "https://ic.iata.org/sites/default/files/iata_sih_document_attachment/IATA%20Safety%20Risk%20Assessment%20-%20GNSS%20Interference%20V5.pdf"</w:instrText>
      </w:r>
      <w:r>
        <w:fldChar w:fldCharType="separate"/>
      </w:r>
      <w:r w:rsidRPr="007A2824">
        <w:rPr>
          <w:rStyle w:val="Hyperlink"/>
          <w:lang w:eastAsia="zh-CN"/>
        </w:rPr>
        <w:t>https://ic.iata.org/sites/default/files/iata_sih_document_attachment/IATA%20Safety%20Risk%20Assessment%20-%20GNSS%20Interference%20V5.pdf</w:t>
      </w:r>
      <w:r>
        <w:fldChar w:fldCharType="end"/>
      </w:r>
    </w:p>
  </w:footnote>
  <w:footnote w:id="25">
    <w:p w14:paraId="2EB5B9BF" w14:textId="77777777" w:rsidR="000C1714" w:rsidRPr="00F255D0" w:rsidRDefault="000C1714" w:rsidP="008312E1">
      <w:pPr>
        <w:pStyle w:val="FootnoteText"/>
        <w:tabs>
          <w:tab w:val="left" w:pos="282"/>
        </w:tabs>
        <w:ind w:left="0" w:firstLine="0"/>
        <w:rPr>
          <w:spacing w:val="-6"/>
        </w:rPr>
      </w:pPr>
      <w:r w:rsidRPr="007F7558">
        <w:rPr>
          <w:rStyle w:val="FootnoteReference"/>
          <w:rtl/>
        </w:rPr>
        <w:footnoteRef/>
      </w:r>
      <w:r w:rsidRPr="00F255D0">
        <w:rPr>
          <w:spacing w:val="-6"/>
        </w:rPr>
        <w:tab/>
      </w:r>
      <w:r w:rsidRPr="00F255D0">
        <w:rPr>
          <w:spacing w:val="-6"/>
          <w:rtl/>
        </w:rPr>
        <w:t>ما الذي تغير بين عامي</w:t>
      </w:r>
      <w:r w:rsidRPr="00F255D0">
        <w:rPr>
          <w:rFonts w:hint="cs"/>
          <w:spacing w:val="-6"/>
          <w:rtl/>
        </w:rPr>
        <w:t> </w:t>
      </w:r>
      <w:r w:rsidRPr="00F255D0">
        <w:rPr>
          <w:spacing w:val="-6"/>
        </w:rPr>
        <w:t>2025</w:t>
      </w:r>
      <w:r w:rsidRPr="00F255D0">
        <w:rPr>
          <w:spacing w:val="-6"/>
          <w:rtl/>
        </w:rPr>
        <w:t xml:space="preserve"> و</w:t>
      </w:r>
      <w:r w:rsidRPr="00F255D0">
        <w:rPr>
          <w:spacing w:val="-6"/>
        </w:rPr>
        <w:t>2026</w:t>
      </w:r>
      <w:r w:rsidRPr="00F255D0">
        <w:rPr>
          <w:spacing w:val="-6"/>
          <w:rtl/>
        </w:rPr>
        <w:t xml:space="preserve"> | </w:t>
      </w:r>
      <w:r w:rsidRPr="00F255D0">
        <w:rPr>
          <w:spacing w:val="-6"/>
        </w:rPr>
        <w:t>Windward</w:t>
      </w:r>
      <w:r w:rsidRPr="00F255D0">
        <w:rPr>
          <w:spacing w:val="-6"/>
          <w:rtl/>
        </w:rPr>
        <w:t xml:space="preserve">| </w:t>
      </w:r>
      <w:r>
        <w:fldChar w:fldCharType="begin"/>
      </w:r>
      <w:r>
        <w:instrText>HYPERLINK "https://windward.ai/blog/gps-jamming-is-mainstream-changes-between-2025-and-2026/"</w:instrText>
      </w:r>
      <w:r>
        <w:fldChar w:fldCharType="separate"/>
      </w:r>
      <w:r w:rsidRPr="00F255D0">
        <w:rPr>
          <w:rStyle w:val="Hyperlink"/>
          <w:spacing w:val="-6"/>
          <w:lang w:eastAsia="zh-CN"/>
        </w:rPr>
        <w:t>https://windward.ai/blog/gps-jamming-is-mainstream-changes-between-2025-and-2026/</w:t>
      </w:r>
      <w:r>
        <w:fldChar w:fldCharType="end"/>
      </w:r>
    </w:p>
  </w:footnote>
  <w:footnote w:id="26">
    <w:p w14:paraId="0CA39162" w14:textId="77777777" w:rsidR="000C1714" w:rsidRPr="007A2824" w:rsidRDefault="000C1714" w:rsidP="008312E1">
      <w:pPr>
        <w:pStyle w:val="FootnoteText"/>
        <w:tabs>
          <w:tab w:val="left" w:pos="282"/>
        </w:tabs>
        <w:ind w:left="0" w:firstLine="0"/>
      </w:pPr>
      <w:r w:rsidRPr="007F7558">
        <w:rPr>
          <w:rStyle w:val="FootnoteReference"/>
          <w:rtl/>
        </w:rPr>
        <w:footnoteRef/>
      </w:r>
      <w:r w:rsidRPr="007A2824">
        <w:tab/>
      </w:r>
      <w:r w:rsidRPr="007A2824">
        <w:rPr>
          <w:rtl/>
        </w:rPr>
        <w:t xml:space="preserve">نظام GPS هو المُعترَك الجديد: لماذا لا تعمل خرائطكم | </w:t>
      </w:r>
      <w:r w:rsidRPr="007A2824">
        <w:t>Wired</w:t>
      </w:r>
      <w:r w:rsidRPr="007A2824">
        <w:rPr>
          <w:rFonts w:hint="cs"/>
          <w:rtl/>
        </w:rPr>
        <w:t xml:space="preserve"> </w:t>
      </w:r>
      <w:r w:rsidRPr="007A2824">
        <w:rPr>
          <w:rtl/>
        </w:rPr>
        <w:t xml:space="preserve">| </w:t>
      </w:r>
      <w:r>
        <w:fldChar w:fldCharType="begin"/>
      </w:r>
      <w:r>
        <w:instrText>HYPERLINK "https://www.wired.me/story/gps-is-the-new-battlefield-why-your-maps-arent-working"</w:instrText>
      </w:r>
      <w:r>
        <w:fldChar w:fldCharType="separate"/>
      </w:r>
      <w:r w:rsidRPr="007A2824">
        <w:rPr>
          <w:rStyle w:val="Hyperlink"/>
          <w:lang w:eastAsia="zh-CN"/>
        </w:rPr>
        <w:t>https://www.wired.me/story/gps-is-the-new-battlefield-why-your-maps-arent-working</w:t>
      </w:r>
      <w:r>
        <w:fldChar w:fldCharType="end"/>
      </w:r>
    </w:p>
  </w:footnote>
  <w:footnote w:id="27">
    <w:p w14:paraId="7A0D0A88" w14:textId="77777777" w:rsidR="000C1714" w:rsidRPr="00F255D0" w:rsidRDefault="000C1714" w:rsidP="008312E1">
      <w:pPr>
        <w:pStyle w:val="FootnoteText"/>
        <w:tabs>
          <w:tab w:val="left" w:pos="282"/>
        </w:tabs>
        <w:ind w:left="0" w:firstLine="0"/>
        <w:rPr>
          <w:spacing w:val="-6"/>
        </w:rPr>
      </w:pPr>
      <w:r w:rsidRPr="007F7558">
        <w:rPr>
          <w:rStyle w:val="FootnoteReference"/>
          <w:rtl/>
        </w:rPr>
        <w:footnoteRef/>
      </w:r>
      <w:r w:rsidRPr="00F255D0">
        <w:rPr>
          <w:spacing w:val="-6"/>
        </w:rPr>
        <w:tab/>
      </w:r>
      <w:r w:rsidRPr="00F255D0">
        <w:rPr>
          <w:spacing w:val="-6"/>
          <w:rtl/>
        </w:rPr>
        <w:t xml:space="preserve">فنلندا – "الاتصالات الخلوية تتأثر أيضاً بالتداخل" | مؤسسة صمود الملاحة والتوقيت </w:t>
      </w:r>
      <w:r w:rsidRPr="00F255D0">
        <w:rPr>
          <w:spacing w:val="-6"/>
        </w:rPr>
        <w:t>(RTN)</w:t>
      </w:r>
      <w:r w:rsidRPr="00F255D0">
        <w:rPr>
          <w:spacing w:val="-6"/>
          <w:rtl/>
        </w:rPr>
        <w:t xml:space="preserve"> | </w:t>
      </w:r>
      <w:r>
        <w:fldChar w:fldCharType="begin"/>
      </w:r>
      <w:r>
        <w:instrText>HYPERLINK "https://rntfnd.org/2026/04/23/finland-cellular-also-impacted-by-interference/"</w:instrText>
      </w:r>
      <w:r>
        <w:fldChar w:fldCharType="separate"/>
      </w:r>
      <w:r w:rsidRPr="00F255D0">
        <w:rPr>
          <w:rStyle w:val="Hyperlink"/>
          <w:spacing w:val="-6"/>
          <w:lang w:eastAsia="zh-CN"/>
        </w:rPr>
        <w:t>https://rntfnd.org/2026/04/23/finland-cellular-also-impacted-by-interference/</w:t>
      </w:r>
      <w:r>
        <w:fldChar w:fldCharType="end"/>
      </w:r>
    </w:p>
  </w:footnote>
  <w:footnote w:id="28">
    <w:p w14:paraId="780506FC" w14:textId="77777777" w:rsidR="00EA2E3B" w:rsidRPr="00F155BF" w:rsidRDefault="00EA2E3B" w:rsidP="008312E1">
      <w:pPr>
        <w:pStyle w:val="FootnoteText"/>
        <w:tabs>
          <w:tab w:val="left" w:pos="282"/>
        </w:tabs>
        <w:ind w:left="0" w:firstLine="0"/>
        <w:rPr>
          <w:spacing w:val="-2"/>
        </w:rPr>
      </w:pPr>
      <w:r w:rsidRPr="00F155BF">
        <w:rPr>
          <w:rStyle w:val="FootnoteReference"/>
          <w:spacing w:val="-2"/>
          <w:rtl/>
        </w:rPr>
        <w:footnoteRef/>
      </w:r>
      <w:r w:rsidRPr="00F155BF">
        <w:rPr>
          <w:spacing w:val="-2"/>
        </w:rPr>
        <w:tab/>
      </w:r>
      <w:r w:rsidRPr="00F155BF">
        <w:rPr>
          <w:spacing w:val="-2"/>
          <w:rtl/>
        </w:rPr>
        <w:t xml:space="preserve">التداخل الضار على خدمة الملاحة الراديوية الساتلية | الاتحاد الدولي للاتصالات | </w:t>
      </w:r>
      <w:r>
        <w:fldChar w:fldCharType="begin"/>
      </w:r>
      <w:r>
        <w:instrText>HYPERLINK "https://www.itu.int/harmful-interference-to-rnss/" \l "/ar"</w:instrText>
      </w:r>
      <w:r>
        <w:fldChar w:fldCharType="separate"/>
      </w:r>
      <w:r w:rsidRPr="00F155BF">
        <w:rPr>
          <w:rStyle w:val="Hyperlink"/>
          <w:spacing w:val="-2"/>
          <w:lang w:eastAsia="zh-CN"/>
        </w:rPr>
        <w:t>https://www.itu.int/harmful-interference-to-rnss/#/ar</w:t>
      </w:r>
      <w:r>
        <w:fldChar w:fldCharType="end"/>
      </w:r>
    </w:p>
  </w:footnote>
  <w:footnote w:id="29">
    <w:p w14:paraId="7FDDD1B3" w14:textId="77777777" w:rsidR="00916E51" w:rsidRPr="007F09EE" w:rsidRDefault="00916E51" w:rsidP="007F09EE">
      <w:pPr>
        <w:pStyle w:val="FootnoteText"/>
        <w:tabs>
          <w:tab w:val="left" w:pos="282"/>
        </w:tabs>
        <w:ind w:left="0" w:firstLine="0"/>
        <w:jc w:val="left"/>
        <w:rPr>
          <w:spacing w:val="2"/>
        </w:rPr>
      </w:pPr>
      <w:r w:rsidRPr="00DA6385">
        <w:rPr>
          <w:rStyle w:val="FootnoteReference"/>
          <w:rtl/>
        </w:rPr>
        <w:footnoteRef/>
      </w:r>
      <w:r w:rsidRPr="0090777E">
        <w:rPr>
          <w:spacing w:val="-2"/>
          <w:rtl/>
        </w:rPr>
        <w:tab/>
      </w:r>
      <w:r w:rsidRPr="007F09EE">
        <w:rPr>
          <w:spacing w:val="2"/>
          <w:rtl/>
        </w:rPr>
        <w:t xml:space="preserve">الإبحار في المياه المعادية: البنية التحتية للكبلات البحرية ومضيق هرمز | </w:t>
      </w:r>
      <w:proofErr w:type="spellStart"/>
      <w:r w:rsidRPr="007F09EE">
        <w:rPr>
          <w:spacing w:val="2"/>
        </w:rPr>
        <w:t>TeleGeography</w:t>
      </w:r>
      <w:proofErr w:type="spellEnd"/>
      <w:r w:rsidRPr="007F09EE">
        <w:rPr>
          <w:rFonts w:hint="cs"/>
          <w:spacing w:val="2"/>
          <w:rtl/>
        </w:rPr>
        <w:t xml:space="preserve"> </w:t>
      </w:r>
      <w:r w:rsidRPr="007F09EE">
        <w:rPr>
          <w:spacing w:val="2"/>
          <w:rtl/>
        </w:rPr>
        <w:t xml:space="preserve">| </w:t>
      </w:r>
      <w:hyperlink r:id="rId4" w:history="1">
        <w:r w:rsidRPr="007F09EE">
          <w:rPr>
            <w:rStyle w:val="Hyperlink"/>
            <w:spacing w:val="2"/>
            <w:lang w:eastAsia="zh-CN"/>
          </w:rPr>
          <w:t>https://resources.telegeography.com/submarine-cable-infrastructure-strait-hormuz</w:t>
        </w:r>
      </w:hyperlink>
    </w:p>
  </w:footnote>
  <w:footnote w:id="30">
    <w:p w14:paraId="4C647652" w14:textId="77777777" w:rsidR="00916E51" w:rsidRPr="00AC0F76" w:rsidRDefault="00916E51" w:rsidP="008312E1">
      <w:pPr>
        <w:pStyle w:val="FootnoteText"/>
        <w:tabs>
          <w:tab w:val="left" w:pos="282"/>
        </w:tabs>
        <w:ind w:left="0" w:firstLine="0"/>
        <w:rPr>
          <w:spacing w:val="-8"/>
        </w:rPr>
      </w:pPr>
      <w:r w:rsidRPr="00AC0F76">
        <w:rPr>
          <w:rStyle w:val="FootnoteReference"/>
          <w:spacing w:val="-8"/>
          <w:rtl/>
        </w:rPr>
        <w:footnoteRef/>
      </w:r>
      <w:r w:rsidRPr="00AC0F76">
        <w:rPr>
          <w:spacing w:val="-8"/>
          <w:rtl/>
        </w:rPr>
        <w:tab/>
      </w:r>
      <w:r w:rsidRPr="00AC0F76">
        <w:rPr>
          <w:spacing w:val="-8"/>
          <w:rtl/>
        </w:rPr>
        <w:t>التدريب السيبراني العالمي للاتحاد؛ ملغ</w:t>
      </w:r>
      <w:r w:rsidRPr="00AC0F76">
        <w:rPr>
          <w:rFonts w:hint="cs"/>
          <w:spacing w:val="-8"/>
          <w:rtl/>
        </w:rPr>
        <w:t xml:space="preserve">ي </w:t>
      </w:r>
      <w:r w:rsidRPr="00AC0F76">
        <w:rPr>
          <w:spacing w:val="-8"/>
          <w:rtl/>
        </w:rPr>
        <w:t xml:space="preserve">| </w:t>
      </w:r>
      <w:hyperlink r:id="rId5" w:history="1">
        <w:r w:rsidRPr="00AC0F76">
          <w:rPr>
            <w:rStyle w:val="Hyperlink"/>
            <w:spacing w:val="-8"/>
            <w:lang w:val="fr-FR" w:eastAsia="zh-CN"/>
          </w:rPr>
          <w:t>https://www.itu.int/en/ITU-D/Cybersecurity/Pages/CyberDrill-2026/GlobalCyberDrill-26.aspx</w:t>
        </w:r>
      </w:hyperlink>
    </w:p>
  </w:footnote>
  <w:footnote w:id="31">
    <w:p w14:paraId="451C146F" w14:textId="77777777" w:rsidR="00916E51" w:rsidRPr="0042175E" w:rsidRDefault="00916E51" w:rsidP="008312E1">
      <w:pPr>
        <w:pStyle w:val="FootnoteText"/>
        <w:tabs>
          <w:tab w:val="left" w:pos="282"/>
        </w:tabs>
        <w:ind w:left="0" w:firstLine="0"/>
        <w:rPr>
          <w:spacing w:val="-2"/>
        </w:rPr>
      </w:pPr>
      <w:r w:rsidRPr="0042175E">
        <w:rPr>
          <w:rStyle w:val="FootnoteReference"/>
          <w:spacing w:val="-2"/>
          <w:rtl/>
        </w:rPr>
        <w:footnoteRef/>
      </w:r>
      <w:r w:rsidRPr="0042175E">
        <w:rPr>
          <w:spacing w:val="-2"/>
          <w:rtl/>
        </w:rPr>
        <w:tab/>
      </w:r>
      <w:r w:rsidRPr="0042175E">
        <w:rPr>
          <w:spacing w:val="-2"/>
          <w:rtl/>
        </w:rPr>
        <w:t xml:space="preserve">المنتدى الإقليمي للتنمية لمنطقة الدول العربية </w:t>
      </w:r>
      <w:r w:rsidRPr="0042175E">
        <w:rPr>
          <w:spacing w:val="-2"/>
        </w:rPr>
        <w:t>(RDF26-ARB)</w:t>
      </w:r>
      <w:r w:rsidRPr="0042175E">
        <w:rPr>
          <w:spacing w:val="-2"/>
          <w:rtl/>
        </w:rPr>
        <w:t xml:space="preserve"> - ت</w:t>
      </w:r>
      <w:r w:rsidRPr="0042175E">
        <w:rPr>
          <w:rFonts w:hint="cs"/>
          <w:spacing w:val="-2"/>
          <w:rtl/>
        </w:rPr>
        <w:t>أ</w:t>
      </w:r>
      <w:r w:rsidRPr="0042175E">
        <w:rPr>
          <w:spacing w:val="-2"/>
          <w:rtl/>
        </w:rPr>
        <w:t>جيل إلى عام</w:t>
      </w:r>
      <w:r w:rsidRPr="0042175E">
        <w:rPr>
          <w:rFonts w:hint="cs"/>
          <w:spacing w:val="-2"/>
          <w:rtl/>
        </w:rPr>
        <w:t> </w:t>
      </w:r>
      <w:r w:rsidRPr="0042175E">
        <w:rPr>
          <w:spacing w:val="-2"/>
        </w:rPr>
        <w:t>2027</w:t>
      </w:r>
      <w:r w:rsidRPr="0042175E">
        <w:rPr>
          <w:spacing w:val="-2"/>
          <w:rtl/>
        </w:rPr>
        <w:t xml:space="preserve"> | </w:t>
      </w:r>
      <w:hyperlink r:id="rId6" w:history="1">
        <w:r w:rsidRPr="0042175E">
          <w:rPr>
            <w:rStyle w:val="Hyperlink"/>
            <w:spacing w:val="-2"/>
            <w:lang w:eastAsia="zh-CN"/>
          </w:rPr>
          <w:t>https://www.itu.int/dms_pub/itu-d/md/26/dm/cir/D26-DM-CIR-0027!!PDF-a.pdf</w:t>
        </w:r>
      </w:hyperlink>
    </w:p>
  </w:footnote>
  <w:footnote w:id="32">
    <w:p w14:paraId="6148CEB3" w14:textId="2914D94E" w:rsidR="00916E51" w:rsidRPr="00D1418F" w:rsidRDefault="00916E51" w:rsidP="008312E1">
      <w:pPr>
        <w:pStyle w:val="FootnoteText"/>
        <w:tabs>
          <w:tab w:val="left" w:pos="282"/>
        </w:tabs>
        <w:ind w:left="0" w:firstLine="0"/>
      </w:pPr>
      <w:r w:rsidRPr="00E558A0">
        <w:rPr>
          <w:rStyle w:val="FootnoteReference"/>
          <w:rtl/>
        </w:rPr>
        <w:footnoteRef/>
      </w:r>
      <w:r w:rsidRPr="00D1418F">
        <w:rPr>
          <w:rtl/>
        </w:rPr>
        <w:tab/>
      </w:r>
      <w:r w:rsidRPr="00D1418F">
        <w:rPr>
          <w:rtl/>
        </w:rPr>
        <w:t>أحداث الاتحاد في عام</w:t>
      </w:r>
      <w:r w:rsidRPr="00D1418F">
        <w:rPr>
          <w:rFonts w:hint="cs"/>
          <w:rtl/>
        </w:rPr>
        <w:t> </w:t>
      </w:r>
      <w:r w:rsidRPr="00D1418F">
        <w:t>2026</w:t>
      </w:r>
      <w:r w:rsidRPr="00D1418F">
        <w:rPr>
          <w:rtl/>
        </w:rPr>
        <w:t xml:space="preserve"> | </w:t>
      </w:r>
      <w:hyperlink r:id="rId7" w:history="1">
        <w:r w:rsidRPr="00D1418F">
          <w:rPr>
            <w:rStyle w:val="Hyperlink"/>
            <w:lang w:eastAsia="zh-CN"/>
          </w:rPr>
          <w:t>https://www.itu.int/en/ITU-D/Regional-Presence/ArabStates/Pages/events.aspx</w:t>
        </w:r>
      </w:hyperlink>
    </w:p>
  </w:footnote>
  <w:footnote w:id="33">
    <w:p w14:paraId="30C85EC4" w14:textId="77777777" w:rsidR="00916E51" w:rsidRPr="00D1418F" w:rsidRDefault="00916E51" w:rsidP="008312E1">
      <w:pPr>
        <w:pStyle w:val="FootnoteText"/>
        <w:tabs>
          <w:tab w:val="left" w:pos="282"/>
        </w:tabs>
        <w:ind w:left="0" w:firstLine="0"/>
        <w:rPr>
          <w:spacing w:val="-4"/>
        </w:rPr>
      </w:pPr>
      <w:r w:rsidRPr="00E558A0">
        <w:rPr>
          <w:rStyle w:val="FootnoteReference"/>
          <w:rtl/>
        </w:rPr>
        <w:footnoteRef/>
      </w:r>
      <w:r w:rsidRPr="00D1418F">
        <w:rPr>
          <w:spacing w:val="-4"/>
          <w:rtl/>
        </w:rPr>
        <w:tab/>
      </w:r>
      <w:r w:rsidRPr="00D1418F">
        <w:rPr>
          <w:spacing w:val="-4"/>
          <w:rtl/>
        </w:rPr>
        <w:t xml:space="preserve">تقييم الاحتياجات بعد الكارثة | برنامج الأمم المتحدة الإنمائي | </w:t>
      </w:r>
      <w:hyperlink r:id="rId8" w:history="1">
        <w:r w:rsidRPr="00D1418F">
          <w:rPr>
            <w:rStyle w:val="Hyperlink"/>
            <w:spacing w:val="-4"/>
            <w:rtl/>
            <w:lang w:eastAsia="zh-CN"/>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5CF45"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396C70">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365D40B1" w14:textId="77777777" w:rsidR="003915D1" w:rsidRDefault="003915D1"/>
  <w:p w14:paraId="328789BD"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2FD6" w14:textId="564E960F"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w:t>
    </w:r>
    <w:r w:rsidR="005D2B25">
      <w:rPr>
        <w:rStyle w:val="PageNumber"/>
        <w:rFonts w:ascii="Calibri" w:hAnsi="Calibri"/>
      </w:rPr>
      <w:fldChar w:fldCharType="begin"/>
    </w:r>
    <w:r w:rsidR="005D2B25">
      <w:rPr>
        <w:rStyle w:val="PageNumber"/>
        <w:rFonts w:ascii="Calibri" w:hAnsi="Calibri"/>
      </w:rPr>
      <w:instrText xml:space="preserve"> STYLEREF  Doc_No  \* MERGEFORMAT </w:instrText>
    </w:r>
    <w:r w:rsidR="005D2B25">
      <w:rPr>
        <w:rStyle w:val="PageNumber"/>
        <w:rFonts w:ascii="Calibri" w:hAnsi="Calibri"/>
      </w:rPr>
      <w:fldChar w:fldCharType="separate"/>
    </w:r>
    <w:r w:rsidR="00FC59AC">
      <w:rPr>
        <w:rStyle w:val="PageNumber"/>
        <w:rFonts w:ascii="Calibri" w:hAnsi="Calibri"/>
        <w:noProof/>
      </w:rPr>
      <w:t>70</w:t>
    </w:r>
    <w:r w:rsidR="005D2B25">
      <w:rPr>
        <w:rStyle w:val="PageNumber"/>
        <w:rFonts w:ascii="Calibri" w:hAnsi="Calibri"/>
      </w:rPr>
      <w:fldChar w:fldCharType="end"/>
    </w:r>
    <w:r w:rsidR="0094427A">
      <w:rPr>
        <w:rStyle w:val="PageNumber"/>
        <w:rFonts w:ascii="Calibri" w:hAnsi="Calibri"/>
        <w:lang w:val="en-US"/>
      </w:rPr>
      <w:t>(REV.1)</w:t>
    </w:r>
    <w:r w:rsidR="00515E95">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3"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78095139">
    <w:abstractNumId w:val="9"/>
  </w:num>
  <w:num w:numId="2" w16cid:durableId="839857930">
    <w:abstractNumId w:val="7"/>
  </w:num>
  <w:num w:numId="3" w16cid:durableId="435101260">
    <w:abstractNumId w:val="6"/>
  </w:num>
  <w:num w:numId="4" w16cid:durableId="1277174107">
    <w:abstractNumId w:val="5"/>
  </w:num>
  <w:num w:numId="5" w16cid:durableId="519439529">
    <w:abstractNumId w:val="4"/>
  </w:num>
  <w:num w:numId="6" w16cid:durableId="163014090">
    <w:abstractNumId w:val="8"/>
  </w:num>
  <w:num w:numId="7" w16cid:durableId="2109229697">
    <w:abstractNumId w:val="3"/>
  </w:num>
  <w:num w:numId="8" w16cid:durableId="80639574">
    <w:abstractNumId w:val="2"/>
  </w:num>
  <w:num w:numId="9" w16cid:durableId="1380208481">
    <w:abstractNumId w:val="1"/>
  </w:num>
  <w:num w:numId="10" w16cid:durableId="934825039">
    <w:abstractNumId w:val="0"/>
  </w:num>
  <w:num w:numId="11" w16cid:durableId="1721713090">
    <w:abstractNumId w:val="15"/>
  </w:num>
  <w:num w:numId="12" w16cid:durableId="926427558">
    <w:abstractNumId w:val="11"/>
  </w:num>
  <w:num w:numId="13" w16cid:durableId="955865750">
    <w:abstractNumId w:val="12"/>
  </w:num>
  <w:num w:numId="14" w16cid:durableId="2107530090">
    <w:abstractNumId w:val="14"/>
  </w:num>
  <w:num w:numId="15" w16cid:durableId="1619488664">
    <w:abstractNumId w:val="13"/>
  </w:num>
  <w:num w:numId="16" w16cid:durableId="19079101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C70"/>
    <w:rsid w:val="00003ED5"/>
    <w:rsid w:val="00004A19"/>
    <w:rsid w:val="00005A03"/>
    <w:rsid w:val="00006678"/>
    <w:rsid w:val="00006EBB"/>
    <w:rsid w:val="000075F1"/>
    <w:rsid w:val="0001204F"/>
    <w:rsid w:val="00014526"/>
    <w:rsid w:val="00014808"/>
    <w:rsid w:val="00015A2C"/>
    <w:rsid w:val="00015D0B"/>
    <w:rsid w:val="000171F8"/>
    <w:rsid w:val="00022AB9"/>
    <w:rsid w:val="000273BE"/>
    <w:rsid w:val="00027664"/>
    <w:rsid w:val="00032200"/>
    <w:rsid w:val="000339C8"/>
    <w:rsid w:val="0003560D"/>
    <w:rsid w:val="00040CA3"/>
    <w:rsid w:val="000410FE"/>
    <w:rsid w:val="000413B4"/>
    <w:rsid w:val="00045A49"/>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77168"/>
    <w:rsid w:val="00083144"/>
    <w:rsid w:val="00093C07"/>
    <w:rsid w:val="00093D7D"/>
    <w:rsid w:val="00093EE3"/>
    <w:rsid w:val="000960D3"/>
    <w:rsid w:val="000969A1"/>
    <w:rsid w:val="00097232"/>
    <w:rsid w:val="000972E1"/>
    <w:rsid w:val="000A4F65"/>
    <w:rsid w:val="000A557E"/>
    <w:rsid w:val="000A5D83"/>
    <w:rsid w:val="000A6DD9"/>
    <w:rsid w:val="000B13CF"/>
    <w:rsid w:val="000B169B"/>
    <w:rsid w:val="000B2234"/>
    <w:rsid w:val="000B339E"/>
    <w:rsid w:val="000B5B65"/>
    <w:rsid w:val="000B6571"/>
    <w:rsid w:val="000C0CA9"/>
    <w:rsid w:val="000C1714"/>
    <w:rsid w:val="000C29AB"/>
    <w:rsid w:val="000C2A75"/>
    <w:rsid w:val="000C4701"/>
    <w:rsid w:val="000C527E"/>
    <w:rsid w:val="000D0B72"/>
    <w:rsid w:val="000D1672"/>
    <w:rsid w:val="000D6C31"/>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41C4"/>
    <w:rsid w:val="00115591"/>
    <w:rsid w:val="0011763A"/>
    <w:rsid w:val="001177C4"/>
    <w:rsid w:val="00117D4E"/>
    <w:rsid w:val="00124807"/>
    <w:rsid w:val="001252B0"/>
    <w:rsid w:val="00126205"/>
    <w:rsid w:val="00127D4A"/>
    <w:rsid w:val="00130211"/>
    <w:rsid w:val="0013130B"/>
    <w:rsid w:val="0013585C"/>
    <w:rsid w:val="001409D8"/>
    <w:rsid w:val="00144461"/>
    <w:rsid w:val="001447E0"/>
    <w:rsid w:val="00144D53"/>
    <w:rsid w:val="001463D3"/>
    <w:rsid w:val="00146A84"/>
    <w:rsid w:val="00147307"/>
    <w:rsid w:val="001507E4"/>
    <w:rsid w:val="0015245B"/>
    <w:rsid w:val="0015382E"/>
    <w:rsid w:val="00162B4F"/>
    <w:rsid w:val="00166E26"/>
    <w:rsid w:val="0017073C"/>
    <w:rsid w:val="00171990"/>
    <w:rsid w:val="001720D9"/>
    <w:rsid w:val="001763DB"/>
    <w:rsid w:val="00177EA5"/>
    <w:rsid w:val="001806FE"/>
    <w:rsid w:val="00181306"/>
    <w:rsid w:val="001822F5"/>
    <w:rsid w:val="001853C0"/>
    <w:rsid w:val="00186AFE"/>
    <w:rsid w:val="001906C8"/>
    <w:rsid w:val="001918E2"/>
    <w:rsid w:val="0019549A"/>
    <w:rsid w:val="00195991"/>
    <w:rsid w:val="00196714"/>
    <w:rsid w:val="001A0EEB"/>
    <w:rsid w:val="001A1760"/>
    <w:rsid w:val="001A21B3"/>
    <w:rsid w:val="001A2439"/>
    <w:rsid w:val="001A4166"/>
    <w:rsid w:val="001A5347"/>
    <w:rsid w:val="001A730B"/>
    <w:rsid w:val="001A79FF"/>
    <w:rsid w:val="001B1704"/>
    <w:rsid w:val="001B2C77"/>
    <w:rsid w:val="001B3038"/>
    <w:rsid w:val="001B428F"/>
    <w:rsid w:val="001B5864"/>
    <w:rsid w:val="001B58C3"/>
    <w:rsid w:val="001B61AB"/>
    <w:rsid w:val="001B6288"/>
    <w:rsid w:val="001C100C"/>
    <w:rsid w:val="001C3DAF"/>
    <w:rsid w:val="001C3F63"/>
    <w:rsid w:val="001C5D24"/>
    <w:rsid w:val="001C6944"/>
    <w:rsid w:val="001C7265"/>
    <w:rsid w:val="001D1069"/>
    <w:rsid w:val="001D1501"/>
    <w:rsid w:val="001D200F"/>
    <w:rsid w:val="001D29EC"/>
    <w:rsid w:val="001D5408"/>
    <w:rsid w:val="001D5FF3"/>
    <w:rsid w:val="001D6BFF"/>
    <w:rsid w:val="001D78A4"/>
    <w:rsid w:val="001D7E58"/>
    <w:rsid w:val="001E13D0"/>
    <w:rsid w:val="001E5562"/>
    <w:rsid w:val="001E7F8A"/>
    <w:rsid w:val="001F0201"/>
    <w:rsid w:val="001F09C7"/>
    <w:rsid w:val="001F0B24"/>
    <w:rsid w:val="001F263C"/>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8C0"/>
    <w:rsid w:val="00217C9F"/>
    <w:rsid w:val="00220D98"/>
    <w:rsid w:val="002218B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652A7"/>
    <w:rsid w:val="00272074"/>
    <w:rsid w:val="002732BB"/>
    <w:rsid w:val="0027409B"/>
    <w:rsid w:val="0027456E"/>
    <w:rsid w:val="00275EF8"/>
    <w:rsid w:val="00276339"/>
    <w:rsid w:val="00276A6F"/>
    <w:rsid w:val="002802F3"/>
    <w:rsid w:val="002816D2"/>
    <w:rsid w:val="002824BE"/>
    <w:rsid w:val="00283FC8"/>
    <w:rsid w:val="00285647"/>
    <w:rsid w:val="0028702E"/>
    <w:rsid w:val="002915EF"/>
    <w:rsid w:val="002949CF"/>
    <w:rsid w:val="00295D67"/>
    <w:rsid w:val="002A2EA3"/>
    <w:rsid w:val="002A4852"/>
    <w:rsid w:val="002A57E3"/>
    <w:rsid w:val="002A670C"/>
    <w:rsid w:val="002B0CD9"/>
    <w:rsid w:val="002B317F"/>
    <w:rsid w:val="002B684C"/>
    <w:rsid w:val="002B6C81"/>
    <w:rsid w:val="002B75A7"/>
    <w:rsid w:val="002B78B3"/>
    <w:rsid w:val="002C0FE5"/>
    <w:rsid w:val="002C13B9"/>
    <w:rsid w:val="002C25AF"/>
    <w:rsid w:val="002C3D13"/>
    <w:rsid w:val="002C41DC"/>
    <w:rsid w:val="002D1213"/>
    <w:rsid w:val="002D207A"/>
    <w:rsid w:val="002D2F4A"/>
    <w:rsid w:val="002E120B"/>
    <w:rsid w:val="002E20D6"/>
    <w:rsid w:val="002E24F7"/>
    <w:rsid w:val="002E79C6"/>
    <w:rsid w:val="002E7A73"/>
    <w:rsid w:val="002F0B1D"/>
    <w:rsid w:val="002F3DC3"/>
    <w:rsid w:val="002F4455"/>
    <w:rsid w:val="002F5546"/>
    <w:rsid w:val="002F6EA1"/>
    <w:rsid w:val="002F6FAE"/>
    <w:rsid w:val="002F736F"/>
    <w:rsid w:val="002F7461"/>
    <w:rsid w:val="0030179E"/>
    <w:rsid w:val="00302911"/>
    <w:rsid w:val="00303069"/>
    <w:rsid w:val="003039A5"/>
    <w:rsid w:val="00304676"/>
    <w:rsid w:val="00306982"/>
    <w:rsid w:val="003073ED"/>
    <w:rsid w:val="0031047C"/>
    <w:rsid w:val="0031501E"/>
    <w:rsid w:val="0031628D"/>
    <w:rsid w:val="003168EC"/>
    <w:rsid w:val="00324167"/>
    <w:rsid w:val="0032611B"/>
    <w:rsid w:val="00326A4C"/>
    <w:rsid w:val="003318F9"/>
    <w:rsid w:val="00333132"/>
    <w:rsid w:val="003340A3"/>
    <w:rsid w:val="00335B35"/>
    <w:rsid w:val="00337F61"/>
    <w:rsid w:val="00342815"/>
    <w:rsid w:val="003466E8"/>
    <w:rsid w:val="003466E9"/>
    <w:rsid w:val="0035227D"/>
    <w:rsid w:val="00353D14"/>
    <w:rsid w:val="00354214"/>
    <w:rsid w:val="00355CBF"/>
    <w:rsid w:val="003565F7"/>
    <w:rsid w:val="00357F0A"/>
    <w:rsid w:val="00361DC0"/>
    <w:rsid w:val="00365686"/>
    <w:rsid w:val="00367C61"/>
    <w:rsid w:val="003701A8"/>
    <w:rsid w:val="0037444F"/>
    <w:rsid w:val="00374D21"/>
    <w:rsid w:val="003757D0"/>
    <w:rsid w:val="00375BBA"/>
    <w:rsid w:val="0037782E"/>
    <w:rsid w:val="00380BE2"/>
    <w:rsid w:val="003810C1"/>
    <w:rsid w:val="00381E5A"/>
    <w:rsid w:val="0038225E"/>
    <w:rsid w:val="0038302F"/>
    <w:rsid w:val="00385872"/>
    <w:rsid w:val="003915D1"/>
    <w:rsid w:val="0039173C"/>
    <w:rsid w:val="00393DDA"/>
    <w:rsid w:val="00394B03"/>
    <w:rsid w:val="00395CE4"/>
    <w:rsid w:val="00396C70"/>
    <w:rsid w:val="00397B27"/>
    <w:rsid w:val="003A0ECA"/>
    <w:rsid w:val="003A1506"/>
    <w:rsid w:val="003A185D"/>
    <w:rsid w:val="003A3F14"/>
    <w:rsid w:val="003A434B"/>
    <w:rsid w:val="003A61DC"/>
    <w:rsid w:val="003A761D"/>
    <w:rsid w:val="003A774C"/>
    <w:rsid w:val="003A7C81"/>
    <w:rsid w:val="003B41B7"/>
    <w:rsid w:val="003B5608"/>
    <w:rsid w:val="003B6ED7"/>
    <w:rsid w:val="003C0AA9"/>
    <w:rsid w:val="003C36E0"/>
    <w:rsid w:val="003C42DE"/>
    <w:rsid w:val="003C49EA"/>
    <w:rsid w:val="003D3510"/>
    <w:rsid w:val="003D39E0"/>
    <w:rsid w:val="003D59E8"/>
    <w:rsid w:val="003E018F"/>
    <w:rsid w:val="003E10FA"/>
    <w:rsid w:val="003E1E43"/>
    <w:rsid w:val="003E2766"/>
    <w:rsid w:val="003E28E5"/>
    <w:rsid w:val="003E4824"/>
    <w:rsid w:val="003E6D8C"/>
    <w:rsid w:val="003E6F55"/>
    <w:rsid w:val="003F428F"/>
    <w:rsid w:val="003F4292"/>
    <w:rsid w:val="003F77A8"/>
    <w:rsid w:val="00400692"/>
    <w:rsid w:val="004010DD"/>
    <w:rsid w:val="00401244"/>
    <w:rsid w:val="004014B0"/>
    <w:rsid w:val="00401F0D"/>
    <w:rsid w:val="00402B4F"/>
    <w:rsid w:val="00405596"/>
    <w:rsid w:val="00406179"/>
    <w:rsid w:val="00406227"/>
    <w:rsid w:val="0040663B"/>
    <w:rsid w:val="00413C36"/>
    <w:rsid w:val="00414B82"/>
    <w:rsid w:val="00414DDA"/>
    <w:rsid w:val="00416440"/>
    <w:rsid w:val="004220EA"/>
    <w:rsid w:val="00423108"/>
    <w:rsid w:val="00423462"/>
    <w:rsid w:val="0042363E"/>
    <w:rsid w:val="00425093"/>
    <w:rsid w:val="00425658"/>
    <w:rsid w:val="00426AC1"/>
    <w:rsid w:val="00433A34"/>
    <w:rsid w:val="004340DE"/>
    <w:rsid w:val="0043422D"/>
    <w:rsid w:val="004423B0"/>
    <w:rsid w:val="00444228"/>
    <w:rsid w:val="00445219"/>
    <w:rsid w:val="00446AA8"/>
    <w:rsid w:val="00453CD6"/>
    <w:rsid w:val="004542C1"/>
    <w:rsid w:val="004545DA"/>
    <w:rsid w:val="00460E9D"/>
    <w:rsid w:val="00461A8F"/>
    <w:rsid w:val="00461CCF"/>
    <w:rsid w:val="00461F92"/>
    <w:rsid w:val="00462902"/>
    <w:rsid w:val="004648AF"/>
    <w:rsid w:val="004649F8"/>
    <w:rsid w:val="004676C0"/>
    <w:rsid w:val="00471899"/>
    <w:rsid w:val="00472BA1"/>
    <w:rsid w:val="00473962"/>
    <w:rsid w:val="0047406F"/>
    <w:rsid w:val="00481B25"/>
    <w:rsid w:val="0048341F"/>
    <w:rsid w:val="00484AB9"/>
    <w:rsid w:val="004869DA"/>
    <w:rsid w:val="00495465"/>
    <w:rsid w:val="004956B9"/>
    <w:rsid w:val="004958CB"/>
    <w:rsid w:val="004A1AC1"/>
    <w:rsid w:val="004A5426"/>
    <w:rsid w:val="004A63FE"/>
    <w:rsid w:val="004B0FAC"/>
    <w:rsid w:val="004B1EFD"/>
    <w:rsid w:val="004B2F2E"/>
    <w:rsid w:val="004B36E0"/>
    <w:rsid w:val="004B39C5"/>
    <w:rsid w:val="004B677A"/>
    <w:rsid w:val="004B67AA"/>
    <w:rsid w:val="004C2664"/>
    <w:rsid w:val="004C75AD"/>
    <w:rsid w:val="004D0CCC"/>
    <w:rsid w:val="004D2102"/>
    <w:rsid w:val="004D2AEB"/>
    <w:rsid w:val="004D5FA3"/>
    <w:rsid w:val="004E150E"/>
    <w:rsid w:val="004E1595"/>
    <w:rsid w:val="004E16BE"/>
    <w:rsid w:val="004E197A"/>
    <w:rsid w:val="004E237A"/>
    <w:rsid w:val="004E3EB9"/>
    <w:rsid w:val="004E59CA"/>
    <w:rsid w:val="004E61E9"/>
    <w:rsid w:val="004E6FB0"/>
    <w:rsid w:val="004E70B5"/>
    <w:rsid w:val="004F3073"/>
    <w:rsid w:val="004F40C7"/>
    <w:rsid w:val="004F4986"/>
    <w:rsid w:val="004F5F61"/>
    <w:rsid w:val="004F66E1"/>
    <w:rsid w:val="004F79C1"/>
    <w:rsid w:val="004F7CE1"/>
    <w:rsid w:val="004F7E26"/>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4DF"/>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56F02"/>
    <w:rsid w:val="005610F0"/>
    <w:rsid w:val="0056395A"/>
    <w:rsid w:val="00565E64"/>
    <w:rsid w:val="00567130"/>
    <w:rsid w:val="00573BC2"/>
    <w:rsid w:val="005741E5"/>
    <w:rsid w:val="00575907"/>
    <w:rsid w:val="00576C04"/>
    <w:rsid w:val="00577207"/>
    <w:rsid w:val="00577F3A"/>
    <w:rsid w:val="005805E4"/>
    <w:rsid w:val="00582912"/>
    <w:rsid w:val="005857F3"/>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B4A91"/>
    <w:rsid w:val="005C1D03"/>
    <w:rsid w:val="005C4053"/>
    <w:rsid w:val="005C4FB8"/>
    <w:rsid w:val="005D1D95"/>
    <w:rsid w:val="005D20FB"/>
    <w:rsid w:val="005D2B25"/>
    <w:rsid w:val="005E1350"/>
    <w:rsid w:val="005E2751"/>
    <w:rsid w:val="005E4059"/>
    <w:rsid w:val="005E4B45"/>
    <w:rsid w:val="005E4B7D"/>
    <w:rsid w:val="005E5420"/>
    <w:rsid w:val="005E6673"/>
    <w:rsid w:val="005F0D0D"/>
    <w:rsid w:val="005F1778"/>
    <w:rsid w:val="005F7DC9"/>
    <w:rsid w:val="0060333E"/>
    <w:rsid w:val="00603B49"/>
    <w:rsid w:val="00603B5E"/>
    <w:rsid w:val="006042F4"/>
    <w:rsid w:val="00604DAF"/>
    <w:rsid w:val="00611488"/>
    <w:rsid w:val="00611B15"/>
    <w:rsid w:val="00617145"/>
    <w:rsid w:val="0061732C"/>
    <w:rsid w:val="00617AE4"/>
    <w:rsid w:val="00617BE4"/>
    <w:rsid w:val="00620258"/>
    <w:rsid w:val="00620660"/>
    <w:rsid w:val="00620F32"/>
    <w:rsid w:val="006213E7"/>
    <w:rsid w:val="0062228A"/>
    <w:rsid w:val="006253C6"/>
    <w:rsid w:val="006326C0"/>
    <w:rsid w:val="006422DC"/>
    <w:rsid w:val="006438BD"/>
    <w:rsid w:val="00646482"/>
    <w:rsid w:val="00646A3A"/>
    <w:rsid w:val="00650A04"/>
    <w:rsid w:val="00650B49"/>
    <w:rsid w:val="00651896"/>
    <w:rsid w:val="00651C59"/>
    <w:rsid w:val="00651F6B"/>
    <w:rsid w:val="00652C0B"/>
    <w:rsid w:val="00654892"/>
    <w:rsid w:val="0065503D"/>
    <w:rsid w:val="00657BE5"/>
    <w:rsid w:val="00661EC0"/>
    <w:rsid w:val="00662527"/>
    <w:rsid w:val="006629E0"/>
    <w:rsid w:val="0066480D"/>
    <w:rsid w:val="006659AE"/>
    <w:rsid w:val="0067065E"/>
    <w:rsid w:val="00674479"/>
    <w:rsid w:val="00674599"/>
    <w:rsid w:val="00675185"/>
    <w:rsid w:val="006776EA"/>
    <w:rsid w:val="00680F62"/>
    <w:rsid w:val="00681B31"/>
    <w:rsid w:val="00683971"/>
    <w:rsid w:val="00686002"/>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15B6"/>
    <w:rsid w:val="006B3924"/>
    <w:rsid w:val="006B3AEE"/>
    <w:rsid w:val="006B4985"/>
    <w:rsid w:val="006B4F10"/>
    <w:rsid w:val="006C02E8"/>
    <w:rsid w:val="006C11F5"/>
    <w:rsid w:val="006C1E30"/>
    <w:rsid w:val="006C2772"/>
    <w:rsid w:val="006C2A91"/>
    <w:rsid w:val="006C2E3B"/>
    <w:rsid w:val="006C362B"/>
    <w:rsid w:val="006C37B0"/>
    <w:rsid w:val="006C3EB5"/>
    <w:rsid w:val="006C420B"/>
    <w:rsid w:val="006C551D"/>
    <w:rsid w:val="006C7EB8"/>
    <w:rsid w:val="006D0D32"/>
    <w:rsid w:val="006D1046"/>
    <w:rsid w:val="006D77BE"/>
    <w:rsid w:val="006E0C48"/>
    <w:rsid w:val="006E46A0"/>
    <w:rsid w:val="006E57C8"/>
    <w:rsid w:val="006E79C9"/>
    <w:rsid w:val="006E7D9F"/>
    <w:rsid w:val="006F5BA2"/>
    <w:rsid w:val="006F6B98"/>
    <w:rsid w:val="006F74AF"/>
    <w:rsid w:val="007016D6"/>
    <w:rsid w:val="00702908"/>
    <w:rsid w:val="00704E42"/>
    <w:rsid w:val="00706323"/>
    <w:rsid w:val="00706D94"/>
    <w:rsid w:val="00707FA6"/>
    <w:rsid w:val="00710152"/>
    <w:rsid w:val="007112FC"/>
    <w:rsid w:val="00711CCD"/>
    <w:rsid w:val="007132AE"/>
    <w:rsid w:val="00713CF2"/>
    <w:rsid w:val="00715487"/>
    <w:rsid w:val="00715852"/>
    <w:rsid w:val="0071655E"/>
    <w:rsid w:val="00716FEB"/>
    <w:rsid w:val="00720A23"/>
    <w:rsid w:val="00721CAD"/>
    <w:rsid w:val="0072561A"/>
    <w:rsid w:val="0072721B"/>
    <w:rsid w:val="00727D3E"/>
    <w:rsid w:val="00730F00"/>
    <w:rsid w:val="007323C3"/>
    <w:rsid w:val="00732B73"/>
    <w:rsid w:val="0073319E"/>
    <w:rsid w:val="00733F7E"/>
    <w:rsid w:val="00734C6D"/>
    <w:rsid w:val="00740ADC"/>
    <w:rsid w:val="0074301C"/>
    <w:rsid w:val="00743023"/>
    <w:rsid w:val="00743FF7"/>
    <w:rsid w:val="0074521C"/>
    <w:rsid w:val="00750829"/>
    <w:rsid w:val="00750EE5"/>
    <w:rsid w:val="0075136F"/>
    <w:rsid w:val="00753705"/>
    <w:rsid w:val="00753B98"/>
    <w:rsid w:val="00755AE8"/>
    <w:rsid w:val="007607C0"/>
    <w:rsid w:val="00761F8F"/>
    <w:rsid w:val="00762938"/>
    <w:rsid w:val="007638CF"/>
    <w:rsid w:val="0076605C"/>
    <w:rsid w:val="00767035"/>
    <w:rsid w:val="00771A8E"/>
    <w:rsid w:val="0077489F"/>
    <w:rsid w:val="0077560E"/>
    <w:rsid w:val="00782EC8"/>
    <w:rsid w:val="007838F5"/>
    <w:rsid w:val="007844D3"/>
    <w:rsid w:val="00785921"/>
    <w:rsid w:val="007872AB"/>
    <w:rsid w:val="00792410"/>
    <w:rsid w:val="00792684"/>
    <w:rsid w:val="0079304C"/>
    <w:rsid w:val="007939EF"/>
    <w:rsid w:val="00794F1D"/>
    <w:rsid w:val="007A3270"/>
    <w:rsid w:val="007A6FF5"/>
    <w:rsid w:val="007B159B"/>
    <w:rsid w:val="007B2866"/>
    <w:rsid w:val="007C43A3"/>
    <w:rsid w:val="007D06DC"/>
    <w:rsid w:val="007D38B8"/>
    <w:rsid w:val="007D40C4"/>
    <w:rsid w:val="007E09CB"/>
    <w:rsid w:val="007E13E6"/>
    <w:rsid w:val="007E2C59"/>
    <w:rsid w:val="007E383B"/>
    <w:rsid w:val="007E3B62"/>
    <w:rsid w:val="007E43B7"/>
    <w:rsid w:val="007E4520"/>
    <w:rsid w:val="007E4BC7"/>
    <w:rsid w:val="007E6D15"/>
    <w:rsid w:val="007E7230"/>
    <w:rsid w:val="007F09EE"/>
    <w:rsid w:val="007F23A3"/>
    <w:rsid w:val="007F2ECE"/>
    <w:rsid w:val="007F7D80"/>
    <w:rsid w:val="008075D5"/>
    <w:rsid w:val="00811230"/>
    <w:rsid w:val="00812DBA"/>
    <w:rsid w:val="00813771"/>
    <w:rsid w:val="0082338B"/>
    <w:rsid w:val="00824C34"/>
    <w:rsid w:val="00826EF1"/>
    <w:rsid w:val="008300E4"/>
    <w:rsid w:val="0083067B"/>
    <w:rsid w:val="008312E1"/>
    <w:rsid w:val="00841726"/>
    <w:rsid w:val="008419E8"/>
    <w:rsid w:val="008421F3"/>
    <w:rsid w:val="00845EC4"/>
    <w:rsid w:val="00846C73"/>
    <w:rsid w:val="008470C6"/>
    <w:rsid w:val="00847517"/>
    <w:rsid w:val="00850AEF"/>
    <w:rsid w:val="008552BC"/>
    <w:rsid w:val="00855F0B"/>
    <w:rsid w:val="008577A0"/>
    <w:rsid w:val="008579A7"/>
    <w:rsid w:val="00861E76"/>
    <w:rsid w:val="0086302A"/>
    <w:rsid w:val="00863CF2"/>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683"/>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E6C8C"/>
    <w:rsid w:val="008F284F"/>
    <w:rsid w:val="008F2D4D"/>
    <w:rsid w:val="008F5294"/>
    <w:rsid w:val="008F54F7"/>
    <w:rsid w:val="008F7023"/>
    <w:rsid w:val="008F75D7"/>
    <w:rsid w:val="008F773C"/>
    <w:rsid w:val="00901E88"/>
    <w:rsid w:val="00901F82"/>
    <w:rsid w:val="00906137"/>
    <w:rsid w:val="00906DD5"/>
    <w:rsid w:val="00911089"/>
    <w:rsid w:val="00911F46"/>
    <w:rsid w:val="00916439"/>
    <w:rsid w:val="00916E51"/>
    <w:rsid w:val="00917FB3"/>
    <w:rsid w:val="00926774"/>
    <w:rsid w:val="0092719A"/>
    <w:rsid w:val="00930C3D"/>
    <w:rsid w:val="009323B7"/>
    <w:rsid w:val="00932B9F"/>
    <w:rsid w:val="009334B3"/>
    <w:rsid w:val="009339AF"/>
    <w:rsid w:val="00937EA4"/>
    <w:rsid w:val="00941FA3"/>
    <w:rsid w:val="0094427A"/>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04A9"/>
    <w:rsid w:val="00991283"/>
    <w:rsid w:val="00993930"/>
    <w:rsid w:val="009956D5"/>
    <w:rsid w:val="009958E2"/>
    <w:rsid w:val="009A0410"/>
    <w:rsid w:val="009A0C4D"/>
    <w:rsid w:val="009A0D5B"/>
    <w:rsid w:val="009A14D3"/>
    <w:rsid w:val="009A47A2"/>
    <w:rsid w:val="009A56BE"/>
    <w:rsid w:val="009A5778"/>
    <w:rsid w:val="009A5B8C"/>
    <w:rsid w:val="009A5F91"/>
    <w:rsid w:val="009A6AAC"/>
    <w:rsid w:val="009A7111"/>
    <w:rsid w:val="009A7334"/>
    <w:rsid w:val="009B2293"/>
    <w:rsid w:val="009B26E8"/>
    <w:rsid w:val="009B52ED"/>
    <w:rsid w:val="009B59A4"/>
    <w:rsid w:val="009B5C6C"/>
    <w:rsid w:val="009B6118"/>
    <w:rsid w:val="009C061B"/>
    <w:rsid w:val="009C06F0"/>
    <w:rsid w:val="009C19A8"/>
    <w:rsid w:val="009C20D4"/>
    <w:rsid w:val="009C36BA"/>
    <w:rsid w:val="009C3D0B"/>
    <w:rsid w:val="009C6891"/>
    <w:rsid w:val="009C7F00"/>
    <w:rsid w:val="009D0064"/>
    <w:rsid w:val="009D20D2"/>
    <w:rsid w:val="009D5118"/>
    <w:rsid w:val="009D5674"/>
    <w:rsid w:val="009E0255"/>
    <w:rsid w:val="009E038D"/>
    <w:rsid w:val="009E369F"/>
    <w:rsid w:val="009F279B"/>
    <w:rsid w:val="009F3188"/>
    <w:rsid w:val="009F4CCC"/>
    <w:rsid w:val="009F79BB"/>
    <w:rsid w:val="00A009FF"/>
    <w:rsid w:val="00A00B7A"/>
    <w:rsid w:val="00A01D3A"/>
    <w:rsid w:val="00A02F07"/>
    <w:rsid w:val="00A035A3"/>
    <w:rsid w:val="00A06CB2"/>
    <w:rsid w:val="00A07160"/>
    <w:rsid w:val="00A104C3"/>
    <w:rsid w:val="00A11C33"/>
    <w:rsid w:val="00A16046"/>
    <w:rsid w:val="00A16587"/>
    <w:rsid w:val="00A16ADB"/>
    <w:rsid w:val="00A225DB"/>
    <w:rsid w:val="00A2287A"/>
    <w:rsid w:val="00A2457A"/>
    <w:rsid w:val="00A27221"/>
    <w:rsid w:val="00A306FA"/>
    <w:rsid w:val="00A335F2"/>
    <w:rsid w:val="00A34E11"/>
    <w:rsid w:val="00A35C62"/>
    <w:rsid w:val="00A366E4"/>
    <w:rsid w:val="00A3778F"/>
    <w:rsid w:val="00A4062B"/>
    <w:rsid w:val="00A453F2"/>
    <w:rsid w:val="00A465F3"/>
    <w:rsid w:val="00A46DED"/>
    <w:rsid w:val="00A4775F"/>
    <w:rsid w:val="00A502DA"/>
    <w:rsid w:val="00A513C4"/>
    <w:rsid w:val="00A51E5B"/>
    <w:rsid w:val="00A53DDE"/>
    <w:rsid w:val="00A542B9"/>
    <w:rsid w:val="00A5456B"/>
    <w:rsid w:val="00A55473"/>
    <w:rsid w:val="00A57C1B"/>
    <w:rsid w:val="00A57D5D"/>
    <w:rsid w:val="00A6044D"/>
    <w:rsid w:val="00A6137B"/>
    <w:rsid w:val="00A626E0"/>
    <w:rsid w:val="00A641DE"/>
    <w:rsid w:val="00A6542C"/>
    <w:rsid w:val="00A66249"/>
    <w:rsid w:val="00A704DB"/>
    <w:rsid w:val="00A71FE1"/>
    <w:rsid w:val="00A735A3"/>
    <w:rsid w:val="00A7445A"/>
    <w:rsid w:val="00A74F7E"/>
    <w:rsid w:val="00A75389"/>
    <w:rsid w:val="00A80D20"/>
    <w:rsid w:val="00A82018"/>
    <w:rsid w:val="00A8214A"/>
    <w:rsid w:val="00A8371C"/>
    <w:rsid w:val="00A8513B"/>
    <w:rsid w:val="00A868C4"/>
    <w:rsid w:val="00A9018B"/>
    <w:rsid w:val="00A903C3"/>
    <w:rsid w:val="00A91785"/>
    <w:rsid w:val="00A93020"/>
    <w:rsid w:val="00A93698"/>
    <w:rsid w:val="00A9407A"/>
    <w:rsid w:val="00A95A39"/>
    <w:rsid w:val="00AA106D"/>
    <w:rsid w:val="00AA1AEA"/>
    <w:rsid w:val="00AA4381"/>
    <w:rsid w:val="00AA599C"/>
    <w:rsid w:val="00AA7CCA"/>
    <w:rsid w:val="00AB1541"/>
    <w:rsid w:val="00AB18A7"/>
    <w:rsid w:val="00AB190D"/>
    <w:rsid w:val="00AB1927"/>
    <w:rsid w:val="00AB358B"/>
    <w:rsid w:val="00AB372F"/>
    <w:rsid w:val="00AB3821"/>
    <w:rsid w:val="00AB55E2"/>
    <w:rsid w:val="00AB5D56"/>
    <w:rsid w:val="00AC1815"/>
    <w:rsid w:val="00AC1E7A"/>
    <w:rsid w:val="00AC2DD5"/>
    <w:rsid w:val="00AC3171"/>
    <w:rsid w:val="00AC3A4C"/>
    <w:rsid w:val="00AC4D7C"/>
    <w:rsid w:val="00AC628F"/>
    <w:rsid w:val="00AD5D22"/>
    <w:rsid w:val="00AD6074"/>
    <w:rsid w:val="00AD615F"/>
    <w:rsid w:val="00AD74A9"/>
    <w:rsid w:val="00AD7BF9"/>
    <w:rsid w:val="00AD7D7F"/>
    <w:rsid w:val="00AE0AC5"/>
    <w:rsid w:val="00AE1148"/>
    <w:rsid w:val="00AE19BA"/>
    <w:rsid w:val="00AE1F62"/>
    <w:rsid w:val="00AE2332"/>
    <w:rsid w:val="00AE43BE"/>
    <w:rsid w:val="00AE667F"/>
    <w:rsid w:val="00AF25E1"/>
    <w:rsid w:val="00AF5A03"/>
    <w:rsid w:val="00AF7A24"/>
    <w:rsid w:val="00B00286"/>
    <w:rsid w:val="00B0039C"/>
    <w:rsid w:val="00B02398"/>
    <w:rsid w:val="00B0318E"/>
    <w:rsid w:val="00B034F7"/>
    <w:rsid w:val="00B0416F"/>
    <w:rsid w:val="00B05C8A"/>
    <w:rsid w:val="00B05D9E"/>
    <w:rsid w:val="00B06C02"/>
    <w:rsid w:val="00B10B0D"/>
    <w:rsid w:val="00B12422"/>
    <w:rsid w:val="00B1336C"/>
    <w:rsid w:val="00B1377C"/>
    <w:rsid w:val="00B14684"/>
    <w:rsid w:val="00B14E40"/>
    <w:rsid w:val="00B1523B"/>
    <w:rsid w:val="00B15EFC"/>
    <w:rsid w:val="00B1733E"/>
    <w:rsid w:val="00B20B89"/>
    <w:rsid w:val="00B22596"/>
    <w:rsid w:val="00B22C9B"/>
    <w:rsid w:val="00B26D73"/>
    <w:rsid w:val="00B27061"/>
    <w:rsid w:val="00B3661A"/>
    <w:rsid w:val="00B37433"/>
    <w:rsid w:val="00B40192"/>
    <w:rsid w:val="00B40AF4"/>
    <w:rsid w:val="00B44907"/>
    <w:rsid w:val="00B46E3B"/>
    <w:rsid w:val="00B474D9"/>
    <w:rsid w:val="00B54322"/>
    <w:rsid w:val="00B54D74"/>
    <w:rsid w:val="00B62918"/>
    <w:rsid w:val="00B6763D"/>
    <w:rsid w:val="00B67A0C"/>
    <w:rsid w:val="00B701B5"/>
    <w:rsid w:val="00B714C0"/>
    <w:rsid w:val="00B71AC6"/>
    <w:rsid w:val="00B72104"/>
    <w:rsid w:val="00B72FF7"/>
    <w:rsid w:val="00B767BB"/>
    <w:rsid w:val="00B80449"/>
    <w:rsid w:val="00B8198D"/>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1560"/>
    <w:rsid w:val="00BB4F65"/>
    <w:rsid w:val="00BB5544"/>
    <w:rsid w:val="00BB584F"/>
    <w:rsid w:val="00BC1B4D"/>
    <w:rsid w:val="00BC2098"/>
    <w:rsid w:val="00BC44BB"/>
    <w:rsid w:val="00BC7A5D"/>
    <w:rsid w:val="00BD01D9"/>
    <w:rsid w:val="00BD0C75"/>
    <w:rsid w:val="00BD0EBB"/>
    <w:rsid w:val="00BD18B1"/>
    <w:rsid w:val="00BD2884"/>
    <w:rsid w:val="00BD2A80"/>
    <w:rsid w:val="00BD3AA2"/>
    <w:rsid w:val="00BD59D7"/>
    <w:rsid w:val="00BD7556"/>
    <w:rsid w:val="00BE096F"/>
    <w:rsid w:val="00BE098A"/>
    <w:rsid w:val="00BE4631"/>
    <w:rsid w:val="00BE55C6"/>
    <w:rsid w:val="00BF06B3"/>
    <w:rsid w:val="00BF374F"/>
    <w:rsid w:val="00BF4AE8"/>
    <w:rsid w:val="00BF610D"/>
    <w:rsid w:val="00BF720B"/>
    <w:rsid w:val="00C0065F"/>
    <w:rsid w:val="00C04511"/>
    <w:rsid w:val="00C0646F"/>
    <w:rsid w:val="00C07CF1"/>
    <w:rsid w:val="00C120B3"/>
    <w:rsid w:val="00C12F1B"/>
    <w:rsid w:val="00C159BA"/>
    <w:rsid w:val="00C16846"/>
    <w:rsid w:val="00C20731"/>
    <w:rsid w:val="00C20975"/>
    <w:rsid w:val="00C2153F"/>
    <w:rsid w:val="00C2311B"/>
    <w:rsid w:val="00C238F5"/>
    <w:rsid w:val="00C25616"/>
    <w:rsid w:val="00C25737"/>
    <w:rsid w:val="00C3009D"/>
    <w:rsid w:val="00C30A67"/>
    <w:rsid w:val="00C32497"/>
    <w:rsid w:val="00C32565"/>
    <w:rsid w:val="00C341F3"/>
    <w:rsid w:val="00C35C0B"/>
    <w:rsid w:val="00C430C6"/>
    <w:rsid w:val="00C43888"/>
    <w:rsid w:val="00C439BE"/>
    <w:rsid w:val="00C470D6"/>
    <w:rsid w:val="00C47580"/>
    <w:rsid w:val="00C52D1E"/>
    <w:rsid w:val="00C548BF"/>
    <w:rsid w:val="00C54CFB"/>
    <w:rsid w:val="00C5780B"/>
    <w:rsid w:val="00C6627E"/>
    <w:rsid w:val="00C71396"/>
    <w:rsid w:val="00C73415"/>
    <w:rsid w:val="00C7395D"/>
    <w:rsid w:val="00C74533"/>
    <w:rsid w:val="00C75B1E"/>
    <w:rsid w:val="00C7703B"/>
    <w:rsid w:val="00C77966"/>
    <w:rsid w:val="00C779E4"/>
    <w:rsid w:val="00C77ECB"/>
    <w:rsid w:val="00C80590"/>
    <w:rsid w:val="00C80E21"/>
    <w:rsid w:val="00C80FE3"/>
    <w:rsid w:val="00C82928"/>
    <w:rsid w:val="00C83D62"/>
    <w:rsid w:val="00C91C39"/>
    <w:rsid w:val="00C933CD"/>
    <w:rsid w:val="00C938C1"/>
    <w:rsid w:val="00C976F3"/>
    <w:rsid w:val="00CA0C39"/>
    <w:rsid w:val="00CA1404"/>
    <w:rsid w:val="00CA2E48"/>
    <w:rsid w:val="00CA33B8"/>
    <w:rsid w:val="00CA38C9"/>
    <w:rsid w:val="00CA428E"/>
    <w:rsid w:val="00CA4E93"/>
    <w:rsid w:val="00CA65A0"/>
    <w:rsid w:val="00CA79E2"/>
    <w:rsid w:val="00CB1262"/>
    <w:rsid w:val="00CB1C43"/>
    <w:rsid w:val="00CB3394"/>
    <w:rsid w:val="00CB43A4"/>
    <w:rsid w:val="00CB5F2E"/>
    <w:rsid w:val="00CB617D"/>
    <w:rsid w:val="00CC1C62"/>
    <w:rsid w:val="00CC6C27"/>
    <w:rsid w:val="00CC719B"/>
    <w:rsid w:val="00CC7DDA"/>
    <w:rsid w:val="00CC7E0B"/>
    <w:rsid w:val="00CD7B99"/>
    <w:rsid w:val="00CD7C7E"/>
    <w:rsid w:val="00CE3355"/>
    <w:rsid w:val="00CE40BB"/>
    <w:rsid w:val="00CE4F75"/>
    <w:rsid w:val="00CE5897"/>
    <w:rsid w:val="00CF1782"/>
    <w:rsid w:val="00CF2597"/>
    <w:rsid w:val="00CF36EA"/>
    <w:rsid w:val="00CF6871"/>
    <w:rsid w:val="00CF7365"/>
    <w:rsid w:val="00CF78EF"/>
    <w:rsid w:val="00D00B30"/>
    <w:rsid w:val="00D03896"/>
    <w:rsid w:val="00D04AF8"/>
    <w:rsid w:val="00D0648B"/>
    <w:rsid w:val="00D0720C"/>
    <w:rsid w:val="00D10091"/>
    <w:rsid w:val="00D11C9F"/>
    <w:rsid w:val="00D133EB"/>
    <w:rsid w:val="00D157CE"/>
    <w:rsid w:val="00D22C9A"/>
    <w:rsid w:val="00D2304D"/>
    <w:rsid w:val="00D23636"/>
    <w:rsid w:val="00D31152"/>
    <w:rsid w:val="00D31F48"/>
    <w:rsid w:val="00D32F46"/>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6875"/>
    <w:rsid w:val="00D871D0"/>
    <w:rsid w:val="00D8766E"/>
    <w:rsid w:val="00D90B8A"/>
    <w:rsid w:val="00D90F6D"/>
    <w:rsid w:val="00D92E12"/>
    <w:rsid w:val="00D9476C"/>
    <w:rsid w:val="00D95974"/>
    <w:rsid w:val="00D9683B"/>
    <w:rsid w:val="00DA0273"/>
    <w:rsid w:val="00DA3015"/>
    <w:rsid w:val="00DA3391"/>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E46BF"/>
    <w:rsid w:val="00DE4E46"/>
    <w:rsid w:val="00DF10EF"/>
    <w:rsid w:val="00DF23FC"/>
    <w:rsid w:val="00DF29E4"/>
    <w:rsid w:val="00DF37A9"/>
    <w:rsid w:val="00DF39CD"/>
    <w:rsid w:val="00DF3B30"/>
    <w:rsid w:val="00DF4C84"/>
    <w:rsid w:val="00DF4F88"/>
    <w:rsid w:val="00DF6B62"/>
    <w:rsid w:val="00DF7846"/>
    <w:rsid w:val="00DF7F38"/>
    <w:rsid w:val="00E01F5B"/>
    <w:rsid w:val="00E024EA"/>
    <w:rsid w:val="00E032F4"/>
    <w:rsid w:val="00E033F6"/>
    <w:rsid w:val="00E04477"/>
    <w:rsid w:val="00E07D45"/>
    <w:rsid w:val="00E07FB8"/>
    <w:rsid w:val="00E11B8D"/>
    <w:rsid w:val="00E11BFC"/>
    <w:rsid w:val="00E12128"/>
    <w:rsid w:val="00E140E4"/>
    <w:rsid w:val="00E14413"/>
    <w:rsid w:val="00E14789"/>
    <w:rsid w:val="00E20102"/>
    <w:rsid w:val="00E224C4"/>
    <w:rsid w:val="00E24590"/>
    <w:rsid w:val="00E275BA"/>
    <w:rsid w:val="00E33424"/>
    <w:rsid w:val="00E349ED"/>
    <w:rsid w:val="00E350E8"/>
    <w:rsid w:val="00E35AD7"/>
    <w:rsid w:val="00E36718"/>
    <w:rsid w:val="00E37286"/>
    <w:rsid w:val="00E376E3"/>
    <w:rsid w:val="00E42FCB"/>
    <w:rsid w:val="00E50C87"/>
    <w:rsid w:val="00E51FB8"/>
    <w:rsid w:val="00E521B4"/>
    <w:rsid w:val="00E53CED"/>
    <w:rsid w:val="00E54571"/>
    <w:rsid w:val="00E54BE2"/>
    <w:rsid w:val="00E5552F"/>
    <w:rsid w:val="00E556D1"/>
    <w:rsid w:val="00E56E57"/>
    <w:rsid w:val="00E5739B"/>
    <w:rsid w:val="00E623BB"/>
    <w:rsid w:val="00E63530"/>
    <w:rsid w:val="00E657C9"/>
    <w:rsid w:val="00E661CC"/>
    <w:rsid w:val="00E67950"/>
    <w:rsid w:val="00E7609D"/>
    <w:rsid w:val="00E83936"/>
    <w:rsid w:val="00E83C20"/>
    <w:rsid w:val="00E900EB"/>
    <w:rsid w:val="00E91163"/>
    <w:rsid w:val="00E930F5"/>
    <w:rsid w:val="00E97FCB"/>
    <w:rsid w:val="00EA2E3B"/>
    <w:rsid w:val="00EA36BF"/>
    <w:rsid w:val="00EA4CBA"/>
    <w:rsid w:val="00EA6527"/>
    <w:rsid w:val="00EA656F"/>
    <w:rsid w:val="00EB1336"/>
    <w:rsid w:val="00EB3ADA"/>
    <w:rsid w:val="00EB5921"/>
    <w:rsid w:val="00EC04A7"/>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5548"/>
    <w:rsid w:val="00F0715F"/>
    <w:rsid w:val="00F07357"/>
    <w:rsid w:val="00F114D5"/>
    <w:rsid w:val="00F15EBE"/>
    <w:rsid w:val="00F20226"/>
    <w:rsid w:val="00F20B32"/>
    <w:rsid w:val="00F20BC2"/>
    <w:rsid w:val="00F21814"/>
    <w:rsid w:val="00F22C92"/>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2EF"/>
    <w:rsid w:val="00F90C7C"/>
    <w:rsid w:val="00F91B0E"/>
    <w:rsid w:val="00F91F22"/>
    <w:rsid w:val="00F946E0"/>
    <w:rsid w:val="00F94814"/>
    <w:rsid w:val="00F97163"/>
    <w:rsid w:val="00FB0794"/>
    <w:rsid w:val="00FB1C68"/>
    <w:rsid w:val="00FB1FB3"/>
    <w:rsid w:val="00FB26C7"/>
    <w:rsid w:val="00FB341B"/>
    <w:rsid w:val="00FB4823"/>
    <w:rsid w:val="00FB4EC6"/>
    <w:rsid w:val="00FB56C5"/>
    <w:rsid w:val="00FB5B3D"/>
    <w:rsid w:val="00FB604C"/>
    <w:rsid w:val="00FB6A46"/>
    <w:rsid w:val="00FC394F"/>
    <w:rsid w:val="00FC48AA"/>
    <w:rsid w:val="00FC525F"/>
    <w:rsid w:val="00FC57F6"/>
    <w:rsid w:val="00FC59AC"/>
    <w:rsid w:val="00FC6C56"/>
    <w:rsid w:val="00FC790C"/>
    <w:rsid w:val="00FD4A6E"/>
    <w:rsid w:val="00FD4EBF"/>
    <w:rsid w:val="00FD5319"/>
    <w:rsid w:val="00FD57B4"/>
    <w:rsid w:val="00FD789B"/>
    <w:rsid w:val="00FD7B1D"/>
    <w:rsid w:val="00FE0070"/>
    <w:rsid w:val="00FE4C68"/>
    <w:rsid w:val="00FE5410"/>
    <w:rsid w:val="00FE6E96"/>
    <w:rsid w:val="00FE7FCA"/>
    <w:rsid w:val="00FF3F7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93070"/>
  <w15:docId w15:val="{64BAF35F-6253-4486-89B0-0187A5EC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aliases w:val="Footnote_Reference"/>
    <w:basedOn w:val="DefaultParagraphFont"/>
    <w:uiPriority w:val="99"/>
    <w:qForma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uiPriority w:val="99"/>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812DBA"/>
    <w:pPr>
      <w:keepNext/>
      <w:keepLines/>
      <w:tabs>
        <w:tab w:val="clear" w:pos="567"/>
        <w:tab w:val="clear" w:pos="1134"/>
        <w:tab w:val="clear" w:pos="1701"/>
        <w:tab w:val="clear" w:pos="2268"/>
        <w:tab w:val="clear" w:pos="2835"/>
      </w:tabs>
      <w:spacing w:before="60" w:after="60"/>
    </w:pPr>
    <w:rPr>
      <w:i/>
      <w:iCs/>
      <w:sz w:val="16"/>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uiPriority w:val="99"/>
    <w:qFormat/>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uiPriority w:val="99"/>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715852"/>
    <w:rPr>
      <w:color w:val="605E5C"/>
      <w:shd w:val="clear" w:color="auto" w:fill="E1DFDD"/>
    </w:rPr>
  </w:style>
  <w:style w:type="table" w:styleId="TableGridLight">
    <w:name w:val="Grid Table Light"/>
    <w:basedOn w:val="TableNormal"/>
    <w:uiPriority w:val="40"/>
    <w:rsid w:val="008F77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9958E2"/>
    <w:pPr>
      <w:tabs>
        <w:tab w:val="clear" w:pos="567"/>
        <w:tab w:val="clear" w:pos="1134"/>
        <w:tab w:val="clear" w:pos="1701"/>
        <w:tab w:val="clear" w:pos="2268"/>
        <w:tab w:val="clear" w:pos="2835"/>
        <w:tab w:val="left" w:pos="794"/>
      </w:tabs>
      <w:overflowPunct/>
      <w:autoSpaceDE/>
      <w:autoSpaceDN/>
      <w:adjustRightInd/>
      <w:spacing w:before="0" w:after="200" w:line="240" w:lineRule="auto"/>
      <w:textAlignment w:val="auto"/>
    </w:pPr>
    <w:rPr>
      <w:rFonts w:eastAsiaTheme="minorEastAsia"/>
      <w:i/>
      <w:iCs/>
      <w:color w:val="1F497D" w:themeColor="text2"/>
      <w:sz w:val="18"/>
      <w:szCs w:val="18"/>
      <w:lang w:val="en-US" w:eastAsia="zh-CN" w:bidi="ar-SA"/>
    </w:rPr>
  </w:style>
  <w:style w:type="paragraph" w:styleId="Revision">
    <w:name w:val="Revision"/>
    <w:hidden/>
    <w:uiPriority w:val="99"/>
    <w:semiHidden/>
    <w:rsid w:val="007E43B7"/>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L-C-0130/en"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undp.org/publications/post-disaster-needs-assessment" TargetMode="External"/><Relationship Id="rId3" Type="http://schemas.openxmlformats.org/officeDocument/2006/relationships/hyperlink" Target="https://www.wam.ae/en/article/175otv1-authorities-fujairah-respond-incident-targeting-du" TargetMode="External"/><Relationship Id="rId7" Type="http://schemas.openxmlformats.org/officeDocument/2006/relationships/hyperlink" Target="https://www.itu.int/en/ITU-D/Regional-Presence/ArabStates/Pages/events.aspx" TargetMode="External"/><Relationship Id="rId2" Type="http://schemas.openxmlformats.org/officeDocument/2006/relationships/hyperlink" Target="https://www.csis.org/analysis/what-iran-war-costing-joint-gulf-us-ambitions-ai" TargetMode="External"/><Relationship Id="rId1" Type="http://schemas.openxmlformats.org/officeDocument/2006/relationships/hyperlink" Target="https://www.youtube.com/watch?v=hlHmhz7PvH0" TargetMode="External"/><Relationship Id="rId6" Type="http://schemas.openxmlformats.org/officeDocument/2006/relationships/hyperlink" Target="https://www.itu.int/dms_pub/itu-d/md/26/dm/cir/D26-DM-CIR-0027!!PDF-a.pdf" TargetMode="External"/><Relationship Id="rId5" Type="http://schemas.openxmlformats.org/officeDocument/2006/relationships/hyperlink" Target="https://www.itu.int/en/ITU-D/Cybersecurity/Pages/CyberDrill-2026/GlobalCyberDrill-26.aspx" TargetMode="External"/><Relationship Id="rId4" Type="http://schemas.openxmlformats.org/officeDocument/2006/relationships/hyperlink" Target="https://resources.telegeography.com/submarine-cable-infrastructure-strait-hormu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bas\ITU\ITU\Riz,%20Imad%20-%20Arabic%20Pool%20Drive\Templates\Arabic%20Templates%202026\SG\PA_PP26%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PA_PP26 New.dotx</Template>
  <TotalTime>0</TotalTime>
  <Pages>8</Pages>
  <Words>2636</Words>
  <Characters>14292</Characters>
  <Application>Microsoft Office Word</Application>
  <DocSecurity>0</DocSecurity>
  <Lines>204</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Plenipotentiary Conference (PP-26)</dc:subject>
  <dc:creator>Arabic_MA</dc:creator>
  <cp:keywords>PP-26, PP26, ITU</cp:keywords>
  <dc:description/>
  <cp:lastModifiedBy>ITUGBS</cp:lastModifiedBy>
  <cp:revision>2</cp:revision>
  <dcterms:created xsi:type="dcterms:W3CDTF">2026-10-30T18:10:00Z</dcterms:created>
  <dcterms:modified xsi:type="dcterms:W3CDTF">2026-10-30T18:10:00Z</dcterms:modified>
  <cp:category>Conference document</cp:category>
</cp:coreProperties>
</file>