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551B1A" w14:paraId="062D8C7A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3E7296F" w14:textId="77777777" w:rsidR="00A27A55" w:rsidRPr="00551B1A" w:rsidRDefault="00F34194" w:rsidP="000D42F6">
            <w:pPr>
              <w:spacing w:before="0"/>
            </w:pPr>
            <w:bookmarkStart w:id="0" w:name="ditulogo"/>
            <w:bookmarkEnd w:id="0"/>
            <w:r w:rsidRPr="00551B1A">
              <w:drawing>
                <wp:anchor distT="0" distB="0" distL="0" distR="0" simplePos="0" relativeHeight="251657216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551B1A" w14:paraId="7B85CD8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C72CF42" w14:textId="77777777" w:rsidR="00B1156A" w:rsidRPr="00551B1A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551B1A" w14:paraId="1ACC880D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72A7082" w14:textId="77777777" w:rsidR="00F96AB4" w:rsidRPr="00551B1A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22B1B8C" w14:textId="77777777" w:rsidR="00F96AB4" w:rsidRPr="00551B1A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49729E" w:rsidRPr="00551B1A" w14:paraId="4B99AB46" w14:textId="77777777" w:rsidTr="0087080B">
        <w:trPr>
          <w:cantSplit/>
          <w:jc w:val="center"/>
        </w:trPr>
        <w:tc>
          <w:tcPr>
            <w:tcW w:w="7229" w:type="dxa"/>
          </w:tcPr>
          <w:p w14:paraId="338C2B6C" w14:textId="77777777" w:rsidR="0049729E" w:rsidRPr="00551B1A" w:rsidRDefault="0049729E" w:rsidP="0049729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551B1A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236A99C4" w14:textId="0F1AB145" w:rsidR="0049729E" w:rsidRPr="00551B1A" w:rsidRDefault="0049729E" w:rsidP="0049729E">
            <w:pPr>
              <w:tabs>
                <w:tab w:val="left" w:pos="851"/>
              </w:tabs>
              <w:spacing w:before="0"/>
              <w:rPr>
                <w:rFonts w:cstheme="minorHAnsi"/>
                <w:b/>
                <w:bCs/>
                <w:szCs w:val="28"/>
              </w:rPr>
            </w:pPr>
            <w:r w:rsidRPr="00551B1A">
              <w:rPr>
                <w:b/>
                <w:bCs/>
              </w:rPr>
              <w:t>Документ 70-R</w:t>
            </w:r>
          </w:p>
        </w:tc>
      </w:tr>
      <w:tr w:rsidR="0049729E" w:rsidRPr="00551B1A" w14:paraId="55E67BBB" w14:textId="77777777" w:rsidTr="0087080B">
        <w:trPr>
          <w:cantSplit/>
          <w:jc w:val="center"/>
        </w:trPr>
        <w:tc>
          <w:tcPr>
            <w:tcW w:w="7229" w:type="dxa"/>
          </w:tcPr>
          <w:p w14:paraId="614C89AC" w14:textId="77777777" w:rsidR="0049729E" w:rsidRPr="00551B1A" w:rsidRDefault="0049729E" w:rsidP="0049729E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04A853E" w14:textId="7FC34877" w:rsidR="0049729E" w:rsidRPr="00551B1A" w:rsidRDefault="0049729E" w:rsidP="0049729E">
            <w:pPr>
              <w:spacing w:before="0"/>
              <w:rPr>
                <w:rFonts w:cstheme="minorHAnsi"/>
                <w:b/>
                <w:bCs/>
                <w:szCs w:val="28"/>
              </w:rPr>
            </w:pPr>
            <w:r w:rsidRPr="00551B1A">
              <w:rPr>
                <w:b/>
                <w:bCs/>
              </w:rPr>
              <w:t>6 октября 2026 года</w:t>
            </w:r>
          </w:p>
        </w:tc>
      </w:tr>
      <w:tr w:rsidR="0049729E" w:rsidRPr="00551B1A" w14:paraId="3F5BCFA7" w14:textId="77777777" w:rsidTr="0087080B">
        <w:trPr>
          <w:cantSplit/>
          <w:jc w:val="center"/>
        </w:trPr>
        <w:tc>
          <w:tcPr>
            <w:tcW w:w="7229" w:type="dxa"/>
          </w:tcPr>
          <w:p w14:paraId="06259778" w14:textId="77777777" w:rsidR="0049729E" w:rsidRPr="00551B1A" w:rsidRDefault="0049729E" w:rsidP="0049729E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B308499" w14:textId="3A5F600B" w:rsidR="0049729E" w:rsidRPr="00551B1A" w:rsidRDefault="0049729E" w:rsidP="0049729E">
            <w:pPr>
              <w:spacing w:before="0"/>
              <w:rPr>
                <w:rFonts w:cstheme="minorHAnsi"/>
                <w:b/>
                <w:bCs/>
                <w:szCs w:val="28"/>
              </w:rPr>
            </w:pPr>
            <w:r w:rsidRPr="00551B1A">
              <w:rPr>
                <w:b/>
                <w:bCs/>
              </w:rPr>
              <w:t>Оригинал: английский</w:t>
            </w:r>
          </w:p>
        </w:tc>
      </w:tr>
      <w:tr w:rsidR="00F96AB4" w:rsidRPr="00551B1A" w14:paraId="0E13FF0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03A0D10" w14:textId="77777777" w:rsidR="00F96AB4" w:rsidRPr="00551B1A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F96AB4" w:rsidRPr="00551B1A" w14:paraId="07103BB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02B4559" w14:textId="6DA457D8" w:rsidR="00F96AB4" w:rsidRPr="00551B1A" w:rsidRDefault="000E2F5A" w:rsidP="004805DE">
            <w:pPr>
              <w:pStyle w:val="Source"/>
              <w:rPr>
                <w:szCs w:val="26"/>
              </w:rPr>
            </w:pPr>
            <w:bookmarkStart w:id="3" w:name="dsource" w:colFirst="0" w:colLast="0"/>
            <w:r w:rsidRPr="00551B1A">
              <w:rPr>
                <w:szCs w:val="26"/>
              </w:rPr>
              <w:t>Отчет Генерального секретаря</w:t>
            </w:r>
          </w:p>
        </w:tc>
      </w:tr>
      <w:tr w:rsidR="00F96AB4" w:rsidRPr="00551B1A" w14:paraId="6B75026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4CF301A" w14:textId="73BBE231" w:rsidR="00F96AB4" w:rsidRPr="00551B1A" w:rsidRDefault="00E65640" w:rsidP="004805DE">
            <w:pPr>
              <w:pStyle w:val="Title1"/>
              <w:rPr>
                <w:szCs w:val="26"/>
              </w:rPr>
            </w:pPr>
            <w:bookmarkStart w:id="4" w:name="dtitle1" w:colFirst="0" w:colLast="0"/>
            <w:bookmarkEnd w:id="3"/>
            <w:r w:rsidRPr="00551B1A">
              <w:t xml:space="preserve">РЕЗОЛЮЦИЯ 1436: ВОЗДЕЙСТВИЕ И ОЦЕНКА УЩЕРБА для ИНФРАСТРУКТУРЫ </w:t>
            </w:r>
            <w:r w:rsidRPr="00551B1A">
              <w:br/>
              <w:t xml:space="preserve">И УСЛУГ ЭЛЕКТРОСВЯЗИ/ИКТ В БАХРЕЙНЕ, КУВЕЙТЕ, ОБЪЕДИНЕННЫХ </w:t>
            </w:r>
            <w:r w:rsidR="00C96C1C" w:rsidRPr="00551B1A">
              <w:br/>
            </w:r>
            <w:r w:rsidRPr="00551B1A">
              <w:t>АРАБСКИХ ЭМИРАТАХ И ИОРДАНИИ</w:t>
            </w:r>
          </w:p>
        </w:tc>
      </w:tr>
      <w:tr w:rsidR="00E65640" w:rsidRPr="00551B1A" w14:paraId="183BF90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A062165" w14:textId="4C4A379F" w:rsidR="00E65640" w:rsidRPr="00551B1A" w:rsidRDefault="00161DBE" w:rsidP="00C96C1C">
            <w:pPr>
              <w:pStyle w:val="Title1"/>
              <w:spacing w:after="360"/>
            </w:pPr>
            <w:r w:rsidRPr="00551B1A">
              <w:t>ПРОМЕЖУТОЧНЫЙ ОТЧЕТ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0E2F5A" w:rsidRPr="00551B1A" w14:paraId="5B1F7E8C" w14:textId="77777777" w:rsidTr="00B35D04">
        <w:trPr>
          <w:trHeight w:val="3402"/>
          <w:jc w:val="center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4"/>
          <w:p w14:paraId="2F53F9AA" w14:textId="77777777" w:rsidR="000E2F5A" w:rsidRPr="00551B1A" w:rsidRDefault="000E2F5A" w:rsidP="000E2F5A">
            <w:pPr>
              <w:pStyle w:val="Headingb"/>
            </w:pPr>
            <w:r w:rsidRPr="00551B1A">
              <w:t>Резюме</w:t>
            </w:r>
          </w:p>
          <w:p w14:paraId="4CD15961" w14:textId="6F4FD835" w:rsidR="000E2F5A" w:rsidRPr="00551B1A" w:rsidRDefault="0026223F" w:rsidP="00B35D04">
            <w:r w:rsidRPr="00551B1A">
              <w:t>В соответствии с Резолюцией 1436 Совета в настоящем документе представлен промежуточный отчет о последствиях нападений на инфраструктуру электросвязи/ИКТ в Бахрейне, Кувейте, Объединенных Арабских Эмиратах и Иордании, включая оценку ущерба. В нем представлены предварительные последствия, в частности те, которые возникают из-за ущерба, нанесенного центрам обработки данных в Бахрейне и Объединенных Арабских Эмиратах. Кроме того, в отчете подчеркивается повышенный риск уязвимости подводных кабелей и магистральной сети интернета, соединяющей соответствующие страны. Тот же отчет будет представлен заключительному собранию Совета 2026 года</w:t>
            </w:r>
            <w:r w:rsidR="00201EE3" w:rsidRPr="00551B1A">
              <w:t>.</w:t>
            </w:r>
          </w:p>
          <w:p w14:paraId="165EAA71" w14:textId="77777777" w:rsidR="000E2F5A" w:rsidRPr="00551B1A" w:rsidRDefault="000E2F5A" w:rsidP="000E2F5A">
            <w:pPr>
              <w:pStyle w:val="Headingb"/>
            </w:pPr>
            <w:r w:rsidRPr="00551B1A">
              <w:t>Необходимые действия</w:t>
            </w:r>
          </w:p>
          <w:p w14:paraId="48BD8079" w14:textId="25E17CF2" w:rsidR="000E2F5A" w:rsidRPr="00551B1A" w:rsidRDefault="008D54A2" w:rsidP="00B35D04">
            <w:r w:rsidRPr="00551B1A">
              <w:t xml:space="preserve">Полномочной конференции предлагается </w:t>
            </w:r>
            <w:r w:rsidRPr="00551B1A">
              <w:rPr>
                <w:b/>
                <w:bCs/>
              </w:rPr>
              <w:t>рассмотреть</w:t>
            </w:r>
            <w:r w:rsidRPr="00551B1A">
              <w:t xml:space="preserve"> настоящий отчет и </w:t>
            </w:r>
            <w:r w:rsidRPr="00551B1A">
              <w:rPr>
                <w:b/>
                <w:bCs/>
              </w:rPr>
              <w:t>согласиться</w:t>
            </w:r>
            <w:r w:rsidRPr="00551B1A">
              <w:t xml:space="preserve"> продлить сроки представления полного отчета до сессии Совета в 2027 году</w:t>
            </w:r>
            <w:r w:rsidR="000E2F5A" w:rsidRPr="00551B1A">
              <w:t>.</w:t>
            </w:r>
          </w:p>
          <w:p w14:paraId="7E414264" w14:textId="77777777" w:rsidR="000E2F5A" w:rsidRPr="00551B1A" w:rsidRDefault="000E2F5A" w:rsidP="000E2F5A">
            <w:pPr>
              <w:pStyle w:val="Headingb"/>
            </w:pPr>
            <w:r w:rsidRPr="00551B1A">
              <w:t>Финансовые последствия</w:t>
            </w:r>
          </w:p>
          <w:p w14:paraId="00A96982" w14:textId="2F4D45BA" w:rsidR="000E2F5A" w:rsidRPr="00551B1A" w:rsidRDefault="0045781B" w:rsidP="000E2F5A">
            <w:r w:rsidRPr="00551B1A">
              <w:t>Дополнительные последствия отсутствуют</w:t>
            </w:r>
            <w:r w:rsidR="000E2F5A" w:rsidRPr="00551B1A">
              <w:rPr>
                <w:szCs w:val="22"/>
              </w:rPr>
              <w:t>.</w:t>
            </w:r>
          </w:p>
          <w:p w14:paraId="28F6907A" w14:textId="77777777" w:rsidR="000E2F5A" w:rsidRPr="00551B1A" w:rsidRDefault="000E2F5A" w:rsidP="00B35D04">
            <w:pPr>
              <w:jc w:val="center"/>
            </w:pPr>
            <w:r w:rsidRPr="00551B1A">
              <w:t>______________</w:t>
            </w:r>
          </w:p>
          <w:p w14:paraId="16116F17" w14:textId="77777777" w:rsidR="000E2F5A" w:rsidRPr="00551B1A" w:rsidRDefault="000E2F5A" w:rsidP="00B35D04">
            <w:pPr>
              <w:rPr>
                <w:b/>
              </w:rPr>
            </w:pPr>
            <w:r w:rsidRPr="00551B1A">
              <w:rPr>
                <w:b/>
              </w:rPr>
              <w:t>Справочные материалы</w:t>
            </w:r>
          </w:p>
          <w:p w14:paraId="35DF85DF" w14:textId="339F46B7" w:rsidR="000E2F5A" w:rsidRPr="00551B1A" w:rsidRDefault="005C2041" w:rsidP="00B35D04">
            <w:pPr>
              <w:spacing w:after="120"/>
              <w:rPr>
                <w:i/>
                <w:iCs/>
                <w:color w:val="000000"/>
              </w:rPr>
            </w:pPr>
            <w:r w:rsidRPr="00551B1A">
              <w:rPr>
                <w:i/>
                <w:szCs w:val="22"/>
              </w:rPr>
              <w:t xml:space="preserve">Резолюция </w:t>
            </w:r>
            <w:hyperlink r:id="rId9" w:history="1">
              <w:r w:rsidRPr="00551B1A">
                <w:rPr>
                  <w:rStyle w:val="Hyperlink"/>
                  <w:i/>
                  <w:szCs w:val="22"/>
                </w:rPr>
                <w:t>1436</w:t>
              </w:r>
              <w:r w:rsidR="00551B1A">
                <w:rPr>
                  <w:rStyle w:val="Hyperlink"/>
                  <w:i/>
                  <w:szCs w:val="22"/>
                  <w:lang w:val="en-US"/>
                </w:rPr>
                <w:t xml:space="preserve"> </w:t>
              </w:r>
              <w:r w:rsidRPr="00551B1A">
                <w:rPr>
                  <w:rStyle w:val="Hyperlink"/>
                  <w:i/>
                  <w:szCs w:val="22"/>
                </w:rPr>
                <w:t>(C26)</w:t>
              </w:r>
            </w:hyperlink>
            <w:r w:rsidRPr="00551B1A">
              <w:t xml:space="preserve"> </w:t>
            </w:r>
            <w:r w:rsidRPr="00551B1A">
              <w:rPr>
                <w:i/>
                <w:iCs/>
              </w:rPr>
              <w:t>Совета МСЭ</w:t>
            </w:r>
          </w:p>
        </w:tc>
      </w:tr>
    </w:tbl>
    <w:p w14:paraId="12058E91" w14:textId="6FC1B827" w:rsidR="000E2F5A" w:rsidRPr="00551B1A" w:rsidRDefault="00F96AB4" w:rsidP="004335F9">
      <w:pPr>
        <w:pStyle w:val="Heading1"/>
        <w:ind w:left="0" w:firstLine="0"/>
        <w:rPr>
          <w:rFonts w:eastAsia="Calibri"/>
        </w:rPr>
      </w:pPr>
      <w:r w:rsidRPr="00551B1A">
        <w:br w:type="page"/>
      </w:r>
    </w:p>
    <w:p w14:paraId="655D2B29" w14:textId="26920D06" w:rsidR="00446681" w:rsidRPr="00551B1A" w:rsidRDefault="00446681" w:rsidP="004F6C97">
      <w:pPr>
        <w:pStyle w:val="Heading1"/>
      </w:pPr>
      <w:r w:rsidRPr="00551B1A">
        <w:lastRenderedPageBreak/>
        <w:t>1</w:t>
      </w:r>
      <w:r w:rsidRPr="00551B1A">
        <w:tab/>
        <w:t>Базовая информация</w:t>
      </w:r>
    </w:p>
    <w:p w14:paraId="424D9FD5" w14:textId="6F470402" w:rsidR="00446681" w:rsidRPr="00551B1A" w:rsidRDefault="00446681" w:rsidP="004F6C97">
      <w:r w:rsidRPr="00551B1A">
        <w:t>На своей сессии 2026 года Совет МСЭ принял Резолюцию 1436 о воздействии нападений на гражданскую инфраструктуру электросвязи/ИКТ в Бахрейне, Кувейте, Объединенных Арабских Эмиратах и Иордании, а также об их последствиях для возможности установления региональных и глобальных соединений</w:t>
      </w:r>
      <w:r w:rsidRPr="00551B1A">
        <w:rPr>
          <w:rStyle w:val="FootnoteReference"/>
        </w:rPr>
        <w:footnoteReference w:id="1"/>
      </w:r>
      <w:r w:rsidRPr="00551B1A">
        <w:t>. В Резолюции 1436 Директорам трех Бюро поручается отслеживать такие нападения на инфраструктуру электросвязи и ИКТ в Бахрейне, Кувейте, Объединенных Арабских Эмиратах и Иордании и представлять регулярные отчеты об этих нападениях, а также оценивать воздействие этих нападений на инфраструктуру, услуги электросвязи и программы МСЭ.</w:t>
      </w:r>
    </w:p>
    <w:p w14:paraId="36F98359" w14:textId="77777777" w:rsidR="00446681" w:rsidRPr="00551B1A" w:rsidRDefault="00446681" w:rsidP="004F6C97">
      <w:r w:rsidRPr="00551B1A">
        <w:t>Таким образом, основываясь на указаниях, содержащихся в Резолюции 1436, настоящий промежуточный отчет направлен на проведение аналитической оценки, касающейся:</w:t>
      </w:r>
    </w:p>
    <w:p w14:paraId="1D30C66D" w14:textId="338F2584" w:rsidR="00446681" w:rsidRPr="00551B1A" w:rsidRDefault="004F6C97" w:rsidP="004F6C97">
      <w:pPr>
        <w:pStyle w:val="enumlev1"/>
      </w:pPr>
      <w:r w:rsidRPr="00551B1A">
        <w:t>•</w:t>
      </w:r>
      <w:r w:rsidRPr="00551B1A">
        <w:tab/>
      </w:r>
      <w:r w:rsidR="00446681" w:rsidRPr="00551B1A">
        <w:t>выявления событий и затронутых инфраструктурных активов и услуг электросвязи и ИКТ в Бахрейне, Кувейте, Объединенных Арабских Эмиратах и Иордании;</w:t>
      </w:r>
    </w:p>
    <w:p w14:paraId="7338F5F2" w14:textId="2E0A867E" w:rsidR="00446681" w:rsidRPr="00551B1A" w:rsidRDefault="004F6C97" w:rsidP="004F6C97">
      <w:pPr>
        <w:pStyle w:val="enumlev1"/>
      </w:pPr>
      <w:r w:rsidRPr="00551B1A">
        <w:t>•</w:t>
      </w:r>
      <w:r w:rsidRPr="00551B1A">
        <w:tab/>
      </w:r>
      <w:r w:rsidR="00446681" w:rsidRPr="00551B1A">
        <w:t>оценки ущерба и воздействия нападений на службы и инфраструктуру электросвязи в Бахрейне, Кувейте, Объединенных Арабских Эмиратах и Иордании, включая их глобальные</w:t>
      </w:r>
      <w:r w:rsidR="00CE5656">
        <w:rPr>
          <w:lang w:val="en-US"/>
        </w:rPr>
        <w:t> </w:t>
      </w:r>
      <w:r w:rsidR="00446681" w:rsidRPr="00551B1A">
        <w:t>последствия.</w:t>
      </w:r>
    </w:p>
    <w:p w14:paraId="6B404783" w14:textId="307F0228" w:rsidR="00446681" w:rsidRPr="00551B1A" w:rsidRDefault="00446681" w:rsidP="004F6C97">
      <w:pPr>
        <w:rPr>
          <w:szCs w:val="22"/>
        </w:rPr>
      </w:pPr>
      <w:r w:rsidRPr="00551B1A">
        <w:t>В настоящем промежуточном отчете представлены предварительные результаты, основанные на литературе и кабинетном анализе общедоступной информации и данных. Для завершения подготовки заключительного отчета требуется дополнительный сбор и анализ данных, в том числе из первичных источников. Если Совет и/или Полномочная конференция МСЭ сочтут это целесообразным, заключительный отчет может быть представлен на сессии Совета в 2027</w:t>
      </w:r>
      <w:r w:rsidR="00C96C1C" w:rsidRPr="00551B1A">
        <w:t> </w:t>
      </w:r>
      <w:r w:rsidRPr="00551B1A">
        <w:t>году.</w:t>
      </w:r>
    </w:p>
    <w:p w14:paraId="1C045D82" w14:textId="77777777" w:rsidR="00446681" w:rsidRPr="00551B1A" w:rsidRDefault="00446681" w:rsidP="00446681">
      <w:pPr>
        <w:pStyle w:val="Heading1"/>
      </w:pPr>
      <w:r w:rsidRPr="00551B1A">
        <w:t>2</w:t>
      </w:r>
      <w:r w:rsidRPr="00551B1A">
        <w:tab/>
        <w:t>События, затронутые активы и воздействие</w:t>
      </w:r>
    </w:p>
    <w:p w14:paraId="6E8413DF" w14:textId="138296A5" w:rsidR="00446681" w:rsidRPr="00551B1A" w:rsidRDefault="00446681" w:rsidP="004F6C97">
      <w:r w:rsidRPr="00551B1A">
        <w:t>В данном разделе перечислены события, в ходе которых нападения затронули инфраструктуру электросвязи и ИКТ. На основе общедоступной информации оказалось возможным определить соответствующие события в Бахрейне и Объединенных Арабских Эмиратах, которые перечислены в настоящем разделе. По мере продолжения оценки с включением в нее дополнительных источников данных, в частности из первичных источников, она может выявить дополнительное прямое воздействие на инфраструктуру ИКТ и электросвязи в четырех странах.</w:t>
      </w:r>
    </w:p>
    <w:p w14:paraId="5BFB556F" w14:textId="77777777" w:rsidR="00446681" w:rsidRPr="00551B1A" w:rsidRDefault="00446681" w:rsidP="004F6C97">
      <w:pPr>
        <w:pStyle w:val="Heading2"/>
      </w:pPr>
      <w:r w:rsidRPr="00551B1A">
        <w:t>2.1</w:t>
      </w:r>
      <w:r w:rsidRPr="00551B1A">
        <w:tab/>
        <w:t>Март 2026 года: ущерб центрам обработки данных Amazon Web Services в Объединенных Арабских Эмиратах и Бахрейне</w:t>
      </w:r>
    </w:p>
    <w:p w14:paraId="5409743E" w14:textId="0DB5FCC7" w:rsidR="00446681" w:rsidRPr="00551B1A" w:rsidRDefault="00446681" w:rsidP="004F6C97">
      <w:r w:rsidRPr="00551B1A">
        <w:t>Первого марта 2026 года компания Amazon Web Services (AWS) сообщила о снижении качества услуг в двух своих районах</w:t>
      </w:r>
      <w:r w:rsidRPr="00551B1A">
        <w:rPr>
          <w:rStyle w:val="FootnoteReference"/>
          <w:rFonts w:cs="Calibri"/>
        </w:rPr>
        <w:footnoteReference w:id="2"/>
      </w:r>
      <w:r w:rsidRPr="00551B1A">
        <w:t xml:space="preserve">, а именно в ME-CENTRAL-1 в Объединенных Арабских Эмиратах и ME-SOUTH-1 </w:t>
      </w:r>
      <w:r w:rsidRPr="00551B1A">
        <w:lastRenderedPageBreak/>
        <w:t>в Бахрейне</w:t>
      </w:r>
      <w:r w:rsidRPr="00551B1A">
        <w:rPr>
          <w:rStyle w:val="FootnoteReference"/>
          <w:rFonts w:cs="Calibri"/>
          <w:color w:val="0F141A"/>
          <w:szCs w:val="16"/>
        </w:rPr>
        <w:footnoteReference w:id="3"/>
      </w:r>
      <w:r w:rsidR="00D604F5" w:rsidRPr="00551B1A">
        <w:rPr>
          <w:rStyle w:val="FootnoteReference"/>
        </w:rPr>
        <w:t xml:space="preserve">, </w:t>
      </w:r>
      <w:r w:rsidRPr="00551B1A">
        <w:rPr>
          <w:rStyle w:val="FootnoteReference"/>
          <w:rFonts w:cs="Calibri"/>
          <w:color w:val="0F141A"/>
          <w:szCs w:val="16"/>
        </w:rPr>
        <w:footnoteReference w:id="4"/>
      </w:r>
      <w:r w:rsidRPr="00551B1A">
        <w:t>. Первоначальные сообщения свидетельствовали о том, что проблемы с энергоснабжением и возможностью установления соединений приводят к ухудшению качества обслуживания в одной зоне обслуживания в каждом районе. В последующих обновлениях от 1 и 2</w:t>
      </w:r>
      <w:r w:rsidR="004F6C97" w:rsidRPr="00551B1A">
        <w:t> </w:t>
      </w:r>
      <w:r w:rsidRPr="00551B1A">
        <w:t>марта по-прежнему подчеркивалось, что на услугах AWS сказывались проблемы с электропитанием и подключением, а также указывалось, что группы AWS работают над восстановлением</w:t>
      </w:r>
      <w:r w:rsidR="00C96C1C" w:rsidRPr="00551B1A">
        <w:t> </w:t>
      </w:r>
      <w:r w:rsidRPr="00551B1A">
        <w:t>обслуживания.</w:t>
      </w:r>
    </w:p>
    <w:p w14:paraId="09BD3E1A" w14:textId="19AF19F0" w:rsidR="00446681" w:rsidRPr="00551B1A" w:rsidRDefault="00446681" w:rsidP="004F6C97">
      <w:r w:rsidRPr="00551B1A">
        <w:t>Позже, рано утром 3 марта 2026 года (стандартное время Персидского залива), AWS связала влияние на обслуживание с конфликтом на Ближнем Востоке и четко указала, что оба района были поражены беспилотными летательными аппаратами, рекомендовав клиентам "</w:t>
      </w:r>
      <w:r w:rsidRPr="00551B1A">
        <w:rPr>
          <w:i/>
          <w:iCs/>
        </w:rPr>
        <w:t>придерживаться своих планов по восстановлению после бедствий, использовать удаленные резервные копии, хранящиеся в других районах, и обновлять свои приложения для направления трафика в сторону от пострадавших районов</w:t>
      </w:r>
      <w:r w:rsidRPr="00551B1A">
        <w:t>"</w:t>
      </w:r>
      <w:bookmarkStart w:id="5" w:name="_Ref241173034"/>
      <w:r w:rsidRPr="00551B1A">
        <w:rPr>
          <w:rStyle w:val="FootnoteReference"/>
          <w:rFonts w:cs="Calibri"/>
        </w:rPr>
        <w:footnoteReference w:id="5"/>
      </w:r>
      <w:bookmarkEnd w:id="5"/>
      <w:r w:rsidR="0032589A" w:rsidRPr="00551B1A">
        <w:rPr>
          <w:rStyle w:val="FootnoteReference"/>
        </w:rPr>
        <w:t>,</w:t>
      </w:r>
      <w:r w:rsidRPr="00551B1A">
        <w:t xml:space="preserve"> </w:t>
      </w:r>
      <w:bookmarkStart w:id="6" w:name="_Ref241173387"/>
      <w:r w:rsidRPr="00551B1A">
        <w:rPr>
          <w:rStyle w:val="FootnoteReference"/>
        </w:rPr>
        <w:footnoteReference w:id="6"/>
      </w:r>
      <w:bookmarkEnd w:id="6"/>
      <w:r w:rsidRPr="00551B1A">
        <w:t>.</w:t>
      </w:r>
    </w:p>
    <w:p w14:paraId="3C041B2D" w14:textId="5611FB86" w:rsidR="00446681" w:rsidRPr="00551B1A" w:rsidRDefault="00446681" w:rsidP="004F6C97">
      <w:r w:rsidRPr="00551B1A">
        <w:t>Согласно веб-сайту службы AWS</w:t>
      </w:r>
      <w:r w:rsidRPr="00551B1A">
        <w:rPr>
          <w:rStyle w:val="FootnoteReference"/>
        </w:rPr>
        <w:fldChar w:fldCharType="begin"/>
      </w:r>
      <w:r w:rsidRPr="00551B1A">
        <w:rPr>
          <w:rStyle w:val="FootnoteReference"/>
        </w:rPr>
        <w:instrText xml:space="preserve"> NOTEREF _Ref241173034 \h  \* MERGEFORMAT </w:instrText>
      </w:r>
      <w:r w:rsidRPr="00551B1A">
        <w:rPr>
          <w:rStyle w:val="FootnoteReference"/>
        </w:rPr>
      </w:r>
      <w:r w:rsidRPr="00551B1A">
        <w:rPr>
          <w:rStyle w:val="FootnoteReference"/>
        </w:rPr>
        <w:fldChar w:fldCharType="separate"/>
      </w:r>
      <w:r w:rsidRPr="00551B1A">
        <w:rPr>
          <w:rStyle w:val="FootnoteReference"/>
        </w:rPr>
        <w:t>5</w:t>
      </w:r>
      <w:r w:rsidRPr="00551B1A">
        <w:rPr>
          <w:rStyle w:val="FootnoteReference"/>
        </w:rPr>
        <w:fldChar w:fldCharType="end"/>
      </w:r>
      <w:r w:rsidR="00D604F5" w:rsidRPr="00551B1A">
        <w:rPr>
          <w:rStyle w:val="FootnoteReference"/>
        </w:rPr>
        <w:t>,</w:t>
      </w:r>
      <w:r w:rsidRPr="00551B1A">
        <w:rPr>
          <w:rStyle w:val="FootnoteReference"/>
        </w:rPr>
        <w:t xml:space="preserve"> </w:t>
      </w:r>
      <w:r w:rsidRPr="00551B1A">
        <w:rPr>
          <w:rStyle w:val="FootnoteReference"/>
        </w:rPr>
        <w:fldChar w:fldCharType="begin"/>
      </w:r>
      <w:r w:rsidRPr="00551B1A">
        <w:rPr>
          <w:rStyle w:val="FootnoteReference"/>
        </w:rPr>
        <w:instrText xml:space="preserve"> NOTEREF _Ref241173387 \h  \* MERGEFORMAT </w:instrText>
      </w:r>
      <w:r w:rsidRPr="00551B1A">
        <w:rPr>
          <w:rStyle w:val="FootnoteReference"/>
        </w:rPr>
      </w:r>
      <w:r w:rsidRPr="00551B1A">
        <w:rPr>
          <w:rStyle w:val="FootnoteReference"/>
        </w:rPr>
        <w:fldChar w:fldCharType="separate"/>
      </w:r>
      <w:r w:rsidRPr="00551B1A">
        <w:rPr>
          <w:rStyle w:val="FootnoteReference"/>
        </w:rPr>
        <w:t>6</w:t>
      </w:r>
      <w:r w:rsidRPr="00551B1A">
        <w:rPr>
          <w:rStyle w:val="FootnoteReference"/>
        </w:rPr>
        <w:fldChar w:fldCharType="end"/>
      </w:r>
      <w:r w:rsidRPr="00551B1A">
        <w:t>, на котором публикуются данные о доступности услуг, первоначально AWS сообщила, что ущерб ограничен двумя из трех зон обслуживания в районе Объединенных Арабских Эмиратов (ME-CENTRAL-1) и одной из трех зон обслуживания в районе Бахрейна (ME-SOUTH-1). Позднее, 30 апреля 2026 года, обновление AWS указало, что ситуация на Ближнем Востоке затронула все зоны обслуживания в обоих районах AWS и что восстановление в районах ME-CENTRAL-1 и ME-SOUTH-1 займет несколько месяцев. 15 сентября 2026 года AWS сообщила, что данные, размещенные исключительно в районе ME-SOUTH-1 (Бахрейн), не могут быть восстановлены, и что то же самое относится к одной из трех зон обслуживания в ME-CENTRAL-1 (Объединенные Арабские Эмираты). AWS вновь рекомендовала клиентам возобновить работу в альтернативных районах.</w:t>
      </w:r>
    </w:p>
    <w:p w14:paraId="04935BE0" w14:textId="6D82D624" w:rsidR="00446681" w:rsidRPr="00551B1A" w:rsidRDefault="00446681" w:rsidP="004F6C97">
      <w:r w:rsidRPr="00551B1A">
        <w:t>Данные Cloudflare Radar показывают стремительное снижение трафика в обоих районах, что может отражать как отсутствие доступа к услуге, так и перенос рабочей нагрузки клиентов в другие районы. Как показано на рисунке 1, с 2 марта 2026 года количество запросов HTTP на IP-адреса, обслуживаемые из районов ME-CENTRAL-1</w:t>
      </w:r>
      <w:bookmarkStart w:id="7" w:name="_Ref242118353"/>
      <w:r w:rsidRPr="00551B1A">
        <w:rPr>
          <w:rStyle w:val="FootnoteReference"/>
        </w:rPr>
        <w:footnoteReference w:id="7"/>
      </w:r>
      <w:bookmarkEnd w:id="7"/>
      <w:r w:rsidRPr="00551B1A">
        <w:t xml:space="preserve"> и ME-SOUTH-1</w:t>
      </w:r>
      <w:bookmarkStart w:id="8" w:name="_Ref242118362"/>
      <w:r w:rsidRPr="00551B1A">
        <w:rPr>
          <w:rStyle w:val="FootnoteReference"/>
        </w:rPr>
        <w:footnoteReference w:id="8"/>
      </w:r>
      <w:bookmarkEnd w:id="8"/>
      <w:r w:rsidRPr="00551B1A">
        <w:t>, резко сократилось.</w:t>
      </w:r>
    </w:p>
    <w:tbl>
      <w:tblPr>
        <w:tblStyle w:val="TableGridLight"/>
        <w:tblW w:w="97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7"/>
        <w:gridCol w:w="4959"/>
      </w:tblGrid>
      <w:tr w:rsidR="00446681" w:rsidRPr="00551B1A" w14:paraId="703870EB" w14:textId="77777777" w:rsidTr="00B25136">
        <w:tc>
          <w:tcPr>
            <w:tcW w:w="4817" w:type="dxa"/>
          </w:tcPr>
          <w:p w14:paraId="243861A4" w14:textId="4D6C9746" w:rsidR="00446681" w:rsidRPr="00551B1A" w:rsidRDefault="00B25136" w:rsidP="00C96C1C">
            <w:pPr>
              <w:pStyle w:val="Figure"/>
              <w:rPr>
                <w:noProof w:val="0"/>
                <w:lang w:val="ru-RU"/>
              </w:rPr>
            </w:pPr>
            <w:r w:rsidRPr="00551B1A">
              <w:rPr>
                <w:noProof w:val="0"/>
                <w:lang w:val="ru-RU"/>
              </w:rPr>
              <w:lastRenderedPageBreak/>
              <w:drawing>
                <wp:inline distT="0" distB="0" distL="0" distR="0" wp14:anchorId="2EAA4ECA" wp14:editId="41D1F264">
                  <wp:extent cx="2998800" cy="2268000"/>
                  <wp:effectExtent l="0" t="0" r="0" b="0"/>
                  <wp:docPr id="8203369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800" cy="226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9" w:type="dxa"/>
          </w:tcPr>
          <w:p w14:paraId="22068C13" w14:textId="7FC83082" w:rsidR="00446681" w:rsidRPr="00551B1A" w:rsidRDefault="00B25136" w:rsidP="00C96C1C">
            <w:pPr>
              <w:pStyle w:val="Figure"/>
              <w:rPr>
                <w:noProof w:val="0"/>
                <w:lang w:val="ru-RU"/>
              </w:rPr>
            </w:pPr>
            <w:r w:rsidRPr="00551B1A">
              <w:rPr>
                <w:noProof w:val="0"/>
                <w:lang w:val="ru-RU"/>
              </w:rPr>
              <w:drawing>
                <wp:inline distT="0" distB="0" distL="0" distR="0" wp14:anchorId="3DF9FA44" wp14:editId="128635FD">
                  <wp:extent cx="2998800" cy="2268000"/>
                  <wp:effectExtent l="0" t="0" r="0" b="0"/>
                  <wp:docPr id="89164333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8800" cy="226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961CA2" w14:textId="366B5CBC" w:rsidR="00446681" w:rsidRPr="00551B1A" w:rsidRDefault="00446681" w:rsidP="00BF151F">
      <w:pPr>
        <w:pStyle w:val="Figuretitle"/>
        <w:rPr>
          <w:b w:val="0"/>
          <w:bCs/>
          <w:lang w:val="ru-RU"/>
        </w:rPr>
      </w:pPr>
      <w:bookmarkStart w:id="9" w:name="_Ref240550321"/>
      <w:bookmarkStart w:id="10" w:name="_Ref240550240"/>
      <w:r w:rsidRPr="00551B1A">
        <w:rPr>
          <w:lang w:val="ru-RU"/>
        </w:rPr>
        <w:t xml:space="preserve">Рисунок </w:t>
      </w:r>
      <w:r w:rsidRPr="00551B1A">
        <w:rPr>
          <w:lang w:val="ru-RU"/>
        </w:rPr>
        <w:fldChar w:fldCharType="begin"/>
      </w:r>
      <w:r w:rsidRPr="00551B1A">
        <w:rPr>
          <w:lang w:val="ru-RU"/>
        </w:rPr>
        <w:instrText>SEQ Figure \* ARABIC</w:instrText>
      </w:r>
      <w:r w:rsidRPr="00551B1A">
        <w:rPr>
          <w:lang w:val="ru-RU"/>
        </w:rPr>
        <w:fldChar w:fldCharType="separate"/>
      </w:r>
      <w:r w:rsidRPr="00551B1A">
        <w:rPr>
          <w:lang w:val="ru-RU"/>
        </w:rPr>
        <w:t>1</w:t>
      </w:r>
      <w:r w:rsidRPr="00551B1A">
        <w:rPr>
          <w:lang w:val="ru-RU"/>
        </w:rPr>
        <w:fldChar w:fldCharType="end"/>
      </w:r>
      <w:bookmarkEnd w:id="9"/>
      <w:r w:rsidR="00BF151F" w:rsidRPr="00551B1A">
        <w:rPr>
          <w:lang w:val="ru-RU"/>
        </w:rPr>
        <w:t xml:space="preserve"> −</w:t>
      </w:r>
      <w:r w:rsidRPr="00551B1A">
        <w:rPr>
          <w:lang w:val="ru-RU"/>
        </w:rPr>
        <w:t xml:space="preserve"> Количество HTTP-запросов для районов AWS ME-CENTRAL-1 (ОАЭ) </w:t>
      </w:r>
      <w:r w:rsidR="00BF151F" w:rsidRPr="00551B1A">
        <w:rPr>
          <w:lang w:val="ru-RU"/>
        </w:rPr>
        <w:br/>
      </w:r>
      <w:r w:rsidRPr="00551B1A">
        <w:rPr>
          <w:lang w:val="ru-RU"/>
        </w:rPr>
        <w:t xml:space="preserve">и ME-SOUTH-1 </w:t>
      </w:r>
      <w:r w:rsidR="002C0D37" w:rsidRPr="00551B1A">
        <w:rPr>
          <w:lang w:val="ru-RU"/>
        </w:rPr>
        <w:t>(</w:t>
      </w:r>
      <w:r w:rsidRPr="00551B1A">
        <w:rPr>
          <w:lang w:val="ru-RU"/>
        </w:rPr>
        <w:t>Бахрейн)</w:t>
      </w:r>
      <w:r w:rsidR="002C0D37" w:rsidRPr="00551B1A">
        <w:rPr>
          <w:b w:val="0"/>
          <w:bCs/>
          <w:lang w:val="ru-RU"/>
        </w:rPr>
        <w:t>.</w:t>
      </w:r>
      <w:r w:rsidR="002C0D37" w:rsidRPr="00551B1A">
        <w:rPr>
          <w:lang w:val="ru-RU"/>
        </w:rPr>
        <w:t xml:space="preserve"> </w:t>
      </w:r>
      <w:r w:rsidRPr="00551B1A">
        <w:rPr>
          <w:b w:val="0"/>
          <w:bCs/>
          <w:i/>
          <w:iCs/>
          <w:sz w:val="20"/>
          <w:lang w:val="ru-RU"/>
        </w:rPr>
        <w:t>Источник: Cloudflare Radar</w:t>
      </w:r>
      <w:r w:rsidRPr="00551B1A">
        <w:rPr>
          <w:rStyle w:val="FootnoteReference"/>
          <w:b w:val="0"/>
          <w:bCs/>
          <w:lang w:val="ru-RU"/>
        </w:rPr>
        <w:fldChar w:fldCharType="begin"/>
      </w:r>
      <w:r w:rsidRPr="00551B1A">
        <w:rPr>
          <w:rStyle w:val="FootnoteReference"/>
          <w:b w:val="0"/>
          <w:bCs/>
          <w:lang w:val="ru-RU"/>
        </w:rPr>
        <w:instrText xml:space="preserve"> NOTEREF _Ref242118353 \h  \* MERGEFORMAT </w:instrText>
      </w:r>
      <w:r w:rsidRPr="00551B1A">
        <w:rPr>
          <w:rStyle w:val="FootnoteReference"/>
          <w:b w:val="0"/>
          <w:bCs/>
          <w:lang w:val="ru-RU"/>
        </w:rPr>
      </w:r>
      <w:r w:rsidRPr="00551B1A">
        <w:rPr>
          <w:rStyle w:val="FootnoteReference"/>
          <w:b w:val="0"/>
          <w:bCs/>
          <w:lang w:val="ru-RU"/>
        </w:rPr>
        <w:fldChar w:fldCharType="separate"/>
      </w:r>
      <w:r w:rsidRPr="00551B1A">
        <w:rPr>
          <w:rStyle w:val="FootnoteReference"/>
          <w:b w:val="0"/>
          <w:bCs/>
          <w:lang w:val="ru-RU"/>
        </w:rPr>
        <w:t>7</w:t>
      </w:r>
      <w:r w:rsidRPr="00551B1A">
        <w:rPr>
          <w:rStyle w:val="FootnoteReference"/>
          <w:b w:val="0"/>
          <w:bCs/>
          <w:lang w:val="ru-RU"/>
        </w:rPr>
        <w:fldChar w:fldCharType="end"/>
      </w:r>
      <w:r w:rsidR="00BF151F" w:rsidRPr="00551B1A">
        <w:rPr>
          <w:rStyle w:val="FootnoteReference"/>
          <w:b w:val="0"/>
          <w:bCs/>
          <w:lang w:val="ru-RU"/>
        </w:rPr>
        <w:t>,</w:t>
      </w:r>
      <w:r w:rsidRPr="00551B1A">
        <w:rPr>
          <w:rStyle w:val="FootnoteReference"/>
          <w:b w:val="0"/>
          <w:bCs/>
          <w:lang w:val="ru-RU"/>
        </w:rPr>
        <w:t xml:space="preserve"> </w:t>
      </w:r>
      <w:r w:rsidRPr="00551B1A">
        <w:rPr>
          <w:rStyle w:val="FootnoteReference"/>
          <w:b w:val="0"/>
          <w:bCs/>
          <w:lang w:val="ru-RU"/>
        </w:rPr>
        <w:fldChar w:fldCharType="begin"/>
      </w:r>
      <w:r w:rsidRPr="00551B1A">
        <w:rPr>
          <w:rStyle w:val="FootnoteReference"/>
          <w:b w:val="0"/>
          <w:bCs/>
          <w:lang w:val="ru-RU"/>
        </w:rPr>
        <w:instrText xml:space="preserve"> NOTEREF _Ref242118362 \h  \* MERGEFORMAT </w:instrText>
      </w:r>
      <w:r w:rsidRPr="00551B1A">
        <w:rPr>
          <w:rStyle w:val="FootnoteReference"/>
          <w:b w:val="0"/>
          <w:bCs/>
          <w:lang w:val="ru-RU"/>
        </w:rPr>
      </w:r>
      <w:r w:rsidRPr="00551B1A">
        <w:rPr>
          <w:rStyle w:val="FootnoteReference"/>
          <w:b w:val="0"/>
          <w:bCs/>
          <w:lang w:val="ru-RU"/>
        </w:rPr>
        <w:fldChar w:fldCharType="separate"/>
      </w:r>
      <w:r w:rsidRPr="00551B1A">
        <w:rPr>
          <w:rStyle w:val="FootnoteReference"/>
          <w:b w:val="0"/>
          <w:bCs/>
          <w:lang w:val="ru-RU"/>
        </w:rPr>
        <w:t>8</w:t>
      </w:r>
      <w:r w:rsidRPr="00551B1A">
        <w:rPr>
          <w:rStyle w:val="FootnoteReference"/>
          <w:b w:val="0"/>
          <w:bCs/>
          <w:lang w:val="ru-RU"/>
        </w:rPr>
        <w:fldChar w:fldCharType="end"/>
      </w:r>
      <w:bookmarkEnd w:id="10"/>
    </w:p>
    <w:p w14:paraId="66D53D07" w14:textId="77777777" w:rsidR="00446681" w:rsidRPr="00551B1A" w:rsidRDefault="00446681" w:rsidP="00446681">
      <w:pPr>
        <w:pStyle w:val="Heading2"/>
      </w:pPr>
      <w:r w:rsidRPr="00551B1A">
        <w:t>2.2</w:t>
      </w:r>
      <w:r w:rsidRPr="00551B1A">
        <w:tab/>
        <w:t>Значение центров обработки данных AWS в Объединенных Арабских Эмиратах и Бахрейне для государственных и частных услуг ИКТ</w:t>
      </w:r>
    </w:p>
    <w:p w14:paraId="1D932F01" w14:textId="469ABEF2" w:rsidR="00446681" w:rsidRPr="00551B1A" w:rsidRDefault="00446681" w:rsidP="00336599">
      <w:r w:rsidRPr="00551B1A">
        <w:t>В двух районах AWS – Бахрейне и Объединенных Арабских Эмиратах – размещается важнейшая инфраструктура ИКТ как для обеих этих стран, так и для региона в целом. Район AWS ME-CENTRAL-1 в</w:t>
      </w:r>
      <w:r w:rsidR="00336599" w:rsidRPr="00551B1A">
        <w:t> </w:t>
      </w:r>
      <w:r w:rsidRPr="00551B1A">
        <w:t>Объединенных Арабских Эмиратах, созданный в 2022 году</w:t>
      </w:r>
      <w:r w:rsidRPr="00551B1A">
        <w:rPr>
          <w:rStyle w:val="FootnoteReference"/>
        </w:rPr>
        <w:footnoteReference w:id="9"/>
      </w:r>
      <w:r w:rsidRPr="00551B1A">
        <w:t>, и район ME-SOUTH-1 в Бахрейне, созданный в 2019 году</w:t>
      </w:r>
      <w:r w:rsidRPr="00551B1A">
        <w:rPr>
          <w:rStyle w:val="FootnoteReference"/>
        </w:rPr>
        <w:footnoteReference w:id="10"/>
      </w:r>
      <w:r w:rsidRPr="00551B1A">
        <w:t>, являются единственными двумя районами AWS в зоне Персидского залива; помимо района AWS в Израиле, они являются единственными действующими районами AWS на всем Ближнем Востоке и в Северной Африке.</w:t>
      </w:r>
    </w:p>
    <w:p w14:paraId="327EFDB3" w14:textId="399C2CF8" w:rsidR="00446681" w:rsidRPr="00551B1A" w:rsidRDefault="00446681" w:rsidP="00336599">
      <w:r w:rsidRPr="00551B1A">
        <w:t>AWS сообщила, что два района – Бахрейн и Объединенные Арабские Эмираты – обслуживают многих частных клиентов в каждой стране и во всем мире. AWS также подчеркнула преимущество трех зон обслуживания для обеспечения непрерывности бизнеса и небольшую задержку, которую эти районы обеспечивают благодаря их близкому расположению.</w:t>
      </w:r>
    </w:p>
    <w:p w14:paraId="4CD788AE" w14:textId="40D94E47" w:rsidR="00446681" w:rsidRPr="00551B1A" w:rsidRDefault="00446681" w:rsidP="00336599">
      <w:r w:rsidRPr="00551B1A">
        <w:t>Кроме того, центры обработки данных в этих двух районах AWS рассматривались в качестве структурного элемента национальных инициатив в области цифровой трансформации. В частности, Бахрейн в 2017 году</w:t>
      </w:r>
      <w:r w:rsidRPr="00551B1A">
        <w:rPr>
          <w:rStyle w:val="FootnoteReference"/>
        </w:rPr>
        <w:footnoteReference w:id="11"/>
      </w:r>
      <w:r w:rsidRPr="00551B1A">
        <w:t xml:space="preserve"> приступил к реализации стратегии "предпочтительности облачной среды", подразумевая, что облачные вычисления являются ключевым фактором цифровой трансформации и что им следует отдавать предпочтение перед собственной аппаратной инфраструктурой. В</w:t>
      </w:r>
      <w:r w:rsidR="00336599" w:rsidRPr="00551B1A">
        <w:t> </w:t>
      </w:r>
      <w:r w:rsidRPr="00551B1A">
        <w:t>результате по состоянию на апрель 2023 года</w:t>
      </w:r>
      <w:r w:rsidRPr="00551B1A">
        <w:rPr>
          <w:rStyle w:val="FootnoteReference"/>
        </w:rPr>
        <w:footnoteReference w:id="12"/>
      </w:r>
      <w:r w:rsidRPr="00551B1A">
        <w:t xml:space="preserve"> в AWS было переведено 85% всех государственных данных. По данным Программы трансформации облачных вычислений Бахрейна, к 2025 году 72</w:t>
      </w:r>
      <w:r w:rsidR="00336599" w:rsidRPr="00551B1A">
        <w:t> </w:t>
      </w:r>
      <w:r w:rsidRPr="00551B1A">
        <w:t>государственных учреждения, предлагающие более 1385 государственных услуг и 570</w:t>
      </w:r>
      <w:r w:rsidR="0032589A" w:rsidRPr="00551B1A">
        <w:t> </w:t>
      </w:r>
      <w:r w:rsidRPr="00551B1A">
        <w:t>электронных услуг, перешли на облако.</w:t>
      </w:r>
    </w:p>
    <w:p w14:paraId="03A34E16" w14:textId="377604E1" w:rsidR="00446681" w:rsidRPr="00551B1A" w:rsidRDefault="00446681" w:rsidP="00336599">
      <w:r w:rsidRPr="00551B1A">
        <w:lastRenderedPageBreak/>
        <w:t>Кроме того, законы о суверенитете и защите данных требуют, чтобы определенные типы данных находились на территории каждой страны. Например, согласно Федеральному закону Объединенных Арабских Эмиратов №2 по состоянию на 2019 год запрещено хранить или обрабатывать любые медицинские данные за пределами Объединенных Арабских Эмиратов</w:t>
      </w:r>
      <w:r w:rsidRPr="00551B1A">
        <w:rPr>
          <w:rStyle w:val="FootnoteReference"/>
        </w:rPr>
        <w:footnoteReference w:id="13"/>
      </w:r>
      <w:r w:rsidRPr="00551B1A">
        <w:t>. Аналогичным образом, Центральный банк Объединенных Арабских Эмиратов требует от лицензированных финансовых учреждений обеспечивать, чтобы данные о потребителях и транзакциях оставались в пределах Объединенных Арабских Эмиратов</w:t>
      </w:r>
      <w:r w:rsidRPr="00551B1A">
        <w:rPr>
          <w:rStyle w:val="FootnoteReference"/>
        </w:rPr>
        <w:footnoteReference w:id="14"/>
      </w:r>
      <w:r w:rsidRPr="00551B1A">
        <w:t>.</w:t>
      </w:r>
    </w:p>
    <w:p w14:paraId="2AF7516C" w14:textId="45A5FCF6" w:rsidR="00446681" w:rsidRPr="00551B1A" w:rsidRDefault="00446681" w:rsidP="00336599">
      <w:r w:rsidRPr="00551B1A">
        <w:t>Таким образом, центры обработки данных, расположенные в Бахрейне и Объединенных Арабских Эмиратах, не только позволяют государственным учреждениям этих двух стран соответствовать местным нормам, но и дают возможность другим странам региона воспользоваться преимуществами близости, когда это позволяют регуляторные нормы. Например, в интервью представителю AWS</w:t>
      </w:r>
      <w:r w:rsidRPr="00551B1A">
        <w:rPr>
          <w:rStyle w:val="FootnoteReference"/>
        </w:rPr>
        <w:footnoteReference w:id="15"/>
      </w:r>
      <w:r w:rsidRPr="00551B1A">
        <w:t xml:space="preserve"> руководитель сектора информационных технологий Регуляторного органа связи и информационных технологий Кувейта (CITRA) рассказал о возможностях использования инфраструктуры облачных вычислений общего пользования с надлежащей классификацией данных.</w:t>
      </w:r>
    </w:p>
    <w:p w14:paraId="6CFB753F" w14:textId="4FD16998" w:rsidR="00446681" w:rsidRPr="00551B1A" w:rsidRDefault="00446681" w:rsidP="00336599">
      <w:pPr>
        <w:pStyle w:val="Heading2"/>
      </w:pPr>
      <w:r w:rsidRPr="00551B1A">
        <w:t>2.3</w:t>
      </w:r>
      <w:r w:rsidRPr="00551B1A">
        <w:tab/>
        <w:t>Воздействие нападений на центры обработки данных AWS в Объединенных Арабских Эмиратах и Бахрейне</w:t>
      </w:r>
    </w:p>
    <w:p w14:paraId="05CDEA00" w14:textId="0BE63F50" w:rsidR="00446681" w:rsidRPr="00551B1A" w:rsidRDefault="00446681" w:rsidP="00336599">
      <w:r w:rsidRPr="00551B1A">
        <w:t>Подробная оценка последствий и ущерба от нападений на центры обработки данных AWS в Бахрейне и Объединенных Арабских Эмиратах будет дана на следующих этапах, однако первые признаки свидетельствуют о значительных потерях по нескольким категориям. Первая категория ущерба охватывает перебои в работе или недоступность цифровых услуг, которые начались с момента нападений и продолжались до завершения переноса в новый район AWS или задействования планов на случай возникновения экстренных ситуаций. Например, Коммерческий банк Абу-Даби (ADCB) сообщил, что восстановление онлайновых банковских услуг заняло 48 часов</w:t>
      </w:r>
      <w:r w:rsidRPr="00551B1A">
        <w:rPr>
          <w:rStyle w:val="FootnoteReference"/>
        </w:rPr>
        <w:footnoteReference w:id="16"/>
      </w:r>
      <w:r w:rsidRPr="00551B1A">
        <w:t>.</w:t>
      </w:r>
    </w:p>
    <w:p w14:paraId="4796BC12" w14:textId="1B17A0A7" w:rsidR="00446681" w:rsidRPr="00551B1A" w:rsidRDefault="00446681" w:rsidP="00336599">
      <w:r w:rsidRPr="00551B1A">
        <w:t>Вторая категория ущерба связана с дополнительными затратами на перенос и эксплуатацию цифровых услуг в разных регионах и поставщиков облачных услуг, включая планы обеспечения непрерывности деятельности при возникновении непредвиденных обстоятельств, в том числе размещение резервных копий данных в разных местах</w:t>
      </w:r>
      <w:r w:rsidRPr="00551B1A">
        <w:rPr>
          <w:rStyle w:val="FootnoteReference"/>
        </w:rPr>
        <w:footnoteReference w:id="17"/>
      </w:r>
      <w:r w:rsidRPr="00551B1A">
        <w:t>.</w:t>
      </w:r>
    </w:p>
    <w:p w14:paraId="7CB9CF9C" w14:textId="747AF02B" w:rsidR="00446681" w:rsidRPr="00551B1A" w:rsidRDefault="00446681" w:rsidP="001B7793">
      <w:r w:rsidRPr="00551B1A">
        <w:t>Третья категория относится к долгосрочным амбициям Ближнего Востока как центра ИИ и цифровой инфраструктуры</w:t>
      </w:r>
      <w:r w:rsidRPr="00551B1A">
        <w:rPr>
          <w:rStyle w:val="FootnoteReference"/>
        </w:rPr>
        <w:footnoteReference w:id="18"/>
      </w:r>
      <w:r w:rsidRPr="00551B1A">
        <w:t>. Последовавшая за нападениями недоступность района ME-SOUTH-1 и подтверждение AWS того, что данные, хранящиеся исключительно там, не могут быть восстановлены</w:t>
      </w:r>
      <w:r w:rsidRPr="00551B1A">
        <w:rPr>
          <w:rStyle w:val="FootnoteReference"/>
        </w:rPr>
        <w:footnoteReference w:id="19"/>
      </w:r>
      <w:r w:rsidRPr="00551B1A">
        <w:t>, по-видимому, не имели прецедента в истории вооруженных конфликтов.</w:t>
      </w:r>
    </w:p>
    <w:p w14:paraId="7F5E820A" w14:textId="77777777" w:rsidR="00446681" w:rsidRPr="00551B1A" w:rsidRDefault="00446681" w:rsidP="001B7793">
      <w:r w:rsidRPr="00551B1A">
        <w:lastRenderedPageBreak/>
        <w:t>Как отмечает Институт государственной политики имени Бейкера Университета Райса</w:t>
      </w:r>
      <w:r w:rsidRPr="00551B1A">
        <w:rPr>
          <w:rStyle w:val="FootnoteReference"/>
        </w:rPr>
        <w:footnoteReference w:id="20"/>
      </w:r>
      <w:r w:rsidRPr="00551B1A">
        <w:t>, последствия таких нападений выходят за рамки финансового ущерба и распространяются на доверие инвесторов к созданию и эксплуатации центров обработки данных в регионе. Однако, поскольку конфликт все еще продолжается, полное представление о воздействии на доверие и репутацию региона в долгосрочной перспективе останется неясным.</w:t>
      </w:r>
    </w:p>
    <w:p w14:paraId="67AFA8E6" w14:textId="2B5CA918" w:rsidR="00446681" w:rsidRPr="00551B1A" w:rsidRDefault="00446681" w:rsidP="001B7793">
      <w:pPr>
        <w:pStyle w:val="Heading2"/>
      </w:pPr>
      <w:r w:rsidRPr="00551B1A">
        <w:t>2.4</w:t>
      </w:r>
      <w:r w:rsidRPr="00551B1A">
        <w:tab/>
        <w:t>Март-апрель 2026 года: нападения на поставщиков услуг электросвязи</w:t>
      </w:r>
    </w:p>
    <w:p w14:paraId="58EF75B7" w14:textId="5E4CD9D1" w:rsidR="00446681" w:rsidRPr="00551B1A" w:rsidRDefault="00446681" w:rsidP="001B7793">
      <w:r w:rsidRPr="00551B1A">
        <w:t>В СМИ сообщалось, что в регионе было предпринято несколько нападений на поставщиков услуг электросвязи (например, на офисы компаний Thuraya Telecom</w:t>
      </w:r>
      <w:r w:rsidRPr="00551B1A">
        <w:rPr>
          <w:rStyle w:val="FootnoteReference"/>
        </w:rPr>
        <w:footnoteReference w:id="21"/>
      </w:r>
      <w:r w:rsidRPr="00551B1A">
        <w:t xml:space="preserve"> и Telecommunications</w:t>
      </w:r>
      <w:r w:rsidRPr="00551B1A">
        <w:rPr>
          <w:rStyle w:val="FootnoteReference"/>
        </w:rPr>
        <w:footnoteReference w:id="22"/>
      </w:r>
      <w:r w:rsidRPr="00551B1A">
        <w:t>). Поскольку этот промежуточный отчет основан на методике кабинетного исследования и ввиду отсутствия общедоступных данных, которые можно было бы использовать для подтверждения нападений и причиненного ущерба, на следующих этапах оценки будет проведен дополнительный сбор данных и доказательств для анализа этих сообщений в СМИ и оценки причиняемого ими ущерба, а также о</w:t>
      </w:r>
      <w:r w:rsidR="002C0D37" w:rsidRPr="00551B1A">
        <w:t> </w:t>
      </w:r>
      <w:r w:rsidRPr="00551B1A">
        <w:t xml:space="preserve">любых других нападениях, о которых могли бы сообщать средства массовой информации. </w:t>
      </w:r>
    </w:p>
    <w:p w14:paraId="7583D87A" w14:textId="77777777" w:rsidR="00446681" w:rsidRPr="00551B1A" w:rsidRDefault="00446681" w:rsidP="00446681">
      <w:pPr>
        <w:pStyle w:val="Heading1"/>
      </w:pPr>
      <w:r w:rsidRPr="00551B1A">
        <w:t>3</w:t>
      </w:r>
      <w:r w:rsidRPr="00551B1A">
        <w:tab/>
        <w:t>Помехи глобальным навигационным спутниковым системам (ГНСС)</w:t>
      </w:r>
    </w:p>
    <w:p w14:paraId="5E14A8D8" w14:textId="77777777" w:rsidR="00446681" w:rsidRPr="00551B1A" w:rsidRDefault="00446681" w:rsidP="001B7793">
      <w:r w:rsidRPr="00551B1A">
        <w:t>За последние несколько лет вредные помехи, затрагивающие радионавигационную спутниковую службу (РНСС), поддерживающую глобальные навигационные спутниковые системы (ГНСС), стали вызывать растущую обеспокоенность Радиорегламентарного комитета (РРК).</w:t>
      </w:r>
    </w:p>
    <w:p w14:paraId="599E4F4B" w14:textId="1CCFC0C8" w:rsidR="00446681" w:rsidRPr="00551B1A" w:rsidRDefault="00446681" w:rsidP="001B7793">
      <w:r w:rsidRPr="00551B1A">
        <w:t>В 2024 году РРК отметил заметное увеличение числа сообщений о вредных помехах, затрагивающих приемники ГНСС во многих регионах. Зарегистрированные инциденты не ограничиваются отдельными нарушениями; они все чаще затрагивают критически важные навигационные системы и системы измерения времени, обеспечивающие гражданскую авиацию, морские операции и электросвязь. РРК неоднократно выражал обеспокоенность по поводу использования методов глушения и спуфинга, отмечая, что такая практика может подорвать безопасное и эффективное функционирование критической инфраструктуры и служб обеспечения безопасности жизнедеятельности.</w:t>
      </w:r>
    </w:p>
    <w:p w14:paraId="2954CE82" w14:textId="692381EF" w:rsidR="00446681" w:rsidRPr="00551B1A" w:rsidRDefault="00446681" w:rsidP="001B7793">
      <w:r w:rsidRPr="00551B1A">
        <w:t>На Ближнем Востоке администрации сообщали о помехах, затрагивающих приемники ГНСС, используемые для систем навигации и обеспечения безопасности. РРК призвал заинтересованные администрации расследовать эти случаи, наладить прямое сотрудничество и незамедлительно принять меры для устранения вредных помех. В ходе ряда обсуждений и скоординированных действий при содействии Бюро участвовавшие администрации продемонстрировали готовность к сотрудничеству, и к концу 2025 года РРК отметил реальный прогресс в рассмотрении ряда случаев, о</w:t>
      </w:r>
      <w:r w:rsidR="001B7793" w:rsidRPr="00551B1A">
        <w:t> </w:t>
      </w:r>
      <w:r w:rsidRPr="00551B1A">
        <w:t>которых сообщалось.</w:t>
      </w:r>
    </w:p>
    <w:p w14:paraId="35831809" w14:textId="123CA065" w:rsidR="00446681" w:rsidRPr="00551B1A" w:rsidRDefault="00446681" w:rsidP="001B7793">
      <w:r w:rsidRPr="00551B1A">
        <w:t>Кроме того, общедоступные отраслевые оценки и отчеты свидетельствуют о значительном увеличении помех, воздействующих на сигналы ГНСС в регионе Персидского залива. Этот регион уже испытывал повышенные уровни помех со стороны ГНСС до конфликта. Например, по результатам обследования, проведенного Королевским институтом навигации в 2025 году, более 80</w:t>
      </w:r>
      <w:r w:rsidR="0032589A" w:rsidRPr="00551B1A">
        <w:t> </w:t>
      </w:r>
      <w:r w:rsidRPr="00551B1A">
        <w:t xml:space="preserve">процентов моряков, работавших в регионе Персидского залива/Ормузском проливе, сообщили о помехах в </w:t>
      </w:r>
      <w:r w:rsidRPr="00551B1A">
        <w:lastRenderedPageBreak/>
        <w:t>работе ГНСС</w:t>
      </w:r>
      <w:r w:rsidRPr="00551B1A">
        <w:rPr>
          <w:rStyle w:val="FootnoteReference"/>
        </w:rPr>
        <w:footnoteReference w:id="23"/>
      </w:r>
      <w:r w:rsidRPr="00551B1A">
        <w:t>. Аналогичным образом, в своей оценке рисков для безопасности в 2025 году Международная ассоциация воздушного транспорта (ИАТА) выявила повышенные уровни радиочастотных помех ГНСС в регионе Персидского залива и вокруг него</w:t>
      </w:r>
      <w:bookmarkStart w:id="11" w:name="_Ref241576694"/>
      <w:r w:rsidRPr="00551B1A">
        <w:rPr>
          <w:rStyle w:val="FootnoteReference"/>
        </w:rPr>
        <w:footnoteReference w:id="24"/>
      </w:r>
      <w:bookmarkEnd w:id="11"/>
      <w:r w:rsidRPr="00551B1A">
        <w:t>.</w:t>
      </w:r>
    </w:p>
    <w:p w14:paraId="013DDDB3" w14:textId="3AE1EBC1" w:rsidR="00446681" w:rsidRPr="00551B1A" w:rsidRDefault="00446681" w:rsidP="001B7793">
      <w:r w:rsidRPr="00551B1A">
        <w:t>Имеющиеся данные мониторинга показывают, что в течение 2026 года помеховая активность еще больше возросла. Данные коммерческого мониторинга показывают, что в первом квартале 2026 года была зафиксирована самая высокая концентрация случаев помех морской ГНСС на сегодняшний день, 98 процентов которых приходится на регион Персидского залива</w:t>
      </w:r>
      <w:r w:rsidRPr="00551B1A">
        <w:rPr>
          <w:rStyle w:val="FootnoteReference"/>
        </w:rPr>
        <w:footnoteReference w:id="25"/>
      </w:r>
      <w:r w:rsidRPr="00551B1A">
        <w:t>.</w:t>
      </w:r>
      <w:r w:rsidR="001B7793" w:rsidRPr="00551B1A">
        <w:t xml:space="preserve"> </w:t>
      </w:r>
      <w:r w:rsidRPr="00551B1A">
        <w:t>В СМИ также сообщалось о нарушениях, затрагивающих навигационные системы ГНСС, в частности приемники глобальной системы определения местоположения (GPS), используемые морскими, авиационными и наземными пользователями</w:t>
      </w:r>
      <w:r w:rsidRPr="00551B1A">
        <w:rPr>
          <w:rStyle w:val="FootnoteReference"/>
        </w:rPr>
        <w:footnoteReference w:id="26"/>
      </w:r>
      <w:r w:rsidRPr="00551B1A">
        <w:t>.</w:t>
      </w:r>
    </w:p>
    <w:p w14:paraId="3D6ED9FE" w14:textId="081E1346" w:rsidR="00446681" w:rsidRPr="00551B1A" w:rsidRDefault="00446681" w:rsidP="001B7793">
      <w:pPr>
        <w:rPr>
          <w:szCs w:val="24"/>
        </w:rPr>
      </w:pPr>
      <w:r w:rsidRPr="00551B1A">
        <w:t>Сообщения о нарушениях затронули работу служб определения местоположения, навигации и синхронизации, используемых морскими, авиационными и наземными пользователями. Повышенные уровни помех могут увеличить эксплуатационные риски для секторов, которые зависят от точных и надежных сигналов ГНСС, включая транспортные сети и сети электросвязи</w:t>
      </w:r>
      <w:r w:rsidRPr="00551B1A">
        <w:rPr>
          <w:rStyle w:val="FootnoteReference"/>
          <w:szCs w:val="16"/>
        </w:rPr>
        <w:footnoteReference w:id="27"/>
      </w:r>
      <w:r w:rsidRPr="00551B1A">
        <w:t>.</w:t>
      </w:r>
    </w:p>
    <w:p w14:paraId="60ADC76E" w14:textId="23EA1642" w:rsidR="00446681" w:rsidRPr="00551B1A" w:rsidRDefault="00446681" w:rsidP="00446681">
      <w:pPr>
        <w:pStyle w:val="Heading2"/>
      </w:pPr>
      <w:r w:rsidRPr="00551B1A">
        <w:t>3.1</w:t>
      </w:r>
      <w:r w:rsidRPr="00551B1A">
        <w:tab/>
        <w:t>Усилия МСЭ по борьбе с помехами в работе глобальных навигационных спутниковых</w:t>
      </w:r>
      <w:r w:rsidR="00C96C1C" w:rsidRPr="00551B1A">
        <w:t> </w:t>
      </w:r>
      <w:r w:rsidRPr="00551B1A">
        <w:t>систем (ГНСС)</w:t>
      </w:r>
    </w:p>
    <w:p w14:paraId="05C8AA52" w14:textId="6664A483" w:rsidR="00446681" w:rsidRPr="00551B1A" w:rsidRDefault="00446681" w:rsidP="001B7793">
      <w:r w:rsidRPr="00551B1A">
        <w:t>Признавая растущие масштабы и международное значение этой проблемы, РРК обратился к Бюро с просьбой создать общедоступную веб-страницу, содержащую информацию о сообщенных случаях, применимых регламентарных положениях и решениях РРК</w:t>
      </w:r>
      <w:r w:rsidRPr="00551B1A">
        <w:rPr>
          <w:rStyle w:val="FootnoteReference"/>
          <w:szCs w:val="16"/>
        </w:rPr>
        <w:footnoteReference w:id="28"/>
      </w:r>
      <w:r w:rsidRPr="00551B1A">
        <w:t>. РРК также поддержал дальнейшие усилия по представлению отчетов и координации, подчеркнув, что вредные помехи сигналам ГНСС представляют риск не только для национальных систем радиосвязи, но и для международного транспорта, навигации и безопасности.</w:t>
      </w:r>
    </w:p>
    <w:p w14:paraId="7E3AB9B7" w14:textId="3E081AD2" w:rsidR="00446681" w:rsidRPr="00551B1A" w:rsidRDefault="00446681" w:rsidP="001B7793">
      <w:r w:rsidRPr="00551B1A">
        <w:t>К 2026 году РРК продолжал получать сообщения о глушении и спуфинге ГНСС. Несмотря на то, что в некоторых отдельных случаях наблюдались признаки улучшения благодаря диалогу и оперативным мерам, РРК пришел к выводу, что вредные помехи РНСС остаются существенным и нерешенным вопросом, требующим продолжения международного сотрудничества. В ходе своих обсуждений РРК последовательно подчеркивал, что администрации должны сотрудничать для расследования инцидентов, оперативного урегулирования случаев вредных помех и обеспечения целостности спутниковых навигационных систем, поддерживающих важнейшие системы навигации, синхронизации и безопасности.</w:t>
      </w:r>
    </w:p>
    <w:p w14:paraId="2DF3AEF2" w14:textId="11A07B5C" w:rsidR="00446681" w:rsidRPr="00551B1A" w:rsidRDefault="00446681" w:rsidP="00446681">
      <w:pPr>
        <w:pStyle w:val="Heading1"/>
      </w:pPr>
      <w:r w:rsidRPr="00551B1A">
        <w:lastRenderedPageBreak/>
        <w:t>4</w:t>
      </w:r>
      <w:r w:rsidRPr="00551B1A">
        <w:tab/>
        <w:t>Риски для подводных кабелей и магистральной сети интернета</w:t>
      </w:r>
    </w:p>
    <w:p w14:paraId="788B515A" w14:textId="57F9ACF9" w:rsidR="00446681" w:rsidRPr="00551B1A" w:rsidRDefault="00446681" w:rsidP="001B7793">
      <w:r w:rsidRPr="00551B1A">
        <w:t>В совместном вкладе, представленном Совету 2026 года (теперь Резолюция 1436) Бахрейном, Кувейтом, Объединенными Арабскими Эмиратами и Иорданией, сообщается о прямых ударах по станции выхода подводного кабеля на берег в Объединенных Арабских Эмиратах 31 марта и</w:t>
      </w:r>
      <w:r w:rsidR="001B7793" w:rsidRPr="00551B1A">
        <w:t> </w:t>
      </w:r>
      <w:r w:rsidRPr="00551B1A">
        <w:t>6</w:t>
      </w:r>
      <w:r w:rsidR="001B7793" w:rsidRPr="00551B1A">
        <w:t> </w:t>
      </w:r>
      <w:r w:rsidRPr="00551B1A">
        <w:t xml:space="preserve">апреля 2026 года. Несмотря на то, что последствия нападений на станцию выхода подводного кабеля на берег 31 марта и 6 апреля будут оцениваться на следующих этапах настоящего отчета, крайне важно повысить осведомленность об этих рисках в регионе и обеспечить защиту магистральной сети интернета в регионе. </w:t>
      </w:r>
      <w:r w:rsidRPr="00551B1A">
        <w:fldChar w:fldCharType="begin"/>
      </w:r>
      <w:r w:rsidRPr="00551B1A">
        <w:instrText xml:space="preserve"> REF _Ref240576174 \h </w:instrText>
      </w:r>
      <w:r w:rsidR="001B7793" w:rsidRPr="00551B1A">
        <w:instrText xml:space="preserve"> \* MERGEFORMAT </w:instrText>
      </w:r>
      <w:r w:rsidRPr="00551B1A">
        <w:fldChar w:fldCharType="separate"/>
      </w:r>
      <w:r w:rsidRPr="00551B1A">
        <w:fldChar w:fldCharType="end"/>
      </w:r>
    </w:p>
    <w:p w14:paraId="13BCE8ED" w14:textId="1DCBA1EC" w:rsidR="00446681" w:rsidRPr="00551B1A" w:rsidRDefault="00446681" w:rsidP="001B7793">
      <w:r w:rsidRPr="00551B1A">
        <w:t>Оценки отрасли</w:t>
      </w:r>
      <w:bookmarkStart w:id="13" w:name="_Ref242719535"/>
      <w:r w:rsidRPr="00551B1A">
        <w:rPr>
          <w:rStyle w:val="FootnoteReference"/>
        </w:rPr>
        <w:footnoteReference w:id="29"/>
      </w:r>
      <w:bookmarkEnd w:id="13"/>
      <w:r w:rsidRPr="00551B1A">
        <w:t xml:space="preserve"> показывают, что, хотя в регионе Персидского залива существуют наземные маршруты, подводные кабели являются основным источником международных соединений для государств Персидского залива.</w:t>
      </w:r>
    </w:p>
    <w:p w14:paraId="5140900F" w14:textId="206DBFA0" w:rsidR="00446681" w:rsidRPr="00551B1A" w:rsidRDefault="00446681" w:rsidP="001B7793">
      <w:r w:rsidRPr="00551B1A">
        <w:rPr>
          <w:rFonts w:asciiTheme="minorHAnsi" w:hAnsiTheme="minorHAnsi" w:cstheme="minorHAnsi"/>
        </w:rPr>
        <w:t>Как отмечается на сайте TeleGeography</w:t>
      </w:r>
      <w:r w:rsidRPr="00551B1A">
        <w:rPr>
          <w:rStyle w:val="FootnoteReference"/>
        </w:rPr>
        <w:fldChar w:fldCharType="begin"/>
      </w:r>
      <w:r w:rsidRPr="00551B1A">
        <w:rPr>
          <w:rStyle w:val="FootnoteReference"/>
        </w:rPr>
        <w:instrText xml:space="preserve"> NOTEREF _Ref242118896 \h  \* MERGEFORMAT </w:instrText>
      </w:r>
      <w:r w:rsidRPr="00551B1A">
        <w:rPr>
          <w:rStyle w:val="FootnoteReference"/>
        </w:rPr>
      </w:r>
      <w:r w:rsidRPr="00551B1A">
        <w:rPr>
          <w:rStyle w:val="FootnoteReference"/>
        </w:rPr>
        <w:fldChar w:fldCharType="separate"/>
      </w:r>
      <w:r w:rsidRPr="00551B1A">
        <w:rPr>
          <w:rStyle w:val="FootnoteReference"/>
        </w:rPr>
        <w:fldChar w:fldCharType="begin"/>
      </w:r>
      <w:r w:rsidRPr="00551B1A">
        <w:rPr>
          <w:rStyle w:val="FootnoteReference"/>
        </w:rPr>
        <w:instrText xml:space="preserve"> NOTEREF _Ref242719535 \h </w:instrText>
      </w:r>
      <w:r w:rsidR="001B7793" w:rsidRPr="00551B1A">
        <w:rPr>
          <w:rStyle w:val="FootnoteReference"/>
        </w:rPr>
        <w:instrText xml:space="preserve"> \* MERGEFORMAT </w:instrText>
      </w:r>
      <w:r w:rsidRPr="00551B1A">
        <w:rPr>
          <w:rStyle w:val="FootnoteReference"/>
        </w:rPr>
      </w:r>
      <w:r w:rsidRPr="00551B1A">
        <w:rPr>
          <w:rStyle w:val="FootnoteReference"/>
        </w:rPr>
        <w:fldChar w:fldCharType="separate"/>
      </w:r>
      <w:r w:rsidRPr="00551B1A">
        <w:rPr>
          <w:rStyle w:val="FootnoteReference"/>
        </w:rPr>
        <w:t>29</w:t>
      </w:r>
      <w:r w:rsidRPr="00551B1A">
        <w:rPr>
          <w:rStyle w:val="FootnoteReference"/>
        </w:rPr>
        <w:fldChar w:fldCharType="end"/>
      </w:r>
      <w:r w:rsidRPr="00551B1A">
        <w:rPr>
          <w:rStyle w:val="FootnoteReference"/>
        </w:rPr>
        <w:fldChar w:fldCharType="end"/>
      </w:r>
      <w:r w:rsidRPr="00551B1A">
        <w:rPr>
          <w:rFonts w:asciiTheme="minorHAnsi" w:hAnsiTheme="minorHAnsi" w:cstheme="minorHAnsi"/>
        </w:rPr>
        <w:t>, "пропускная способность наземных сетей может оказаться недостаточной для выполнения полного изменения маршрута трафика в случае повреждения подводных систем в Персидском заливе. Наземные сети не являются идеальной заменой подводных систем и не застрахованы от ущерба от самих военных действий". В частности, в отношении Кувейта и Бахрейна указывается, что "эти страны имеют наземные сетевые соединения с Саудовской Аравией, а Кувейт также соединен с Ираком. Эти наземные маршруты обеспечивают дальнейшее соединение с остальным миром"</w:t>
      </w:r>
      <w:r w:rsidRPr="00551B1A">
        <w:rPr>
          <w:rStyle w:val="FootnoteReference"/>
        </w:rPr>
        <w:fldChar w:fldCharType="begin"/>
      </w:r>
      <w:r w:rsidRPr="00551B1A">
        <w:rPr>
          <w:rStyle w:val="FootnoteReference"/>
        </w:rPr>
        <w:instrText xml:space="preserve"> NOTEREF _Ref242719535 \h </w:instrText>
      </w:r>
      <w:r w:rsidR="001B7793" w:rsidRPr="00551B1A">
        <w:rPr>
          <w:rStyle w:val="FootnoteReference"/>
          <w:lang w:eastAsia="es-ES_tradnl"/>
        </w:rPr>
        <w:instrText xml:space="preserve"> \* MERGEFORMAT </w:instrText>
      </w:r>
      <w:r w:rsidRPr="00551B1A">
        <w:rPr>
          <w:rStyle w:val="FootnoteReference"/>
        </w:rPr>
      </w:r>
      <w:r w:rsidRPr="00551B1A">
        <w:rPr>
          <w:rStyle w:val="FootnoteReference"/>
        </w:rPr>
        <w:fldChar w:fldCharType="separate"/>
      </w:r>
      <w:r w:rsidRPr="00551B1A">
        <w:rPr>
          <w:rStyle w:val="FootnoteReference"/>
        </w:rPr>
        <w:t>29</w:t>
      </w:r>
      <w:r w:rsidRPr="00551B1A">
        <w:rPr>
          <w:rStyle w:val="FootnoteReference"/>
        </w:rPr>
        <w:fldChar w:fldCharType="end"/>
      </w:r>
      <w:r w:rsidRPr="00551B1A">
        <w:rPr>
          <w:rFonts w:asciiTheme="minorHAnsi" w:hAnsiTheme="minorHAnsi" w:cstheme="minorHAnsi"/>
        </w:rPr>
        <w:t>.</w:t>
      </w:r>
    </w:p>
    <w:p w14:paraId="34E35FA0" w14:textId="2D5D1792" w:rsidR="00446681" w:rsidRPr="00551B1A" w:rsidRDefault="00446681" w:rsidP="001B7793">
      <w:pPr>
        <w:rPr>
          <w:rFonts w:asciiTheme="minorHAnsi" w:hAnsiTheme="minorHAnsi" w:cstheme="minorBidi"/>
        </w:rPr>
      </w:pPr>
      <w:r w:rsidRPr="00551B1A">
        <w:rPr>
          <w:rFonts w:asciiTheme="minorHAnsi" w:hAnsiTheme="minorHAnsi" w:cstheme="minorBidi"/>
        </w:rPr>
        <w:t>Объединенные Арабские Эмираты лучше оснащены для того, чтобы противостоять нарушениям работы подводных кабелей, имея также и наземные соединения с соседними странами; несколько подводных кабелей выходят на берег в Фуджейре на побережье Оманского залива. Это повышает устойчивость Объединенных Арабских Эмиратов в случае повреждения кабелей.</w:t>
      </w:r>
    </w:p>
    <w:p w14:paraId="11D83E3E" w14:textId="77777777" w:rsidR="00446681" w:rsidRPr="00551B1A" w:rsidRDefault="00446681" w:rsidP="001B7793">
      <w:r w:rsidRPr="00551B1A">
        <w:t>Вместе с тем, по данным TeleGeography</w:t>
      </w:r>
      <w:r w:rsidRPr="00551B1A">
        <w:rPr>
          <w:rStyle w:val="FootnoteReference"/>
        </w:rPr>
        <w:fldChar w:fldCharType="begin"/>
      </w:r>
      <w:r w:rsidRPr="00551B1A">
        <w:rPr>
          <w:rStyle w:val="FootnoteReference"/>
        </w:rPr>
        <w:instrText xml:space="preserve"> NOTEREF _Ref242719535 \h  \* MERGEFORMAT </w:instrText>
      </w:r>
      <w:r w:rsidRPr="00551B1A">
        <w:rPr>
          <w:rStyle w:val="FootnoteReference"/>
        </w:rPr>
      </w:r>
      <w:r w:rsidRPr="00551B1A">
        <w:rPr>
          <w:rStyle w:val="FootnoteReference"/>
        </w:rPr>
        <w:fldChar w:fldCharType="separate"/>
      </w:r>
      <w:r w:rsidRPr="00551B1A">
        <w:rPr>
          <w:rStyle w:val="FootnoteReference"/>
        </w:rPr>
        <w:t>29</w:t>
      </w:r>
      <w:r w:rsidRPr="00551B1A">
        <w:rPr>
          <w:rStyle w:val="FootnoteReference"/>
        </w:rPr>
        <w:fldChar w:fldCharType="end"/>
      </w:r>
      <w:r w:rsidRPr="00551B1A">
        <w:t xml:space="preserve">, хотя ни одна из этих стран не полагается полностью на подводные кабели для обеспечения международных соединений, наземные сети могут не обеспечивать возможности полного изменения маршрута трафика в случае повреждения подводных кабелей в Персидском заливе. </w:t>
      </w:r>
    </w:p>
    <w:p w14:paraId="2FD87E15" w14:textId="77777777" w:rsidR="00446681" w:rsidRPr="00551B1A" w:rsidRDefault="00446681" w:rsidP="00446681">
      <w:pPr>
        <w:pStyle w:val="Heading1"/>
      </w:pPr>
      <w:r w:rsidRPr="00551B1A">
        <w:t>5</w:t>
      </w:r>
      <w:r w:rsidRPr="00551B1A">
        <w:tab/>
        <w:t>Воздействие на программы МСЭ</w:t>
      </w:r>
    </w:p>
    <w:p w14:paraId="1F69AFE4" w14:textId="675E0996" w:rsidR="00446681" w:rsidRPr="00551B1A" w:rsidRDefault="00446681" w:rsidP="001B7793">
      <w:r w:rsidRPr="00551B1A">
        <w:t>В результате конфликта были затронуты следующие программы МСЭ:</w:t>
      </w:r>
    </w:p>
    <w:p w14:paraId="348D8383" w14:textId="1DA2BF9F" w:rsidR="00446681" w:rsidRPr="00551B1A" w:rsidRDefault="001B7793" w:rsidP="001B7793">
      <w:pPr>
        <w:pStyle w:val="enumlev1"/>
      </w:pPr>
      <w:r w:rsidRPr="00551B1A">
        <w:t>•</w:t>
      </w:r>
      <w:r w:rsidRPr="00551B1A">
        <w:tab/>
      </w:r>
      <w:r w:rsidR="00446681" w:rsidRPr="00551B1A">
        <w:t>Глобальные тренировочные занятия МСЭ по кибербезопасности, которые планировалось провести в Дубае с 5 по 7 мая 2026 года, первоначально были отложены и впоследствии отменены</w:t>
      </w:r>
      <w:r w:rsidR="00446681" w:rsidRPr="00551B1A">
        <w:rPr>
          <w:rStyle w:val="FootnoteReference"/>
        </w:rPr>
        <w:footnoteReference w:id="30"/>
      </w:r>
      <w:r w:rsidR="00446681" w:rsidRPr="00551B1A">
        <w:t>. Первоначальное решение о переносе мероприятия было напрямую связано с конфликтом в регионе, поскольку многие страны, в том числе Кувейт и Иордания, не смогли бы принять в нем участие. Поскольку конфликт продолжается, МСЭ позднее принял решение отменить это мероприятие.</w:t>
      </w:r>
    </w:p>
    <w:p w14:paraId="33FB0F95" w14:textId="079E0178" w:rsidR="00446681" w:rsidRPr="00551B1A" w:rsidRDefault="001B7793" w:rsidP="001B7793">
      <w:pPr>
        <w:pStyle w:val="enumlev1"/>
      </w:pPr>
      <w:r w:rsidRPr="00551B1A">
        <w:t>•</w:t>
      </w:r>
      <w:r w:rsidRPr="00551B1A">
        <w:tab/>
      </w:r>
      <w:r w:rsidR="00446681" w:rsidRPr="00551B1A">
        <w:t>Региональный форум по вопросам развития для арабских государств (РФР-26-АРБ), который планировалось провести в Иордании, был перенесен на 2027 год</w:t>
      </w:r>
      <w:r w:rsidR="00446681" w:rsidRPr="00551B1A">
        <w:rPr>
          <w:rStyle w:val="FootnoteReference"/>
        </w:rPr>
        <w:footnoteReference w:id="31"/>
      </w:r>
      <w:r w:rsidR="00446681" w:rsidRPr="00551B1A">
        <w:t xml:space="preserve">. Региональное отделение МСЭ для арабских государств отложило проведение мероприятия после консультаций с Государствами-Членами и предложения заинтересованным сторонам сделать выбор между </w:t>
      </w:r>
      <w:r w:rsidR="00446681" w:rsidRPr="00551B1A">
        <w:lastRenderedPageBreak/>
        <w:t>проведением Форума в виртуальном формате в 2026 году или переносом его на 2027 год с проведением в очном формате. Было принято решение перенести мероприятие на 2027</w:t>
      </w:r>
      <w:r w:rsidR="00DC4C55" w:rsidRPr="00551B1A">
        <w:t> </w:t>
      </w:r>
      <w:r w:rsidR="00446681" w:rsidRPr="00551B1A">
        <w:t>год.</w:t>
      </w:r>
    </w:p>
    <w:p w14:paraId="41919C8C" w14:textId="53AB0FBD" w:rsidR="00446681" w:rsidRPr="00551B1A" w:rsidRDefault="001B7793" w:rsidP="001B7793">
      <w:pPr>
        <w:pStyle w:val="enumlev1"/>
      </w:pPr>
      <w:r w:rsidRPr="00551B1A">
        <w:t>•</w:t>
      </w:r>
      <w:r w:rsidRPr="00551B1A">
        <w:tab/>
      </w:r>
      <w:r w:rsidR="00446681" w:rsidRPr="00551B1A">
        <w:t>Арабский региональный диалог по вопросам политики и регулирования был перенесен на 2027</w:t>
      </w:r>
      <w:r w:rsidRPr="00551B1A">
        <w:t> </w:t>
      </w:r>
      <w:r w:rsidR="00446681" w:rsidRPr="00551B1A">
        <w:t>год</w:t>
      </w:r>
      <w:r w:rsidR="00446681" w:rsidRPr="00551B1A">
        <w:rPr>
          <w:rStyle w:val="FootnoteReference"/>
        </w:rPr>
        <w:footnoteReference w:id="32"/>
      </w:r>
      <w:r w:rsidR="00446681" w:rsidRPr="00551B1A">
        <w:t>, с тем чтобы обеспечить возможность участия всех стран, включая четыре страны, упомянутые в этой Резолюции.</w:t>
      </w:r>
    </w:p>
    <w:p w14:paraId="0A2F8366" w14:textId="77777777" w:rsidR="00446681" w:rsidRPr="00551B1A" w:rsidRDefault="00446681" w:rsidP="00446681">
      <w:pPr>
        <w:pStyle w:val="Heading1"/>
      </w:pPr>
      <w:bookmarkStart w:id="14" w:name="_Ref240587414"/>
      <w:r w:rsidRPr="00551B1A">
        <w:t>6</w:t>
      </w:r>
      <w:r w:rsidRPr="00551B1A">
        <w:tab/>
      </w:r>
      <w:bookmarkEnd w:id="14"/>
      <w:r w:rsidRPr="00551B1A">
        <w:t>Дальнейшие шаги в рамках оценки</w:t>
      </w:r>
    </w:p>
    <w:p w14:paraId="5BD0A00B" w14:textId="75ECD3E3" w:rsidR="00446681" w:rsidRPr="00551B1A" w:rsidRDefault="00446681" w:rsidP="001B7793">
      <w:r w:rsidRPr="00551B1A">
        <w:t>Запланированные дальнейшие шаги в рамках оценки будут охватывать следующие виды</w:t>
      </w:r>
      <w:r w:rsidR="00C96C1C" w:rsidRPr="00551B1A">
        <w:t> </w:t>
      </w:r>
      <w:r w:rsidRPr="00551B1A">
        <w:t>деятельности:</w:t>
      </w:r>
    </w:p>
    <w:p w14:paraId="6D98A47A" w14:textId="03175423" w:rsidR="00446681" w:rsidRPr="00551B1A" w:rsidRDefault="00EB40B5" w:rsidP="00EB40B5">
      <w:pPr>
        <w:pStyle w:val="enumlev1"/>
      </w:pPr>
      <w:r w:rsidRPr="00551B1A">
        <w:t>•</w:t>
      </w:r>
      <w:r w:rsidRPr="00551B1A">
        <w:tab/>
      </w:r>
      <w:r w:rsidR="00446681" w:rsidRPr="00551B1A">
        <w:t>сбор данных из первичных источников, включая интервью с соответствующими заинтересованными сторонами в четырех странах;</w:t>
      </w:r>
    </w:p>
    <w:p w14:paraId="13EADE66" w14:textId="45F295A6" w:rsidR="00446681" w:rsidRPr="00551B1A" w:rsidRDefault="00EB40B5" w:rsidP="00EB40B5">
      <w:pPr>
        <w:pStyle w:val="enumlev1"/>
      </w:pPr>
      <w:r w:rsidRPr="00551B1A">
        <w:t>•</w:t>
      </w:r>
      <w:r w:rsidRPr="00551B1A">
        <w:tab/>
      </w:r>
      <w:r w:rsidR="00446681" w:rsidRPr="00551B1A">
        <w:t>анализ данных с использованием качественных и количественных методик, включая возможное применение системы оценки потребностей после бедствия (PDNA)</w:t>
      </w:r>
      <w:r w:rsidR="00446681" w:rsidRPr="00551B1A">
        <w:rPr>
          <w:rStyle w:val="FootnoteReference"/>
        </w:rPr>
        <w:footnoteReference w:id="33"/>
      </w:r>
      <w:r w:rsidR="00446681" w:rsidRPr="00551B1A">
        <w:t xml:space="preserve"> для оценки</w:t>
      </w:r>
      <w:r w:rsidR="00C96C1C" w:rsidRPr="00551B1A">
        <w:t> </w:t>
      </w:r>
      <w:r w:rsidR="00446681" w:rsidRPr="00551B1A">
        <w:t>ущерба;</w:t>
      </w:r>
    </w:p>
    <w:p w14:paraId="3462AF1F" w14:textId="0E44271F" w:rsidR="00446681" w:rsidRPr="00551B1A" w:rsidRDefault="00EB40B5" w:rsidP="00EB40B5">
      <w:pPr>
        <w:pStyle w:val="enumlev1"/>
      </w:pPr>
      <w:r w:rsidRPr="00551B1A">
        <w:t>•</w:t>
      </w:r>
      <w:r w:rsidRPr="00551B1A">
        <w:tab/>
      </w:r>
      <w:r w:rsidR="00446681" w:rsidRPr="00551B1A">
        <w:t>завершение оценки воздействия на программы МСЭ в Бахрейне, Кувейте, Объединенных Арабских Эмиратах и Иордании;</w:t>
      </w:r>
    </w:p>
    <w:p w14:paraId="0C827B2D" w14:textId="41A58439" w:rsidR="005C2041" w:rsidRPr="00551B1A" w:rsidRDefault="00DC4C55" w:rsidP="00DC4C55">
      <w:pPr>
        <w:pStyle w:val="enumlev1"/>
      </w:pPr>
      <w:r w:rsidRPr="00551B1A">
        <w:t>•</w:t>
      </w:r>
      <w:r w:rsidRPr="00551B1A">
        <w:tab/>
      </w:r>
      <w:r w:rsidR="00446681" w:rsidRPr="00551B1A">
        <w:t>представление заключительного отчета об оценке на сессии Совета в 2027 году.</w:t>
      </w:r>
    </w:p>
    <w:p w14:paraId="65212DA8" w14:textId="04BC379B" w:rsidR="007E4D0F" w:rsidRPr="00551B1A" w:rsidRDefault="00F952F7" w:rsidP="00F952F7">
      <w:pPr>
        <w:spacing w:before="720"/>
        <w:jc w:val="center"/>
      </w:pPr>
      <w:r w:rsidRPr="00551B1A">
        <w:t>______________</w:t>
      </w:r>
    </w:p>
    <w:sectPr w:rsidR="007E4D0F" w:rsidRPr="00551B1A" w:rsidSect="0016204A">
      <w:headerReference w:type="default" r:id="rId11"/>
      <w:footerReference w:type="first" r:id="rId12"/>
      <w:pgSz w:w="11913" w:h="16834" w:code="9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0BE1" w14:textId="77777777" w:rsidR="00A6098A" w:rsidRDefault="00A6098A" w:rsidP="0079159C">
      <w:r>
        <w:separator/>
      </w:r>
    </w:p>
    <w:p w14:paraId="33C48A0F" w14:textId="77777777" w:rsidR="00A6098A" w:rsidRDefault="00A6098A" w:rsidP="0079159C"/>
    <w:p w14:paraId="15F13AB1" w14:textId="77777777" w:rsidR="00A6098A" w:rsidRDefault="00A6098A" w:rsidP="0079159C"/>
    <w:p w14:paraId="62655896" w14:textId="77777777" w:rsidR="00A6098A" w:rsidRDefault="00A6098A" w:rsidP="0079159C"/>
    <w:p w14:paraId="65046CD9" w14:textId="77777777" w:rsidR="00A6098A" w:rsidRDefault="00A6098A" w:rsidP="0079159C"/>
    <w:p w14:paraId="75D0B26C" w14:textId="77777777" w:rsidR="00A6098A" w:rsidRDefault="00A6098A" w:rsidP="0079159C"/>
    <w:p w14:paraId="6259C128" w14:textId="77777777" w:rsidR="00A6098A" w:rsidRDefault="00A6098A" w:rsidP="0079159C"/>
    <w:p w14:paraId="28541956" w14:textId="77777777" w:rsidR="00A6098A" w:rsidRDefault="00A6098A" w:rsidP="0079159C"/>
    <w:p w14:paraId="3D5CD11C" w14:textId="77777777" w:rsidR="00A6098A" w:rsidRDefault="00A6098A" w:rsidP="0079159C"/>
    <w:p w14:paraId="2CCEE2FC" w14:textId="77777777" w:rsidR="00A6098A" w:rsidRDefault="00A6098A" w:rsidP="0079159C"/>
    <w:p w14:paraId="17E69FC9" w14:textId="77777777" w:rsidR="00A6098A" w:rsidRDefault="00A6098A" w:rsidP="0079159C"/>
    <w:p w14:paraId="058CAB61" w14:textId="77777777" w:rsidR="00A6098A" w:rsidRDefault="00A6098A" w:rsidP="0079159C"/>
    <w:p w14:paraId="0097550D" w14:textId="77777777" w:rsidR="00A6098A" w:rsidRDefault="00A6098A" w:rsidP="0079159C"/>
    <w:p w14:paraId="48A678A9" w14:textId="77777777" w:rsidR="00A6098A" w:rsidRDefault="00A6098A" w:rsidP="0079159C"/>
    <w:p w14:paraId="356FDA4A" w14:textId="77777777" w:rsidR="00A6098A" w:rsidRDefault="00A6098A" w:rsidP="004B3A6C"/>
    <w:p w14:paraId="1F162798" w14:textId="77777777" w:rsidR="00A6098A" w:rsidRDefault="00A6098A" w:rsidP="004B3A6C"/>
  </w:endnote>
  <w:endnote w:type="continuationSeparator" w:id="0">
    <w:p w14:paraId="1AC04806" w14:textId="77777777" w:rsidR="00A6098A" w:rsidRDefault="00A6098A" w:rsidP="0079159C">
      <w:r>
        <w:continuationSeparator/>
      </w:r>
    </w:p>
    <w:p w14:paraId="5D97CE64" w14:textId="77777777" w:rsidR="00A6098A" w:rsidRDefault="00A6098A" w:rsidP="0079159C"/>
    <w:p w14:paraId="23D5C5B8" w14:textId="77777777" w:rsidR="00A6098A" w:rsidRDefault="00A6098A" w:rsidP="0079159C"/>
    <w:p w14:paraId="5B0EF331" w14:textId="77777777" w:rsidR="00A6098A" w:rsidRDefault="00A6098A" w:rsidP="0079159C"/>
    <w:p w14:paraId="67948659" w14:textId="77777777" w:rsidR="00A6098A" w:rsidRDefault="00A6098A" w:rsidP="0079159C"/>
    <w:p w14:paraId="47F30595" w14:textId="77777777" w:rsidR="00A6098A" w:rsidRDefault="00A6098A" w:rsidP="0079159C"/>
    <w:p w14:paraId="512A0BA1" w14:textId="77777777" w:rsidR="00A6098A" w:rsidRDefault="00A6098A" w:rsidP="0079159C"/>
    <w:p w14:paraId="550D0BE9" w14:textId="77777777" w:rsidR="00A6098A" w:rsidRDefault="00A6098A" w:rsidP="0079159C"/>
    <w:p w14:paraId="708EBD1D" w14:textId="77777777" w:rsidR="00A6098A" w:rsidRDefault="00A6098A" w:rsidP="0079159C"/>
    <w:p w14:paraId="2EF9E8B6" w14:textId="77777777" w:rsidR="00A6098A" w:rsidRDefault="00A6098A" w:rsidP="0079159C"/>
    <w:p w14:paraId="44616C9A" w14:textId="77777777" w:rsidR="00A6098A" w:rsidRDefault="00A6098A" w:rsidP="0079159C"/>
    <w:p w14:paraId="68902BA8" w14:textId="77777777" w:rsidR="00A6098A" w:rsidRDefault="00A6098A" w:rsidP="0079159C"/>
    <w:p w14:paraId="7DE7B274" w14:textId="77777777" w:rsidR="00A6098A" w:rsidRDefault="00A6098A" w:rsidP="0079159C"/>
    <w:p w14:paraId="3CB617F5" w14:textId="77777777" w:rsidR="00A6098A" w:rsidRDefault="00A6098A" w:rsidP="0079159C"/>
    <w:p w14:paraId="30C1E9BF" w14:textId="77777777" w:rsidR="00A6098A" w:rsidRDefault="00A6098A" w:rsidP="004B3A6C"/>
    <w:p w14:paraId="1A3112C4" w14:textId="77777777" w:rsidR="00A6098A" w:rsidRDefault="00A6098A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C933" w14:textId="0EF95BCD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</w:t>
      </w:r>
      <w:r w:rsidR="00555396" w:rsidRPr="008715E3">
        <w:rPr>
          <w:rStyle w:val="Hyperlink"/>
          <w:color w:val="00A3E0"/>
          <w:sz w:val="22"/>
          <w:szCs w:val="22"/>
          <w:lang w:val="en-GB"/>
        </w:rPr>
        <w:t>e</w:t>
      </w:r>
      <w:r w:rsidR="00555396" w:rsidRPr="008715E3">
        <w:rPr>
          <w:rStyle w:val="Hyperlink"/>
          <w:color w:val="00A3E0"/>
          <w:sz w:val="22"/>
          <w:szCs w:val="22"/>
          <w:lang w:val="en-GB"/>
        </w:rPr>
        <w:t>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C78E2" w14:textId="77777777" w:rsidR="00A6098A" w:rsidRDefault="00A6098A" w:rsidP="0079159C">
      <w:r>
        <w:t>____________________</w:t>
      </w:r>
    </w:p>
  </w:footnote>
  <w:footnote w:type="continuationSeparator" w:id="0">
    <w:p w14:paraId="41EE737F" w14:textId="77777777" w:rsidR="00A6098A" w:rsidRDefault="00A6098A" w:rsidP="0079159C">
      <w:r>
        <w:continuationSeparator/>
      </w:r>
    </w:p>
    <w:p w14:paraId="73D1A5C0" w14:textId="77777777" w:rsidR="00A6098A" w:rsidRDefault="00A6098A" w:rsidP="0079159C"/>
    <w:p w14:paraId="4CD0B60D" w14:textId="77777777" w:rsidR="00A6098A" w:rsidRDefault="00A6098A" w:rsidP="0079159C"/>
    <w:p w14:paraId="7DE501F0" w14:textId="77777777" w:rsidR="00A6098A" w:rsidRDefault="00A6098A" w:rsidP="0079159C"/>
    <w:p w14:paraId="55883FA2" w14:textId="77777777" w:rsidR="00A6098A" w:rsidRDefault="00A6098A" w:rsidP="0079159C"/>
    <w:p w14:paraId="66FE15F9" w14:textId="77777777" w:rsidR="00A6098A" w:rsidRDefault="00A6098A" w:rsidP="0079159C"/>
    <w:p w14:paraId="3C9DCF6B" w14:textId="77777777" w:rsidR="00A6098A" w:rsidRDefault="00A6098A" w:rsidP="0079159C"/>
    <w:p w14:paraId="0D2B0D2C" w14:textId="77777777" w:rsidR="00A6098A" w:rsidRDefault="00A6098A" w:rsidP="0079159C"/>
    <w:p w14:paraId="47A50788" w14:textId="77777777" w:rsidR="00A6098A" w:rsidRDefault="00A6098A" w:rsidP="0079159C"/>
    <w:p w14:paraId="211ECF3D" w14:textId="77777777" w:rsidR="00A6098A" w:rsidRDefault="00A6098A" w:rsidP="0079159C"/>
    <w:p w14:paraId="3601210A" w14:textId="77777777" w:rsidR="00A6098A" w:rsidRDefault="00A6098A" w:rsidP="0079159C"/>
    <w:p w14:paraId="645D5A37" w14:textId="77777777" w:rsidR="00A6098A" w:rsidRDefault="00A6098A" w:rsidP="0079159C"/>
    <w:p w14:paraId="6C5AEB29" w14:textId="77777777" w:rsidR="00A6098A" w:rsidRDefault="00A6098A" w:rsidP="0079159C"/>
    <w:p w14:paraId="76FC7568" w14:textId="77777777" w:rsidR="00A6098A" w:rsidRDefault="00A6098A" w:rsidP="0079159C"/>
    <w:p w14:paraId="4E311E2D" w14:textId="77777777" w:rsidR="00A6098A" w:rsidRDefault="00A6098A" w:rsidP="004B3A6C"/>
    <w:p w14:paraId="4D5F86E1" w14:textId="77777777" w:rsidR="00A6098A" w:rsidRDefault="00A6098A" w:rsidP="004B3A6C"/>
  </w:footnote>
  <w:footnote w:id="1">
    <w:p w14:paraId="42CD0DB8" w14:textId="57DEFB68" w:rsidR="00446681" w:rsidRPr="004F6C97" w:rsidRDefault="00446681" w:rsidP="004F6C97">
      <w:pPr>
        <w:pStyle w:val="FootnoteText"/>
      </w:pPr>
      <w:r w:rsidRPr="009540B8">
        <w:rPr>
          <w:rStyle w:val="FootnoteReference"/>
          <w:szCs w:val="16"/>
          <w:lang w:val="en-US"/>
        </w:rPr>
        <w:footnoteRef/>
      </w:r>
      <w:r w:rsidR="004F6C97">
        <w:tab/>
      </w:r>
      <w:r w:rsidRPr="004F6C97">
        <w:t>Резолюция 1436 Совета МСЭ</w:t>
      </w:r>
      <w:r w:rsidR="00C96C1C">
        <w:t xml:space="preserve"> </w:t>
      </w:r>
      <w:r w:rsidRPr="004F6C97">
        <w:t>|</w:t>
      </w:r>
      <w:r w:rsidR="00C96C1C">
        <w:t xml:space="preserve"> </w:t>
      </w:r>
      <w:hyperlink r:id="rId1" w:history="1">
        <w:r w:rsidR="00C96C1C" w:rsidRPr="00FC6D0B">
          <w:rPr>
            <w:rStyle w:val="Hyperlink"/>
            <w:lang w:val="en-US"/>
          </w:rPr>
          <w:t>https</w:t>
        </w:r>
        <w:r w:rsidR="00C96C1C" w:rsidRPr="00FC6D0B">
          <w:rPr>
            <w:rStyle w:val="Hyperlink"/>
          </w:rPr>
          <w:t>://</w:t>
        </w:r>
        <w:r w:rsidR="00C96C1C" w:rsidRPr="00FC6D0B">
          <w:rPr>
            <w:rStyle w:val="Hyperlink"/>
            <w:lang w:val="en-US"/>
          </w:rPr>
          <w:t>www</w:t>
        </w:r>
        <w:r w:rsidR="00C96C1C" w:rsidRPr="00FC6D0B">
          <w:rPr>
            <w:rStyle w:val="Hyperlink"/>
          </w:rPr>
          <w:t>.</w:t>
        </w:r>
        <w:r w:rsidR="00C96C1C" w:rsidRPr="00FC6D0B">
          <w:rPr>
            <w:rStyle w:val="Hyperlink"/>
            <w:lang w:val="en-US"/>
          </w:rPr>
          <w:t>itu</w:t>
        </w:r>
        <w:r w:rsidR="00C96C1C" w:rsidRPr="00FC6D0B">
          <w:rPr>
            <w:rStyle w:val="Hyperlink"/>
          </w:rPr>
          <w:t>.</w:t>
        </w:r>
        <w:r w:rsidR="00C96C1C" w:rsidRPr="00FC6D0B">
          <w:rPr>
            <w:rStyle w:val="Hyperlink"/>
            <w:lang w:val="en-US"/>
          </w:rPr>
          <w:t>int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md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S</w:t>
        </w:r>
        <w:r w:rsidR="00C96C1C" w:rsidRPr="00FC6D0B">
          <w:rPr>
            <w:rStyle w:val="Hyperlink"/>
          </w:rPr>
          <w:t>26-</w:t>
        </w:r>
        <w:r w:rsidR="00C96C1C" w:rsidRPr="00FC6D0B">
          <w:rPr>
            <w:rStyle w:val="Hyperlink"/>
            <w:lang w:val="en-US"/>
          </w:rPr>
          <w:t>CL</w:t>
        </w:r>
        <w:r w:rsidR="00C96C1C" w:rsidRPr="00FC6D0B">
          <w:rPr>
            <w:rStyle w:val="Hyperlink"/>
          </w:rPr>
          <w:t>-</w:t>
        </w:r>
        <w:r w:rsidR="00C96C1C" w:rsidRPr="00FC6D0B">
          <w:rPr>
            <w:rStyle w:val="Hyperlink"/>
            <w:lang w:val="en-US"/>
          </w:rPr>
          <w:t>C</w:t>
        </w:r>
        <w:r w:rsidR="00C96C1C" w:rsidRPr="00FC6D0B">
          <w:rPr>
            <w:rStyle w:val="Hyperlink"/>
          </w:rPr>
          <w:t>-0130/</w:t>
        </w:r>
        <w:r w:rsidR="00C96C1C" w:rsidRPr="00FC6D0B">
          <w:rPr>
            <w:rStyle w:val="Hyperlink"/>
            <w:lang w:val="en-US"/>
          </w:rPr>
          <w:t>en</w:t>
        </w:r>
      </w:hyperlink>
      <w:r w:rsidR="004F6C97" w:rsidRPr="004F6C97">
        <w:t>.</w:t>
      </w:r>
    </w:p>
  </w:footnote>
  <w:footnote w:id="2">
    <w:p w14:paraId="03CC615A" w14:textId="0C68A0D8" w:rsidR="00446681" w:rsidRPr="004F6C97" w:rsidRDefault="00446681" w:rsidP="00446681">
      <w:pPr>
        <w:pStyle w:val="FootnoteText"/>
      </w:pPr>
      <w:r w:rsidRPr="004F6C97">
        <w:rPr>
          <w:rStyle w:val="FootnoteReference"/>
          <w:szCs w:val="16"/>
          <w:lang w:val="en-US"/>
        </w:rPr>
        <w:footnoteRef/>
      </w:r>
      <w:r w:rsidR="004F6C97">
        <w:tab/>
      </w:r>
      <w:r w:rsidRPr="004F6C97">
        <w:t xml:space="preserve">Район </w:t>
      </w:r>
      <w:r w:rsidRPr="004F6C97">
        <w:rPr>
          <w:lang w:val="en-US"/>
        </w:rPr>
        <w:t>AWS</w:t>
      </w:r>
      <w:r w:rsidRPr="004F6C97">
        <w:t xml:space="preserve"> – это географически обособленный кластер центров обработки данных. Каждый район включает в себя несколько зон обслуживания в Бахрейне и ОАЭ, по три в каждой из этих стран, и каждая зона обслуживания состоит из одного или нескольких физически отдельных объектов с независимым электропитанием и соединениями | </w:t>
      </w:r>
      <w:r w:rsidRPr="004F6C97">
        <w:rPr>
          <w:lang w:val="en-US"/>
        </w:rPr>
        <w:t>AWS</w:t>
      </w:r>
      <w:r w:rsidRPr="004F6C97">
        <w:t xml:space="preserve"> </w:t>
      </w:r>
      <w:r w:rsidRPr="004F6C97">
        <w:rPr>
          <w:lang w:val="en-US"/>
        </w:rPr>
        <w:t>Global</w:t>
      </w:r>
      <w:r w:rsidRPr="004F6C97">
        <w:t xml:space="preserve"> </w:t>
      </w:r>
      <w:r w:rsidRPr="004F6C97">
        <w:rPr>
          <w:lang w:val="en-US"/>
        </w:rPr>
        <w:t>Infrastructure</w:t>
      </w:r>
      <w:r w:rsidRPr="004F6C97">
        <w:t xml:space="preserve">: </w:t>
      </w:r>
      <w:r w:rsidRPr="004F6C97">
        <w:rPr>
          <w:lang w:val="en-US"/>
        </w:rPr>
        <w:t>Regions</w:t>
      </w:r>
      <w:r w:rsidRPr="004F6C97">
        <w:t xml:space="preserve"> </w:t>
      </w:r>
      <w:r w:rsidRPr="004F6C97">
        <w:rPr>
          <w:lang w:val="en-US"/>
        </w:rPr>
        <w:t>and</w:t>
      </w:r>
      <w:r w:rsidRPr="004F6C97">
        <w:t xml:space="preserve"> </w:t>
      </w:r>
      <w:r w:rsidRPr="004F6C97">
        <w:rPr>
          <w:lang w:val="en-US"/>
        </w:rPr>
        <w:t>Availability</w:t>
      </w:r>
      <w:r w:rsidR="00C96C1C">
        <w:t> </w:t>
      </w:r>
      <w:r w:rsidRPr="004F6C97">
        <w:rPr>
          <w:lang w:val="en-US"/>
        </w:rPr>
        <w:t>Zones</w:t>
      </w:r>
      <w:r w:rsidR="00C96C1C">
        <w:t xml:space="preserve"> </w:t>
      </w:r>
      <w:r w:rsidRPr="004F6C97">
        <w:t>|</w:t>
      </w:r>
      <w:r w:rsidR="00C96C1C">
        <w:t xml:space="preserve"> </w:t>
      </w:r>
      <w:hyperlink r:id="rId2" w:history="1">
        <w:r w:rsidR="00C96C1C" w:rsidRPr="00FC6D0B">
          <w:rPr>
            <w:rStyle w:val="Hyperlink"/>
            <w:lang w:val="en-US"/>
          </w:rPr>
          <w:t>https</w:t>
        </w:r>
        <w:r w:rsidR="00C96C1C" w:rsidRPr="00FC6D0B">
          <w:rPr>
            <w:rStyle w:val="Hyperlink"/>
          </w:rPr>
          <w:t>://</w:t>
        </w:r>
        <w:r w:rsidR="00C96C1C" w:rsidRPr="00FC6D0B">
          <w:rPr>
            <w:rStyle w:val="Hyperlink"/>
            <w:lang w:val="en-US"/>
          </w:rPr>
          <w:t>aws</w:t>
        </w:r>
        <w:r w:rsidR="00C96C1C" w:rsidRPr="00FC6D0B">
          <w:rPr>
            <w:rStyle w:val="Hyperlink"/>
          </w:rPr>
          <w:t>.</w:t>
        </w:r>
        <w:r w:rsidR="00C96C1C" w:rsidRPr="00FC6D0B">
          <w:rPr>
            <w:rStyle w:val="Hyperlink"/>
            <w:lang w:val="en-US"/>
          </w:rPr>
          <w:t>amazon</w:t>
        </w:r>
        <w:r w:rsidR="00C96C1C" w:rsidRPr="00FC6D0B">
          <w:rPr>
            <w:rStyle w:val="Hyperlink"/>
          </w:rPr>
          <w:t>.</w:t>
        </w:r>
        <w:r w:rsidR="00C96C1C" w:rsidRPr="00FC6D0B">
          <w:rPr>
            <w:rStyle w:val="Hyperlink"/>
            <w:lang w:val="en-US"/>
          </w:rPr>
          <w:t>com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about</w:t>
        </w:r>
        <w:r w:rsidR="00C96C1C" w:rsidRPr="00FC6D0B">
          <w:rPr>
            <w:rStyle w:val="Hyperlink"/>
          </w:rPr>
          <w:t>-</w:t>
        </w:r>
        <w:r w:rsidR="00C96C1C" w:rsidRPr="00FC6D0B">
          <w:rPr>
            <w:rStyle w:val="Hyperlink"/>
            <w:lang w:val="en-US"/>
          </w:rPr>
          <w:t>aws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global</w:t>
        </w:r>
        <w:r w:rsidR="00C96C1C" w:rsidRPr="00FC6D0B">
          <w:rPr>
            <w:rStyle w:val="Hyperlink"/>
          </w:rPr>
          <w:t>-</w:t>
        </w:r>
        <w:r w:rsidR="00C96C1C" w:rsidRPr="00FC6D0B">
          <w:rPr>
            <w:rStyle w:val="Hyperlink"/>
            <w:lang w:val="en-US"/>
          </w:rPr>
          <w:t>infrastructure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regions</w:t>
        </w:r>
        <w:r w:rsidR="00C96C1C" w:rsidRPr="00FC6D0B">
          <w:rPr>
            <w:rStyle w:val="Hyperlink"/>
          </w:rPr>
          <w:t>_</w:t>
        </w:r>
        <w:r w:rsidR="00C96C1C" w:rsidRPr="00FC6D0B">
          <w:rPr>
            <w:rStyle w:val="Hyperlink"/>
            <w:lang w:val="en-US"/>
          </w:rPr>
          <w:t>az</w:t>
        </w:r>
        <w:r w:rsidR="00C96C1C" w:rsidRPr="00FC6D0B">
          <w:rPr>
            <w:rStyle w:val="Hyperlink"/>
          </w:rPr>
          <w:t>/</w:t>
        </w:r>
      </w:hyperlink>
      <w:r w:rsidR="004F6C97" w:rsidRPr="004F6C97">
        <w:t>.</w:t>
      </w:r>
    </w:p>
  </w:footnote>
  <w:footnote w:id="3">
    <w:p w14:paraId="52BF5F89" w14:textId="08E3FB44" w:rsidR="00446681" w:rsidRPr="00045C97" w:rsidRDefault="00446681" w:rsidP="00446681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045C97" w:rsidRPr="00C96C1C">
        <w:rPr>
          <w:sz w:val="16"/>
          <w:szCs w:val="16"/>
          <w:lang w:val="en-GB"/>
        </w:rPr>
        <w:tab/>
      </w:r>
      <w:r w:rsidRPr="00045C97">
        <w:rPr>
          <w:lang w:val="en-US"/>
        </w:rPr>
        <w:t>AWS service health update, ME-SOUTH-1 (Bahrain) |</w:t>
      </w:r>
      <w:r w:rsidR="001B7793">
        <w:rPr>
          <w:lang w:val="en-US"/>
        </w:rPr>
        <w:t xml:space="preserve"> </w:t>
      </w:r>
      <w:hyperlink r:id="rId3" w:history="1">
        <w:r w:rsidRPr="00045C97">
          <w:rPr>
            <w:rStyle w:val="Hyperlink"/>
            <w:lang w:val="en-US"/>
          </w:rPr>
          <w:t>https://health.aws.amazon.com/health/status?eventid=arn:aws:health:me-south-1::event/multiple_services/aws_multiple_services_operational_issue/aws_multiple_services_operational_issue_e6426_01ad72b4e1e</w:t>
        </w:r>
      </w:hyperlink>
      <w:r w:rsidR="00045C97" w:rsidRPr="00C96C1C">
        <w:rPr>
          <w:lang w:val="en-GB"/>
        </w:rPr>
        <w:t>.</w:t>
      </w:r>
    </w:p>
  </w:footnote>
  <w:footnote w:id="4">
    <w:p w14:paraId="12C0DA32" w14:textId="6968F36C" w:rsidR="00446681" w:rsidRPr="00045C97" w:rsidRDefault="00446681" w:rsidP="00446681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045C97" w:rsidRPr="00C96C1C">
        <w:rPr>
          <w:sz w:val="16"/>
          <w:szCs w:val="16"/>
          <w:lang w:val="en-GB"/>
        </w:rPr>
        <w:tab/>
      </w:r>
      <w:r w:rsidRPr="00045C97">
        <w:rPr>
          <w:lang w:val="en-US"/>
        </w:rPr>
        <w:t>AWS service health update, ME-CENTRAL-1 (UAE) |</w:t>
      </w:r>
      <w:r w:rsidR="001B7793">
        <w:rPr>
          <w:lang w:val="en-US"/>
        </w:rPr>
        <w:t xml:space="preserve"> </w:t>
      </w:r>
      <w:hyperlink r:id="rId4" w:history="1">
        <w:r w:rsidRPr="00045C97">
          <w:rPr>
            <w:rStyle w:val="Hyperlink"/>
            <w:lang w:val="en-US"/>
          </w:rPr>
          <w:t>https://health.aws.amazon.com/health/status?eventid=arn:aws:health:me-central-1::event/multiple_services/aws_multiple_services_operational_issue/aws_multiple_services_operational_issue_5e6b8_ef2498889b5</w:t>
        </w:r>
      </w:hyperlink>
      <w:r w:rsidR="00045C97" w:rsidRPr="00C96C1C">
        <w:rPr>
          <w:lang w:val="en-GB"/>
        </w:rPr>
        <w:t>.</w:t>
      </w:r>
    </w:p>
  </w:footnote>
  <w:footnote w:id="5">
    <w:p w14:paraId="0B7F7853" w14:textId="53DEAB1C" w:rsidR="00446681" w:rsidRPr="00045C97" w:rsidRDefault="00446681" w:rsidP="00446681">
      <w:pPr>
        <w:pStyle w:val="FootnoteText"/>
        <w:rPr>
          <w:lang w:val="sv-SE"/>
        </w:rPr>
      </w:pPr>
      <w:r w:rsidRPr="00E428A3">
        <w:rPr>
          <w:rStyle w:val="FootnoteReference"/>
          <w:szCs w:val="16"/>
        </w:rPr>
        <w:footnoteRef/>
      </w:r>
      <w:r w:rsidR="00045C97" w:rsidRPr="00C96C1C">
        <w:rPr>
          <w:sz w:val="16"/>
          <w:szCs w:val="16"/>
          <w:lang w:val="en-GB"/>
        </w:rPr>
        <w:tab/>
      </w:r>
      <w:r w:rsidRPr="00045C97">
        <w:rPr>
          <w:lang w:val="en-US"/>
        </w:rPr>
        <w:t>AWS service health update, ME-CENTRAL-1 (UAE) |</w:t>
      </w:r>
      <w:r w:rsidR="001B7793">
        <w:rPr>
          <w:lang w:val="en-US"/>
        </w:rPr>
        <w:t xml:space="preserve"> </w:t>
      </w:r>
      <w:hyperlink r:id="rId5" w:history="1">
        <w:r w:rsidRPr="00045C97">
          <w:rPr>
            <w:rStyle w:val="Hyperlink"/>
            <w:lang w:val="en-US"/>
          </w:rPr>
          <w:t>https://health.aws.amazon.com/health/status?eventid=arn:aws:health:me-central-1::event/multiple_services/aws_multiple_services_operational_issue/aws_multiple_services_operational_issue_5e6b8_ef2498889b5</w:t>
        </w:r>
      </w:hyperlink>
      <w:r w:rsidR="00045C97" w:rsidRPr="00C96C1C">
        <w:rPr>
          <w:lang w:val="en-GB"/>
        </w:rPr>
        <w:t>.</w:t>
      </w:r>
    </w:p>
  </w:footnote>
  <w:footnote w:id="6">
    <w:p w14:paraId="3437B88F" w14:textId="58EEF571" w:rsidR="00446681" w:rsidRPr="00045C97" w:rsidRDefault="00446681" w:rsidP="00446681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="00045C97" w:rsidRPr="00C96C1C">
        <w:rPr>
          <w:lang w:val="en-GB"/>
        </w:rPr>
        <w:tab/>
      </w:r>
      <w:r w:rsidRPr="00045C97">
        <w:rPr>
          <w:lang w:val="en-US"/>
        </w:rPr>
        <w:t>AWS service health update, ME-SOUTH-1 (Bahrain) |</w:t>
      </w:r>
      <w:r w:rsidR="001B7793">
        <w:rPr>
          <w:lang w:val="en-US"/>
        </w:rPr>
        <w:t xml:space="preserve"> </w:t>
      </w:r>
      <w:hyperlink r:id="rId6" w:history="1">
        <w:r w:rsidRPr="00045C97">
          <w:rPr>
            <w:rStyle w:val="Hyperlink"/>
            <w:lang w:val="en-US"/>
          </w:rPr>
          <w:t>https://health.aws.amazon.com/health/status?eventid=arn:aws:health:me-south-1::event/multiple_services/aws_multiple_services_operational_issue/aws_multiple_services_operational_issue_e6426_01ad72b4e1e</w:t>
        </w:r>
      </w:hyperlink>
      <w:r w:rsidR="00D35966" w:rsidRPr="00C96C1C">
        <w:rPr>
          <w:lang w:val="en-GB"/>
        </w:rPr>
        <w:t>.</w:t>
      </w:r>
    </w:p>
  </w:footnote>
  <w:footnote w:id="7">
    <w:p w14:paraId="58B00676" w14:textId="65674576" w:rsidR="00446681" w:rsidRPr="00045C97" w:rsidRDefault="00446681" w:rsidP="00446681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045C97" w:rsidRPr="00C96C1C">
        <w:rPr>
          <w:sz w:val="16"/>
          <w:szCs w:val="16"/>
          <w:lang w:val="en-GB"/>
        </w:rPr>
        <w:tab/>
      </w:r>
      <w:r w:rsidRPr="00045C97">
        <w:rPr>
          <w:lang w:val="en-US"/>
        </w:rPr>
        <w:t>Cloudflare Radar |</w:t>
      </w:r>
      <w:r w:rsidR="001B7793">
        <w:rPr>
          <w:lang w:val="en-US"/>
        </w:rPr>
        <w:t xml:space="preserve"> </w:t>
      </w:r>
      <w:hyperlink r:id="rId7" w:anchor="http-requests-time-series-worldwide" w:history="1">
        <w:r w:rsidRPr="00045C97">
          <w:rPr>
            <w:rStyle w:val="Hyperlink"/>
            <w:lang w:val="en-US"/>
          </w:rPr>
          <w:t>HTTP requests time series for ME-CENTRAL-1</w:t>
        </w:r>
      </w:hyperlink>
      <w:r w:rsidR="00045C97" w:rsidRPr="00C96C1C">
        <w:rPr>
          <w:lang w:val="en-GB"/>
        </w:rPr>
        <w:t>.</w:t>
      </w:r>
    </w:p>
  </w:footnote>
  <w:footnote w:id="8">
    <w:p w14:paraId="73F4C5C4" w14:textId="5486C5A6" w:rsidR="00446681" w:rsidRPr="00045C97" w:rsidRDefault="00446681" w:rsidP="00446681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045C97" w:rsidRPr="00C96C1C">
        <w:rPr>
          <w:sz w:val="16"/>
          <w:szCs w:val="16"/>
          <w:lang w:val="en-GB"/>
        </w:rPr>
        <w:tab/>
      </w:r>
      <w:r w:rsidRPr="00045C97">
        <w:rPr>
          <w:lang w:val="en-US"/>
        </w:rPr>
        <w:t>Cloudflare Radar |</w:t>
      </w:r>
      <w:r w:rsidR="001B7793">
        <w:rPr>
          <w:lang w:val="en-US"/>
        </w:rPr>
        <w:t xml:space="preserve"> </w:t>
      </w:r>
      <w:hyperlink r:id="rId8" w:anchor="http-requests-time-series-worldwide" w:history="1">
        <w:r w:rsidRPr="00045C97">
          <w:rPr>
            <w:rStyle w:val="Hyperlink"/>
            <w:lang w:val="en-US"/>
          </w:rPr>
          <w:t>HTTP requests time series for ME-SOUTH-1</w:t>
        </w:r>
      </w:hyperlink>
      <w:r w:rsidR="00045C97" w:rsidRPr="00C96C1C">
        <w:rPr>
          <w:lang w:val="en-GB"/>
        </w:rPr>
        <w:t>.</w:t>
      </w:r>
    </w:p>
  </w:footnote>
  <w:footnote w:id="9">
    <w:p w14:paraId="1053D56F" w14:textId="7A1A0526" w:rsidR="00446681" w:rsidRPr="00336599" w:rsidRDefault="00446681" w:rsidP="00336599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336599" w:rsidRPr="00C96C1C">
        <w:rPr>
          <w:lang w:val="en-GB"/>
        </w:rPr>
        <w:tab/>
      </w:r>
      <w:r w:rsidRPr="00C96C1C">
        <w:rPr>
          <w:lang w:val="en-GB"/>
        </w:rPr>
        <w:t>Nasdaq</w:t>
      </w:r>
      <w:r w:rsidRPr="00336599">
        <w:rPr>
          <w:lang w:val="en-US"/>
        </w:rPr>
        <w:t xml:space="preserve"> News: AWS launches region in the UAE | </w:t>
      </w:r>
      <w:r w:rsidR="00694961">
        <w:rPr>
          <w:lang w:val="en-US"/>
        </w:rPr>
        <w:br/>
      </w:r>
      <w:hyperlink r:id="rId9" w:history="1">
        <w:r w:rsidR="00694961" w:rsidRPr="00FC6D0B">
          <w:rPr>
            <w:rStyle w:val="Hyperlink"/>
            <w:lang w:val="en-US"/>
          </w:rPr>
          <w:t>https://www.nasdaq.com/press-release/aws-launches-region-in-the-united-arab-emirates-2022-08-30</w:t>
        </w:r>
      </w:hyperlink>
      <w:r w:rsidR="00336599" w:rsidRPr="00C96C1C">
        <w:rPr>
          <w:lang w:val="en-GB"/>
        </w:rPr>
        <w:t>.</w:t>
      </w:r>
    </w:p>
  </w:footnote>
  <w:footnote w:id="10">
    <w:p w14:paraId="7B2FC615" w14:textId="78C944A3" w:rsidR="00446681" w:rsidRPr="00336599" w:rsidRDefault="00446681" w:rsidP="00336599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336599" w:rsidRPr="00C96C1C">
        <w:rPr>
          <w:lang w:val="en-GB"/>
        </w:rPr>
        <w:tab/>
      </w:r>
      <w:r w:rsidRPr="00336599">
        <w:rPr>
          <w:lang w:val="en-US"/>
        </w:rPr>
        <w:t xml:space="preserve">Amazon News: AWS </w:t>
      </w:r>
      <w:r w:rsidRPr="00C96C1C">
        <w:rPr>
          <w:lang w:val="en-GB"/>
        </w:rPr>
        <w:t>launches</w:t>
      </w:r>
      <w:r w:rsidRPr="00336599">
        <w:rPr>
          <w:lang w:val="en-US"/>
        </w:rPr>
        <w:t xml:space="preserve"> first Middle East Region | </w:t>
      </w:r>
      <w:r w:rsidR="00694961">
        <w:rPr>
          <w:lang w:val="en-US"/>
        </w:rPr>
        <w:br/>
      </w:r>
      <w:hyperlink r:id="rId10" w:history="1">
        <w:r w:rsidR="00694961" w:rsidRPr="00FC6D0B">
          <w:rPr>
            <w:rStyle w:val="Hyperlink"/>
            <w:lang w:val="en-US"/>
          </w:rPr>
          <w:t>https://press.aboutamazon.com/2019/7/aws-launches-region-in-the-middle-east</w:t>
        </w:r>
      </w:hyperlink>
      <w:r w:rsidR="00336599" w:rsidRPr="00C96C1C">
        <w:rPr>
          <w:lang w:val="en-GB"/>
        </w:rPr>
        <w:t>.</w:t>
      </w:r>
    </w:p>
  </w:footnote>
  <w:footnote w:id="11">
    <w:p w14:paraId="72CF0DC2" w14:textId="0DC7E324" w:rsidR="00446681" w:rsidRPr="001B7793" w:rsidRDefault="00446681" w:rsidP="00336599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336599" w:rsidRPr="00C96C1C">
        <w:rPr>
          <w:lang w:val="en-GB"/>
        </w:rPr>
        <w:tab/>
      </w:r>
      <w:r w:rsidRPr="001B7793">
        <w:rPr>
          <w:lang w:val="en-US"/>
        </w:rPr>
        <w:t xml:space="preserve">Bahrain’s cloud-first success story| AWS | </w:t>
      </w:r>
      <w:r w:rsidR="00694961">
        <w:rPr>
          <w:lang w:val="en-US"/>
        </w:rPr>
        <w:br/>
      </w:r>
      <w:hyperlink r:id="rId11" w:history="1">
        <w:r w:rsidR="00694961" w:rsidRPr="00FC6D0B">
          <w:rPr>
            <w:rStyle w:val="Hyperlink"/>
            <w:lang w:val="en-US"/>
          </w:rPr>
          <w:t>https://aws.amazon.com/blogs/publicsector/bahrains-cloud-first-success-story/</w:t>
        </w:r>
      </w:hyperlink>
      <w:r w:rsidR="001B7793" w:rsidRPr="00C96C1C">
        <w:rPr>
          <w:lang w:val="en-GB"/>
        </w:rPr>
        <w:t>.</w:t>
      </w:r>
    </w:p>
  </w:footnote>
  <w:footnote w:id="12">
    <w:p w14:paraId="0C4FCEAE" w14:textId="6B9E8559" w:rsidR="00446681" w:rsidRPr="001B7793" w:rsidRDefault="00446681" w:rsidP="00446681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336599" w:rsidRPr="00C96C1C">
        <w:rPr>
          <w:sz w:val="16"/>
          <w:szCs w:val="16"/>
          <w:lang w:val="en-GB"/>
        </w:rPr>
        <w:tab/>
      </w:r>
      <w:proofErr w:type="gramStart"/>
      <w:r w:rsidRPr="001B7793">
        <w:rPr>
          <w:lang w:val="en-US"/>
        </w:rPr>
        <w:t>85%</w:t>
      </w:r>
      <w:proofErr w:type="gramEnd"/>
      <w:r w:rsidRPr="001B7793">
        <w:rPr>
          <w:lang w:val="en-US"/>
        </w:rPr>
        <w:t xml:space="preserve"> of Government Data Transfer to Amazon | Bahrain Information and eGovernment Authority |</w:t>
      </w:r>
      <w:r w:rsidR="001B7793">
        <w:rPr>
          <w:lang w:val="en-US"/>
        </w:rPr>
        <w:t xml:space="preserve"> </w:t>
      </w:r>
      <w:hyperlink r:id="rId12" w:history="1">
        <w:r w:rsidRPr="001B7793">
          <w:rPr>
            <w:rStyle w:val="Hyperlink"/>
            <w:lang w:val="en-US"/>
          </w:rPr>
          <w:t>https://www.iga.gov.bh/en/article/85-of-government-data-transfer-to-amazon-more-than-300-sites-connected-to-the-government-data-network</w:t>
        </w:r>
      </w:hyperlink>
      <w:r w:rsidR="001B7793" w:rsidRPr="00C96C1C">
        <w:rPr>
          <w:lang w:val="en-GB"/>
        </w:rPr>
        <w:t>.</w:t>
      </w:r>
    </w:p>
  </w:footnote>
  <w:footnote w:id="13">
    <w:p w14:paraId="6CB89EC8" w14:textId="04C21828" w:rsidR="00446681" w:rsidRPr="001B7793" w:rsidRDefault="00446681" w:rsidP="00446681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336599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>UAE Federal Law No. (2) of 2019 |</w:t>
      </w:r>
      <w:r w:rsidR="001B7793">
        <w:rPr>
          <w:lang w:val="en-US"/>
        </w:rPr>
        <w:t xml:space="preserve"> </w:t>
      </w:r>
      <w:hyperlink r:id="rId13" w:history="1">
        <w:r w:rsidRPr="001B7793">
          <w:rPr>
            <w:rStyle w:val="Hyperlink"/>
            <w:lang w:val="en-US"/>
          </w:rPr>
          <w:t>https://uaelegislation.gov.ae/en/legislations/1209/download</w:t>
        </w:r>
      </w:hyperlink>
      <w:r w:rsidR="001B7793" w:rsidRPr="00C96C1C">
        <w:rPr>
          <w:lang w:val="en-GB"/>
        </w:rPr>
        <w:t>.</w:t>
      </w:r>
    </w:p>
  </w:footnote>
  <w:footnote w:id="14">
    <w:p w14:paraId="01B059FE" w14:textId="6CF01BAE" w:rsidR="00446681" w:rsidRPr="001B7793" w:rsidRDefault="00446681" w:rsidP="00446681">
      <w:pPr>
        <w:pStyle w:val="FootnoteText"/>
        <w:rPr>
          <w:lang w:val="en-US"/>
        </w:rPr>
      </w:pPr>
      <w:r w:rsidRPr="00B42EF9">
        <w:rPr>
          <w:rStyle w:val="FootnoteReference"/>
          <w:szCs w:val="16"/>
          <w:lang w:val="en-US"/>
        </w:rPr>
        <w:footnoteRef/>
      </w:r>
      <w:r w:rsidR="00336599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>CBUAE Rulebook, article 6.1.6.3 |</w:t>
      </w:r>
      <w:r w:rsidR="001B7793">
        <w:rPr>
          <w:lang w:val="en-US"/>
        </w:rPr>
        <w:t xml:space="preserve"> </w:t>
      </w:r>
      <w:hyperlink r:id="rId14" w:history="1">
        <w:r w:rsidRPr="001B7793">
          <w:rPr>
            <w:rStyle w:val="Hyperlink"/>
            <w:lang w:val="en-US"/>
          </w:rPr>
          <w:t>https://rulebook.centralbank.ae/en/rulebook/consumer-protection-standards</w:t>
        </w:r>
      </w:hyperlink>
      <w:r w:rsidR="001B7793" w:rsidRPr="00C96C1C">
        <w:rPr>
          <w:lang w:val="en-GB"/>
        </w:rPr>
        <w:t>.</w:t>
      </w:r>
    </w:p>
  </w:footnote>
  <w:footnote w:id="15">
    <w:p w14:paraId="65791826" w14:textId="1F13152F" w:rsidR="00446681" w:rsidRPr="00C96C1C" w:rsidRDefault="00446681" w:rsidP="00446681">
      <w:pPr>
        <w:pStyle w:val="FootnoteText"/>
        <w:rPr>
          <w:lang w:val="en-GB"/>
        </w:rPr>
      </w:pPr>
      <w:r w:rsidRPr="00B42EF9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hyperlink r:id="rId15" w:history="1">
        <w:r w:rsidRPr="001B7793">
          <w:rPr>
            <w:rStyle w:val="Hyperlink"/>
            <w:lang w:val="en-US"/>
          </w:rPr>
          <w:t>Interview with Mohammad Altura, Kuwait’s CITRA Chief</w:t>
        </w:r>
      </w:hyperlink>
      <w:r w:rsidRPr="001B7793">
        <w:rPr>
          <w:lang w:val="en-US"/>
        </w:rPr>
        <w:t xml:space="preserve"> | AWS Summit Bahrain</w:t>
      </w:r>
      <w:r w:rsidR="001B7793" w:rsidRPr="00C96C1C">
        <w:rPr>
          <w:lang w:val="en-GB"/>
        </w:rPr>
        <w:t>.</w:t>
      </w:r>
    </w:p>
  </w:footnote>
  <w:footnote w:id="16">
    <w:p w14:paraId="71A05075" w14:textId="355E5C39" w:rsidR="00446681" w:rsidRPr="001B7793" w:rsidRDefault="00446681" w:rsidP="00446681">
      <w:pPr>
        <w:pStyle w:val="FootnoteText"/>
        <w:rPr>
          <w:lang w:val="en-US"/>
        </w:rPr>
      </w:pPr>
      <w:r w:rsidRPr="00BD583B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>ADCB Confirms Restoration of Retail Mobile Banking Services |</w:t>
      </w:r>
      <w:r w:rsidR="001B7793">
        <w:rPr>
          <w:lang w:val="en-US"/>
        </w:rPr>
        <w:t xml:space="preserve"> </w:t>
      </w:r>
      <w:hyperlink r:id="rId16" w:history="1">
        <w:r w:rsidRPr="001B7793">
          <w:rPr>
            <w:rStyle w:val="Hyperlink"/>
            <w:lang w:val="en-US"/>
          </w:rPr>
          <w:t>https://www.adcb.com/en/about-us/media-centre/news/2026/march/adcb-confirms-restoration-of-retail-mobile-banking-services</w:t>
        </w:r>
      </w:hyperlink>
      <w:r w:rsidR="001B7793" w:rsidRPr="00C96C1C">
        <w:rPr>
          <w:lang w:val="en-GB"/>
        </w:rPr>
        <w:t>.</w:t>
      </w:r>
    </w:p>
  </w:footnote>
  <w:footnote w:id="17">
    <w:p w14:paraId="2E3B8381" w14:textId="06E49710" w:rsidR="00446681" w:rsidRPr="001B7793" w:rsidRDefault="00446681" w:rsidP="00446681">
      <w:pPr>
        <w:pStyle w:val="FootnoteText"/>
        <w:rPr>
          <w:lang w:val="en-US"/>
        </w:rPr>
      </w:pPr>
      <w:r w:rsidRPr="00BD583B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 xml:space="preserve">Dubai banks rack up millions in costs as AWS disruption continues | </w:t>
      </w:r>
      <w:hyperlink r:id="rId17" w:history="1">
        <w:r w:rsidRPr="001B7793">
          <w:rPr>
            <w:rStyle w:val="Hyperlink"/>
            <w:lang w:val="en-US"/>
          </w:rPr>
          <w:t>https://www.thebanker.com/content/fd078db2-7f55-436d-9d2e-62a0a742ad02</w:t>
        </w:r>
      </w:hyperlink>
      <w:r w:rsidR="001B7793" w:rsidRPr="00C96C1C">
        <w:rPr>
          <w:lang w:val="en-GB"/>
        </w:rPr>
        <w:t>.</w:t>
      </w:r>
    </w:p>
  </w:footnote>
  <w:footnote w:id="18">
    <w:p w14:paraId="3C30AE07" w14:textId="1DE30D83" w:rsidR="00446681" w:rsidRPr="001B7793" w:rsidRDefault="00446681" w:rsidP="001B7793">
      <w:pPr>
        <w:pStyle w:val="FootnoteText"/>
        <w:rPr>
          <w:lang w:val="en-US"/>
        </w:rPr>
      </w:pPr>
      <w:r w:rsidRPr="009437AB">
        <w:rPr>
          <w:rStyle w:val="FootnoteReference"/>
          <w:szCs w:val="16"/>
          <w:lang w:val="en-US"/>
        </w:rPr>
        <w:footnoteRef/>
      </w:r>
      <w:r w:rsidR="001B7793" w:rsidRPr="00C96C1C">
        <w:rPr>
          <w:lang w:val="en-GB"/>
        </w:rPr>
        <w:tab/>
      </w:r>
      <w:r w:rsidRPr="001B7793">
        <w:rPr>
          <w:lang w:val="en-US"/>
        </w:rPr>
        <w:t xml:space="preserve">What </w:t>
      </w:r>
      <w:r w:rsidRPr="00C96C1C">
        <w:rPr>
          <w:lang w:val="en-GB"/>
        </w:rPr>
        <w:t>the</w:t>
      </w:r>
      <w:r w:rsidRPr="001B7793">
        <w:rPr>
          <w:lang w:val="en-US"/>
        </w:rPr>
        <w:t xml:space="preserve"> Iran War Is Costing Joint Gulf-U.S. Ambitions for AI | The Center for Strategic and International Studies (CSIS)| </w:t>
      </w:r>
      <w:hyperlink r:id="rId18" w:history="1">
        <w:r w:rsidRPr="00C96C1C">
          <w:rPr>
            <w:rStyle w:val="Hyperlink"/>
            <w:lang w:val="en-GB"/>
          </w:rPr>
          <w:t>https://www.csis.org/analysis/what-iran-war-costing-joint-gulf-us-ambitions-ai</w:t>
        </w:r>
      </w:hyperlink>
      <w:r w:rsidR="001B7793" w:rsidRPr="00C96C1C">
        <w:rPr>
          <w:lang w:val="en-GB"/>
        </w:rPr>
        <w:t>.</w:t>
      </w:r>
    </w:p>
  </w:footnote>
  <w:footnote w:id="19">
    <w:p w14:paraId="329104EE" w14:textId="7C1030C2" w:rsidR="00446681" w:rsidRPr="001B7793" w:rsidRDefault="00446681" w:rsidP="00446681">
      <w:pPr>
        <w:pStyle w:val="FootnoteText"/>
        <w:rPr>
          <w:lang w:val="en-US"/>
        </w:rPr>
      </w:pPr>
      <w:r w:rsidRPr="009437AB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 xml:space="preserve">AWS </w:t>
      </w:r>
      <w:r w:rsidRPr="00C96C1C">
        <w:rPr>
          <w:lang w:val="en-GB"/>
        </w:rPr>
        <w:t>service</w:t>
      </w:r>
      <w:r w:rsidRPr="001B7793">
        <w:rPr>
          <w:lang w:val="en-US"/>
        </w:rPr>
        <w:t xml:space="preserve"> health update, ME-SOUTH-1 (Bahrain), September 2026 | </w:t>
      </w:r>
      <w:hyperlink r:id="rId19" w:history="1">
        <w:r w:rsidRPr="001B7793">
          <w:rPr>
            <w:rStyle w:val="Hyperlink"/>
            <w:lang w:val="en-US"/>
          </w:rPr>
          <w:t>https://health.aws.amazon.com/health/status?_sp=d6244f1c-0cb2-498b-b35e-cd0e2a94502e&amp;tag=itechguides04</w:t>
        </w:r>
        <w:r w:rsidR="0032589A" w:rsidRPr="00C96C1C">
          <w:rPr>
            <w:rStyle w:val="Hyperlink"/>
            <w:rFonts w:ascii="Cambria Math" w:hAnsi="Cambria Math"/>
            <w:lang w:val="en-GB"/>
          </w:rPr>
          <w:t>‑</w:t>
        </w:r>
        <w:r w:rsidRPr="001B7793">
          <w:rPr>
            <w:rStyle w:val="Hyperlink"/>
            <w:lang w:val="en-US"/>
          </w:rPr>
          <w:t>20</w:t>
        </w:r>
      </w:hyperlink>
      <w:r w:rsidR="001B7793" w:rsidRPr="00C96C1C">
        <w:rPr>
          <w:lang w:val="en-GB"/>
        </w:rPr>
        <w:t>.</w:t>
      </w:r>
    </w:p>
  </w:footnote>
  <w:footnote w:id="20">
    <w:p w14:paraId="0076F5C2" w14:textId="52710BA9" w:rsidR="00446681" w:rsidRPr="001B7793" w:rsidRDefault="00446681" w:rsidP="00446681">
      <w:pPr>
        <w:pStyle w:val="FootnoteText"/>
        <w:rPr>
          <w:lang w:val="en-US"/>
        </w:rPr>
      </w:pPr>
      <w:r w:rsidRPr="009437AB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 xml:space="preserve">Gulf </w:t>
      </w:r>
      <w:r w:rsidRPr="00C96C1C">
        <w:rPr>
          <w:lang w:val="en-GB"/>
        </w:rPr>
        <w:t>States</w:t>
      </w:r>
      <w:r w:rsidRPr="001B7793">
        <w:rPr>
          <w:lang w:val="en-US"/>
        </w:rPr>
        <w:t xml:space="preserve"> Retain Advantages in the AI Race Despite War |</w:t>
      </w:r>
      <w:r w:rsidR="001B7793">
        <w:rPr>
          <w:lang w:val="en-US"/>
        </w:rPr>
        <w:t xml:space="preserve"> </w:t>
      </w:r>
      <w:hyperlink r:id="rId20" w:history="1">
        <w:r w:rsidRPr="001B7793">
          <w:rPr>
            <w:rStyle w:val="Hyperlink"/>
            <w:lang w:val="en-US"/>
          </w:rPr>
          <w:t>https://www.bakerinstitute.org/sites/default/files/2026-04/20260410_Global%20AI%20Race.pdf</w:t>
        </w:r>
      </w:hyperlink>
      <w:r w:rsidR="001B7793" w:rsidRPr="00C96C1C">
        <w:rPr>
          <w:lang w:val="en-GB"/>
        </w:rPr>
        <w:t>.</w:t>
      </w:r>
    </w:p>
  </w:footnote>
  <w:footnote w:id="21">
    <w:p w14:paraId="6EBEB80A" w14:textId="60449FE7" w:rsidR="00446681" w:rsidRPr="00C96C1C" w:rsidRDefault="00446681" w:rsidP="00446681">
      <w:pPr>
        <w:pStyle w:val="FootnoteText"/>
        <w:rPr>
          <w:lang w:val="en-GB"/>
        </w:rPr>
      </w:pPr>
      <w:r w:rsidRPr="009437AB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C96C1C">
        <w:rPr>
          <w:lang w:val="en-GB"/>
        </w:rPr>
        <w:t>Sharjah</w:t>
      </w:r>
      <w:r w:rsidRPr="001B7793">
        <w:rPr>
          <w:lang w:val="en-US"/>
        </w:rPr>
        <w:t xml:space="preserve"> handles drone attack on "Thuraya" building | Sharjah 24 | </w:t>
      </w:r>
      <w:hyperlink r:id="rId21" w:history="1">
        <w:r w:rsidRPr="001B7793">
          <w:rPr>
            <w:rStyle w:val="Hyperlink"/>
            <w:lang w:val="en-US"/>
          </w:rPr>
          <w:t>https://sharjah24.ae/en/Articles/2026/03/31/a32</w:t>
        </w:r>
      </w:hyperlink>
      <w:r w:rsidR="001B7793" w:rsidRPr="00C96C1C">
        <w:rPr>
          <w:lang w:val="en-GB"/>
        </w:rPr>
        <w:t>.</w:t>
      </w:r>
    </w:p>
  </w:footnote>
  <w:footnote w:id="22">
    <w:p w14:paraId="25A74A0D" w14:textId="43B75608" w:rsidR="00446681" w:rsidRPr="001B7793" w:rsidRDefault="00446681" w:rsidP="00446681">
      <w:pPr>
        <w:pStyle w:val="FootnoteText"/>
        <w:rPr>
          <w:lang w:val="en-US"/>
        </w:rPr>
      </w:pPr>
      <w:r w:rsidRPr="009437AB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C96C1C">
        <w:rPr>
          <w:lang w:val="en-GB"/>
        </w:rPr>
        <w:t>Authorities</w:t>
      </w:r>
      <w:r w:rsidRPr="001B7793">
        <w:rPr>
          <w:lang w:val="en-US"/>
        </w:rPr>
        <w:t xml:space="preserve"> in Fujairah respond to incident targeting 'du' building by drone from Iran| Emirates News Agency (WAM) | </w:t>
      </w:r>
      <w:hyperlink r:id="rId22" w:history="1">
        <w:r w:rsidRPr="001B7793">
          <w:rPr>
            <w:rStyle w:val="Hyperlink"/>
            <w:lang w:val="en-US"/>
          </w:rPr>
          <w:t>https://www.wam.ae/en/article/175otv1-authorities-fujairah-respond-incident-targeting-du</w:t>
        </w:r>
      </w:hyperlink>
      <w:r w:rsidR="001B7793" w:rsidRPr="00C96C1C">
        <w:rPr>
          <w:lang w:val="en-GB"/>
        </w:rPr>
        <w:t>.</w:t>
      </w:r>
    </w:p>
  </w:footnote>
  <w:footnote w:id="23">
    <w:p w14:paraId="1DD0A1D4" w14:textId="05899A93" w:rsidR="00446681" w:rsidRPr="00281C69" w:rsidRDefault="00446681" w:rsidP="001B7793">
      <w:pPr>
        <w:pStyle w:val="FootnoteText"/>
        <w:rPr>
          <w:lang w:val="sv-SE"/>
        </w:rPr>
      </w:pPr>
      <w:r w:rsidRPr="00281C69">
        <w:rPr>
          <w:rStyle w:val="FootnoteReference"/>
          <w:szCs w:val="16"/>
        </w:rPr>
        <w:footnoteRef/>
      </w:r>
      <w:r w:rsidR="001B7793" w:rsidRPr="00C96C1C">
        <w:rPr>
          <w:lang w:val="en-GB"/>
        </w:rPr>
        <w:tab/>
      </w:r>
      <w:r w:rsidRPr="00C96C1C">
        <w:rPr>
          <w:lang w:val="en-GB"/>
        </w:rPr>
        <w:t xml:space="preserve">Report Into The Impacts of GNSS Interference on Maritime Safety </w:t>
      </w:r>
      <w:r w:rsidRPr="002A64A4">
        <w:rPr>
          <w:lang w:val="en-US"/>
        </w:rPr>
        <w:t xml:space="preserve">| </w:t>
      </w:r>
      <w:r>
        <w:rPr>
          <w:lang w:val="en-US"/>
        </w:rPr>
        <w:t xml:space="preserve">Royal Institute of Navigation </w:t>
      </w:r>
      <w:r w:rsidRPr="002A64A4">
        <w:rPr>
          <w:lang w:val="en-US"/>
        </w:rPr>
        <w:t xml:space="preserve">| </w:t>
      </w:r>
      <w:hyperlink r:id="rId23" w:history="1">
        <w:r w:rsidR="001B7793" w:rsidRPr="00C96C1C">
          <w:rPr>
            <w:rStyle w:val="Hyperlink"/>
            <w:lang w:val="en-GB"/>
          </w:rPr>
          <w:t>https://rin.org.uk/page/RIN_Maritime_Report</w:t>
        </w:r>
      </w:hyperlink>
      <w:r w:rsidR="001B7793" w:rsidRPr="00C96C1C">
        <w:rPr>
          <w:lang w:val="en-GB"/>
        </w:rPr>
        <w:t>.</w:t>
      </w:r>
    </w:p>
  </w:footnote>
  <w:footnote w:id="24">
    <w:p w14:paraId="67DCF1F8" w14:textId="4C6C1B10" w:rsidR="00446681" w:rsidRPr="001B7793" w:rsidRDefault="00446681" w:rsidP="00446681">
      <w:pPr>
        <w:pStyle w:val="FootnoteText"/>
        <w:rPr>
          <w:lang w:val="en-US"/>
        </w:rPr>
      </w:pPr>
      <w:r w:rsidRPr="002A64A4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 xml:space="preserve">Global </w:t>
      </w:r>
      <w:r w:rsidRPr="00C96C1C">
        <w:rPr>
          <w:lang w:val="en-GB"/>
        </w:rPr>
        <w:t>Navigation</w:t>
      </w:r>
      <w:r w:rsidRPr="001B7793">
        <w:rPr>
          <w:lang w:val="en-US"/>
        </w:rPr>
        <w:t xml:space="preserve"> Satellite System GNSS Radio Frequency Interference Safety Risk Assessment </w:t>
      </w:r>
      <w:bookmarkStart w:id="12" w:name="OLE_LINK3"/>
      <w:r w:rsidRPr="001B7793">
        <w:rPr>
          <w:lang w:val="en-US"/>
        </w:rPr>
        <w:t xml:space="preserve">| IATA | </w:t>
      </w:r>
      <w:bookmarkEnd w:id="12"/>
      <w:r w:rsidRPr="001B7793">
        <w:fldChar w:fldCharType="begin"/>
      </w:r>
      <w:r w:rsidRPr="00C96C1C">
        <w:rPr>
          <w:lang w:val="en-GB"/>
        </w:rPr>
        <w:instrText>HYPERLINK "https://ic.iata.org/sites/default/files/iata_sih_document_attachment/IATA%20Safety%20Risk%20Assessment%20-%20GNSS%20Interference%20V5.pdf"</w:instrText>
      </w:r>
      <w:r w:rsidRPr="001B7793">
        <w:fldChar w:fldCharType="separate"/>
      </w:r>
      <w:r w:rsidRPr="001B7793">
        <w:rPr>
          <w:rStyle w:val="Hyperlink"/>
          <w:lang w:val="en-US"/>
        </w:rPr>
        <w:t>https://ic.iata.org/sites/default/files/iata_sih_document_attachment/IATA%20Safety%20Risk%20Assessment%20-%20GNSS%20Interference%20V5.pdf</w:t>
      </w:r>
      <w:r w:rsidRPr="001B7793">
        <w:fldChar w:fldCharType="end"/>
      </w:r>
      <w:r w:rsidR="001B7793" w:rsidRPr="00C96C1C">
        <w:rPr>
          <w:lang w:val="en-GB"/>
        </w:rPr>
        <w:t>.</w:t>
      </w:r>
    </w:p>
  </w:footnote>
  <w:footnote w:id="25">
    <w:p w14:paraId="223B9A87" w14:textId="7A71F9A0" w:rsidR="00446681" w:rsidRPr="001B7793" w:rsidRDefault="00446681" w:rsidP="00446681">
      <w:pPr>
        <w:pStyle w:val="FootnoteText"/>
        <w:rPr>
          <w:lang w:val="en-US"/>
        </w:rPr>
      </w:pPr>
      <w:r w:rsidRPr="002A64A4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 xml:space="preserve">GPS </w:t>
      </w:r>
      <w:r w:rsidRPr="00C96C1C">
        <w:rPr>
          <w:lang w:val="en-GB"/>
        </w:rPr>
        <w:t>Jamming</w:t>
      </w:r>
      <w:r w:rsidRPr="001B7793">
        <w:rPr>
          <w:lang w:val="en-US"/>
        </w:rPr>
        <w:t xml:space="preserve"> Is Now a Mainstream Maritime Threat: What Changed Between 2025 and 2026 | Windward | </w:t>
      </w:r>
      <w:hyperlink r:id="rId24" w:history="1">
        <w:r w:rsidRPr="001B7793">
          <w:rPr>
            <w:rStyle w:val="Hyperlink"/>
            <w:lang w:val="en-US"/>
          </w:rPr>
          <w:t>https://windward.ai/blog/gps-jamming-is-mainstream-changes-between-2025-and-2026/</w:t>
        </w:r>
      </w:hyperlink>
      <w:r w:rsidR="001B7793" w:rsidRPr="00C96C1C">
        <w:rPr>
          <w:lang w:val="en-GB"/>
        </w:rPr>
        <w:t>.</w:t>
      </w:r>
    </w:p>
  </w:footnote>
  <w:footnote w:id="26">
    <w:p w14:paraId="63A3E1F1" w14:textId="0AB6147A" w:rsidR="00446681" w:rsidRPr="001B7793" w:rsidRDefault="00446681" w:rsidP="00446681">
      <w:pPr>
        <w:pStyle w:val="FootnoteText"/>
        <w:rPr>
          <w:lang w:val="en-US"/>
        </w:rPr>
      </w:pPr>
      <w:r w:rsidRPr="00930C14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 xml:space="preserve">GPS Is the New Battlefield: Why Your Maps </w:t>
      </w:r>
      <w:proofErr w:type="gramStart"/>
      <w:r w:rsidRPr="001B7793">
        <w:rPr>
          <w:lang w:val="en-US"/>
        </w:rPr>
        <w:t>Aren’t</w:t>
      </w:r>
      <w:proofErr w:type="gramEnd"/>
      <w:r w:rsidRPr="001B7793">
        <w:rPr>
          <w:lang w:val="en-US"/>
        </w:rPr>
        <w:t xml:space="preserve"> Working | Wired |</w:t>
      </w:r>
      <w:r w:rsidR="001B7793">
        <w:rPr>
          <w:lang w:val="en-US"/>
        </w:rPr>
        <w:t xml:space="preserve"> </w:t>
      </w:r>
      <w:hyperlink r:id="rId25" w:history="1">
        <w:r w:rsidRPr="001B7793">
          <w:rPr>
            <w:rStyle w:val="Hyperlink"/>
            <w:lang w:val="en-US"/>
          </w:rPr>
          <w:t>https://www.wired.me/story/gps-is-the-new-battlefield-why-your-maps-arent-working</w:t>
        </w:r>
      </w:hyperlink>
      <w:r w:rsidR="001B7793" w:rsidRPr="00C96C1C">
        <w:rPr>
          <w:lang w:val="en-GB"/>
        </w:rPr>
        <w:t>.</w:t>
      </w:r>
    </w:p>
  </w:footnote>
  <w:footnote w:id="27">
    <w:p w14:paraId="211FBD89" w14:textId="25D9B1FD" w:rsidR="00446681" w:rsidRPr="001B7793" w:rsidRDefault="00446681" w:rsidP="00446681">
      <w:pPr>
        <w:pStyle w:val="FootnoteText"/>
        <w:rPr>
          <w:lang w:val="en-US"/>
        </w:rPr>
      </w:pPr>
      <w:r w:rsidRPr="00930C14">
        <w:rPr>
          <w:rStyle w:val="FootnoteReference"/>
          <w:szCs w:val="16"/>
          <w:lang w:val="en-US"/>
        </w:rPr>
        <w:footnoteRef/>
      </w:r>
      <w:r w:rsidR="001B7793" w:rsidRPr="00C96C1C">
        <w:rPr>
          <w:sz w:val="16"/>
          <w:szCs w:val="16"/>
          <w:lang w:val="en-GB"/>
        </w:rPr>
        <w:tab/>
      </w:r>
      <w:r w:rsidRPr="001B7793">
        <w:rPr>
          <w:lang w:val="en-US"/>
        </w:rPr>
        <w:t>Finland – ‘Cellular also impacted by interference’ | The Resilient Navigation &amp; Timing (RNT) Foundation |</w:t>
      </w:r>
      <w:r w:rsidR="001B7793">
        <w:rPr>
          <w:lang w:val="en-US"/>
        </w:rPr>
        <w:t xml:space="preserve"> </w:t>
      </w:r>
      <w:hyperlink r:id="rId26" w:history="1">
        <w:r w:rsidRPr="001B7793">
          <w:rPr>
            <w:rStyle w:val="Hyperlink"/>
            <w:lang w:val="en-US"/>
          </w:rPr>
          <w:t>https://rntfnd.org/2026/04/23/finland-cellular-also-impacted-by-interference/</w:t>
        </w:r>
      </w:hyperlink>
      <w:r w:rsidR="001B7793" w:rsidRPr="00C96C1C">
        <w:rPr>
          <w:lang w:val="en-GB"/>
        </w:rPr>
        <w:t>.</w:t>
      </w:r>
    </w:p>
  </w:footnote>
  <w:footnote w:id="28">
    <w:p w14:paraId="59B6E239" w14:textId="41CDC934" w:rsidR="00446681" w:rsidRPr="001B7793" w:rsidRDefault="00446681" w:rsidP="00446681">
      <w:pPr>
        <w:pStyle w:val="FootnoteText"/>
        <w:rPr>
          <w:lang w:val="sv-SE"/>
        </w:rPr>
      </w:pPr>
      <w:r w:rsidRPr="00251002">
        <w:rPr>
          <w:rStyle w:val="FootnoteReference"/>
          <w:szCs w:val="16"/>
        </w:rPr>
        <w:footnoteRef/>
      </w:r>
      <w:r w:rsidR="001B7793">
        <w:rPr>
          <w:sz w:val="16"/>
          <w:szCs w:val="16"/>
        </w:rPr>
        <w:tab/>
      </w:r>
      <w:r w:rsidRPr="001B7793">
        <w:t xml:space="preserve">Вредные помехи радионавигационной спутниковой службе </w:t>
      </w:r>
      <w:r w:rsidRPr="00C96C1C">
        <w:t xml:space="preserve">| </w:t>
      </w:r>
      <w:r w:rsidRPr="001B7793">
        <w:t>МСЭ</w:t>
      </w:r>
      <w:r w:rsidRPr="00C96C1C">
        <w:t xml:space="preserve"> | </w:t>
      </w:r>
      <w:r w:rsidR="00694961" w:rsidRPr="00694961">
        <w:br/>
      </w:r>
      <w:hyperlink r:id="rId27" w:history="1">
        <w:r w:rsidR="00694961" w:rsidRPr="00FC6D0B">
          <w:rPr>
            <w:rStyle w:val="Hyperlink"/>
          </w:rPr>
          <w:t>https://www.itu.int/harmful-interference-to-rnss/#102nd-rrb-meeting</w:t>
        </w:r>
      </w:hyperlink>
      <w:r w:rsidR="001B7793" w:rsidRPr="001B7793">
        <w:t>.</w:t>
      </w:r>
    </w:p>
  </w:footnote>
  <w:footnote w:id="29">
    <w:p w14:paraId="58117A0D" w14:textId="0E7C40C5" w:rsidR="00446681" w:rsidRPr="001B7793" w:rsidRDefault="00446681" w:rsidP="001B779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1B7793" w:rsidRPr="00C96C1C">
        <w:rPr>
          <w:lang w:val="en-GB"/>
        </w:rPr>
        <w:tab/>
      </w:r>
      <w:r w:rsidRPr="00C96C1C">
        <w:rPr>
          <w:lang w:val="en-GB"/>
        </w:rPr>
        <w:t>Navigating</w:t>
      </w:r>
      <w:r w:rsidRPr="001B7793">
        <w:rPr>
          <w:lang w:val="en-US"/>
        </w:rPr>
        <w:t xml:space="preserve"> Hostile Waters: Submarine Cable Infrastructure and the Strait of Hormuz | TeleGeography | </w:t>
      </w:r>
      <w:hyperlink r:id="rId28" w:history="1">
        <w:r w:rsidRPr="001B7793">
          <w:rPr>
            <w:rStyle w:val="Hyperlink"/>
            <w:lang w:val="en-US"/>
          </w:rPr>
          <w:t>https://resources.telegeography.com/submarine-cable-infrastructure-strait-hormuz</w:t>
        </w:r>
      </w:hyperlink>
      <w:r w:rsidR="001B7793" w:rsidRPr="00C96C1C">
        <w:rPr>
          <w:lang w:val="en-GB"/>
        </w:rPr>
        <w:t>.</w:t>
      </w:r>
    </w:p>
  </w:footnote>
  <w:footnote w:id="30">
    <w:p w14:paraId="31841A4B" w14:textId="3C2B6BE0" w:rsidR="00446681" w:rsidRPr="00C96C1C" w:rsidRDefault="00446681" w:rsidP="001B7793">
      <w:pPr>
        <w:pStyle w:val="FootnoteText"/>
      </w:pPr>
      <w:r w:rsidRPr="00930C14">
        <w:rPr>
          <w:rStyle w:val="FootnoteReference"/>
          <w:szCs w:val="16"/>
          <w:lang w:val="en-US"/>
        </w:rPr>
        <w:footnoteRef/>
      </w:r>
      <w:r w:rsidR="001B7793">
        <w:tab/>
      </w:r>
      <w:r w:rsidRPr="001B7793">
        <w:t xml:space="preserve">Отмена Глобальных тренировочных занятий МСЭ по кибербезопасности </w:t>
      </w:r>
      <w:r w:rsidRPr="00C96C1C">
        <w:t xml:space="preserve">| </w:t>
      </w:r>
      <w:r w:rsidR="00C96C1C">
        <w:br/>
      </w:r>
      <w:hyperlink r:id="rId29" w:history="1">
        <w:r w:rsidR="00C96C1C" w:rsidRPr="00FC6D0B">
          <w:rPr>
            <w:rStyle w:val="Hyperlink"/>
            <w:lang w:val="fr-FR"/>
          </w:rPr>
          <w:t>https</w:t>
        </w:r>
        <w:r w:rsidR="00C96C1C" w:rsidRPr="00FC6D0B">
          <w:rPr>
            <w:rStyle w:val="Hyperlink"/>
          </w:rPr>
          <w:t>://</w:t>
        </w:r>
        <w:r w:rsidR="00C96C1C" w:rsidRPr="00FC6D0B">
          <w:rPr>
            <w:rStyle w:val="Hyperlink"/>
            <w:lang w:val="fr-FR"/>
          </w:rPr>
          <w:t>www</w:t>
        </w:r>
        <w:r w:rsidR="00C96C1C" w:rsidRPr="00FC6D0B">
          <w:rPr>
            <w:rStyle w:val="Hyperlink"/>
          </w:rPr>
          <w:t>.</w:t>
        </w:r>
        <w:r w:rsidR="00C96C1C" w:rsidRPr="00FC6D0B">
          <w:rPr>
            <w:rStyle w:val="Hyperlink"/>
            <w:lang w:val="fr-FR"/>
          </w:rPr>
          <w:t>itu</w:t>
        </w:r>
        <w:r w:rsidR="00C96C1C" w:rsidRPr="00FC6D0B">
          <w:rPr>
            <w:rStyle w:val="Hyperlink"/>
          </w:rPr>
          <w:t>.</w:t>
        </w:r>
        <w:r w:rsidR="00C96C1C" w:rsidRPr="00FC6D0B">
          <w:rPr>
            <w:rStyle w:val="Hyperlink"/>
            <w:lang w:val="fr-FR"/>
          </w:rPr>
          <w:t>int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fr-FR"/>
          </w:rPr>
          <w:t>en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fr-FR"/>
          </w:rPr>
          <w:t>ITU</w:t>
        </w:r>
        <w:r w:rsidR="00C96C1C" w:rsidRPr="00FC6D0B">
          <w:rPr>
            <w:rStyle w:val="Hyperlink"/>
          </w:rPr>
          <w:t>-</w:t>
        </w:r>
        <w:r w:rsidR="00C96C1C" w:rsidRPr="00FC6D0B">
          <w:rPr>
            <w:rStyle w:val="Hyperlink"/>
            <w:lang w:val="fr-FR"/>
          </w:rPr>
          <w:t>D</w:t>
        </w:r>
        <w:r w:rsidR="00C96C1C" w:rsidRPr="00FC6D0B">
          <w:rPr>
            <w:rStyle w:val="Hyperlink"/>
          </w:rPr>
          <w:t>/</w:t>
        </w:r>
        <w:proofErr w:type="spellStart"/>
        <w:r w:rsidR="00C96C1C" w:rsidRPr="00FC6D0B">
          <w:rPr>
            <w:rStyle w:val="Hyperlink"/>
            <w:lang w:val="fr-FR"/>
          </w:rPr>
          <w:t>Cybersecurity</w:t>
        </w:r>
        <w:proofErr w:type="spellEnd"/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fr-FR"/>
          </w:rPr>
          <w:t>Pages</w:t>
        </w:r>
        <w:r w:rsidR="00C96C1C" w:rsidRPr="00FC6D0B">
          <w:rPr>
            <w:rStyle w:val="Hyperlink"/>
          </w:rPr>
          <w:t>/</w:t>
        </w:r>
        <w:proofErr w:type="spellStart"/>
        <w:r w:rsidR="00C96C1C" w:rsidRPr="00FC6D0B">
          <w:rPr>
            <w:rStyle w:val="Hyperlink"/>
            <w:lang w:val="fr-FR"/>
          </w:rPr>
          <w:t>CyberDrill</w:t>
        </w:r>
        <w:proofErr w:type="spellEnd"/>
        <w:r w:rsidR="00C96C1C" w:rsidRPr="00FC6D0B">
          <w:rPr>
            <w:rStyle w:val="Hyperlink"/>
          </w:rPr>
          <w:t>-2026/</w:t>
        </w:r>
        <w:proofErr w:type="spellStart"/>
        <w:r w:rsidR="00C96C1C" w:rsidRPr="00FC6D0B">
          <w:rPr>
            <w:rStyle w:val="Hyperlink"/>
            <w:lang w:val="fr-FR"/>
          </w:rPr>
          <w:t>GlobalCyberDrill</w:t>
        </w:r>
        <w:proofErr w:type="spellEnd"/>
        <w:r w:rsidR="00C96C1C" w:rsidRPr="00FC6D0B">
          <w:rPr>
            <w:rStyle w:val="Hyperlink"/>
          </w:rPr>
          <w:t>-26.</w:t>
        </w:r>
        <w:r w:rsidR="00C96C1C" w:rsidRPr="00FC6D0B">
          <w:rPr>
            <w:rStyle w:val="Hyperlink"/>
            <w:lang w:val="fr-FR"/>
          </w:rPr>
          <w:t>aspx</w:t>
        </w:r>
      </w:hyperlink>
      <w:r w:rsidR="001B7793">
        <w:t>.</w:t>
      </w:r>
    </w:p>
  </w:footnote>
  <w:footnote w:id="31">
    <w:p w14:paraId="33F1735B" w14:textId="0CCC7061" w:rsidR="00446681" w:rsidRPr="00C96C1C" w:rsidRDefault="00446681" w:rsidP="00446681">
      <w:pPr>
        <w:pStyle w:val="FootnoteText"/>
      </w:pPr>
      <w:r w:rsidRPr="00930C14">
        <w:rPr>
          <w:rStyle w:val="FootnoteReference"/>
          <w:szCs w:val="16"/>
          <w:lang w:val="en-US"/>
        </w:rPr>
        <w:footnoteRef/>
      </w:r>
      <w:r w:rsidR="00DC4C55">
        <w:rPr>
          <w:sz w:val="16"/>
          <w:szCs w:val="16"/>
        </w:rPr>
        <w:tab/>
      </w:r>
      <w:r w:rsidRPr="00DC4C55">
        <w:t xml:space="preserve">Перенос Регионального форума по вопросам развития для арабских государств </w:t>
      </w:r>
      <w:r w:rsidRPr="00C96C1C">
        <w:t>(</w:t>
      </w:r>
      <w:r w:rsidRPr="00DC4C55">
        <w:t>РФА-</w:t>
      </w:r>
      <w:r w:rsidRPr="00C96C1C">
        <w:t>26-</w:t>
      </w:r>
      <w:r w:rsidRPr="00DC4C55">
        <w:t>АРБ</w:t>
      </w:r>
      <w:r w:rsidRPr="00C96C1C">
        <w:t>)</w:t>
      </w:r>
      <w:r w:rsidRPr="00DC4C55">
        <w:t xml:space="preserve"> на 2027 год </w:t>
      </w:r>
      <w:r w:rsidRPr="00C96C1C">
        <w:t xml:space="preserve">| </w:t>
      </w:r>
      <w:hyperlink r:id="rId30" w:history="1">
        <w:r w:rsidRPr="00DC4C55">
          <w:rPr>
            <w:rStyle w:val="Hyperlink"/>
            <w:lang w:val="en-US"/>
          </w:rPr>
          <w:t>https</w:t>
        </w:r>
        <w:r w:rsidRPr="00C96C1C">
          <w:rPr>
            <w:rStyle w:val="Hyperlink"/>
          </w:rPr>
          <w:t>://</w:t>
        </w:r>
        <w:r w:rsidRPr="00DC4C55">
          <w:rPr>
            <w:rStyle w:val="Hyperlink"/>
            <w:lang w:val="en-US"/>
          </w:rPr>
          <w:t>www</w:t>
        </w:r>
        <w:r w:rsidRPr="00C96C1C">
          <w:rPr>
            <w:rStyle w:val="Hyperlink"/>
          </w:rPr>
          <w:t>.</w:t>
        </w:r>
        <w:r w:rsidRPr="00DC4C55">
          <w:rPr>
            <w:rStyle w:val="Hyperlink"/>
            <w:lang w:val="en-US"/>
          </w:rPr>
          <w:t>itu</w:t>
        </w:r>
        <w:r w:rsidRPr="00C96C1C">
          <w:rPr>
            <w:rStyle w:val="Hyperlink"/>
          </w:rPr>
          <w:t>.</w:t>
        </w:r>
        <w:r w:rsidRPr="00DC4C55">
          <w:rPr>
            <w:rStyle w:val="Hyperlink"/>
            <w:lang w:val="en-US"/>
          </w:rPr>
          <w:t>int</w:t>
        </w:r>
        <w:r w:rsidRPr="00C96C1C">
          <w:rPr>
            <w:rStyle w:val="Hyperlink"/>
          </w:rPr>
          <w:t>/</w:t>
        </w:r>
        <w:r w:rsidRPr="00DC4C55">
          <w:rPr>
            <w:rStyle w:val="Hyperlink"/>
            <w:lang w:val="en-US"/>
          </w:rPr>
          <w:t>dms</w:t>
        </w:r>
        <w:r w:rsidRPr="00C96C1C">
          <w:rPr>
            <w:rStyle w:val="Hyperlink"/>
          </w:rPr>
          <w:t>_</w:t>
        </w:r>
        <w:r w:rsidRPr="00DC4C55">
          <w:rPr>
            <w:rStyle w:val="Hyperlink"/>
            <w:lang w:val="en-US"/>
          </w:rPr>
          <w:t>pub</w:t>
        </w:r>
        <w:r w:rsidRPr="00C96C1C">
          <w:rPr>
            <w:rStyle w:val="Hyperlink"/>
          </w:rPr>
          <w:t>/</w:t>
        </w:r>
        <w:r w:rsidRPr="00DC4C55">
          <w:rPr>
            <w:rStyle w:val="Hyperlink"/>
            <w:lang w:val="en-US"/>
          </w:rPr>
          <w:t>itu</w:t>
        </w:r>
        <w:r w:rsidRPr="00C96C1C">
          <w:rPr>
            <w:rStyle w:val="Hyperlink"/>
          </w:rPr>
          <w:t>-</w:t>
        </w:r>
        <w:r w:rsidRPr="00DC4C55">
          <w:rPr>
            <w:rStyle w:val="Hyperlink"/>
            <w:lang w:val="en-US"/>
          </w:rPr>
          <w:t>d</w:t>
        </w:r>
        <w:r w:rsidRPr="00C96C1C">
          <w:rPr>
            <w:rStyle w:val="Hyperlink"/>
          </w:rPr>
          <w:t>/</w:t>
        </w:r>
        <w:r w:rsidRPr="00DC4C55">
          <w:rPr>
            <w:rStyle w:val="Hyperlink"/>
            <w:lang w:val="en-US"/>
          </w:rPr>
          <w:t>md</w:t>
        </w:r>
        <w:r w:rsidRPr="00C96C1C">
          <w:rPr>
            <w:rStyle w:val="Hyperlink"/>
          </w:rPr>
          <w:t>/26/</w:t>
        </w:r>
        <w:r w:rsidRPr="00DC4C55">
          <w:rPr>
            <w:rStyle w:val="Hyperlink"/>
            <w:lang w:val="en-US"/>
          </w:rPr>
          <w:t>dm</w:t>
        </w:r>
        <w:r w:rsidRPr="00C96C1C">
          <w:rPr>
            <w:rStyle w:val="Hyperlink"/>
          </w:rPr>
          <w:t>/</w:t>
        </w:r>
        <w:r w:rsidRPr="00DC4C55">
          <w:rPr>
            <w:rStyle w:val="Hyperlink"/>
            <w:lang w:val="en-US"/>
          </w:rPr>
          <w:t>cir</w:t>
        </w:r>
        <w:r w:rsidRPr="00C96C1C">
          <w:rPr>
            <w:rStyle w:val="Hyperlink"/>
          </w:rPr>
          <w:t>/</w:t>
        </w:r>
        <w:r w:rsidRPr="00DC4C55">
          <w:rPr>
            <w:rStyle w:val="Hyperlink"/>
            <w:lang w:val="en-US"/>
          </w:rPr>
          <w:t>D</w:t>
        </w:r>
        <w:r w:rsidRPr="00C96C1C">
          <w:rPr>
            <w:rStyle w:val="Hyperlink"/>
          </w:rPr>
          <w:t>26-</w:t>
        </w:r>
        <w:r w:rsidRPr="00DC4C55">
          <w:rPr>
            <w:rStyle w:val="Hyperlink"/>
            <w:lang w:val="en-US"/>
          </w:rPr>
          <w:t>DM</w:t>
        </w:r>
        <w:r w:rsidRPr="00C96C1C">
          <w:rPr>
            <w:rStyle w:val="Hyperlink"/>
          </w:rPr>
          <w:t>-</w:t>
        </w:r>
        <w:r w:rsidRPr="00DC4C55">
          <w:rPr>
            <w:rStyle w:val="Hyperlink"/>
            <w:lang w:val="en-US"/>
          </w:rPr>
          <w:t>CIR</w:t>
        </w:r>
        <w:r w:rsidRPr="00C96C1C">
          <w:rPr>
            <w:rStyle w:val="Hyperlink"/>
          </w:rPr>
          <w:t>-0027!!</w:t>
        </w:r>
        <w:r w:rsidRPr="00DC4C55">
          <w:rPr>
            <w:rStyle w:val="Hyperlink"/>
            <w:lang w:val="en-US"/>
          </w:rPr>
          <w:t>PDF</w:t>
        </w:r>
        <w:r w:rsidRPr="00C96C1C">
          <w:rPr>
            <w:rStyle w:val="Hyperlink"/>
          </w:rPr>
          <w:t>-</w:t>
        </w:r>
        <w:r w:rsidRPr="00DC4C55">
          <w:rPr>
            <w:rStyle w:val="Hyperlink"/>
            <w:lang w:val="en-US"/>
          </w:rPr>
          <w:t>E</w:t>
        </w:r>
        <w:r w:rsidRPr="00C96C1C">
          <w:rPr>
            <w:rStyle w:val="Hyperlink"/>
          </w:rPr>
          <w:t>.</w:t>
        </w:r>
        <w:r w:rsidRPr="00DC4C55">
          <w:rPr>
            <w:rStyle w:val="Hyperlink"/>
            <w:lang w:val="en-US"/>
          </w:rPr>
          <w:t>pdf</w:t>
        </w:r>
      </w:hyperlink>
      <w:r w:rsidR="00DC4C55">
        <w:t>.</w:t>
      </w:r>
    </w:p>
  </w:footnote>
  <w:footnote w:id="32">
    <w:p w14:paraId="50E3482B" w14:textId="4A2FDA44" w:rsidR="00446681" w:rsidRPr="00C96C1C" w:rsidRDefault="00446681" w:rsidP="00446681">
      <w:pPr>
        <w:pStyle w:val="FootnoteText"/>
      </w:pPr>
      <w:r w:rsidRPr="00930C14">
        <w:rPr>
          <w:rStyle w:val="FootnoteReference"/>
          <w:szCs w:val="16"/>
          <w:lang w:val="en-US"/>
        </w:rPr>
        <w:footnoteRef/>
      </w:r>
      <w:r w:rsidR="00DC4C55">
        <w:rPr>
          <w:sz w:val="16"/>
          <w:szCs w:val="16"/>
        </w:rPr>
        <w:tab/>
      </w:r>
      <w:r w:rsidRPr="00DC4C55">
        <w:t xml:space="preserve">Мероприятия МСЭ в </w:t>
      </w:r>
      <w:r w:rsidRPr="00C96C1C">
        <w:t>2026</w:t>
      </w:r>
      <w:r w:rsidRPr="00DC4C55">
        <w:t xml:space="preserve"> году</w:t>
      </w:r>
      <w:r w:rsidRPr="00C96C1C">
        <w:t xml:space="preserve"> | </w:t>
      </w:r>
      <w:r w:rsidR="00694961" w:rsidRPr="00694961">
        <w:br/>
      </w:r>
      <w:hyperlink r:id="rId31" w:history="1">
        <w:r w:rsidR="00C96C1C" w:rsidRPr="00FC6D0B">
          <w:rPr>
            <w:rStyle w:val="Hyperlink"/>
            <w:lang w:val="en-US"/>
          </w:rPr>
          <w:t>https</w:t>
        </w:r>
        <w:r w:rsidR="00C96C1C" w:rsidRPr="00FC6D0B">
          <w:rPr>
            <w:rStyle w:val="Hyperlink"/>
          </w:rPr>
          <w:t>://</w:t>
        </w:r>
        <w:r w:rsidR="00C96C1C" w:rsidRPr="00FC6D0B">
          <w:rPr>
            <w:rStyle w:val="Hyperlink"/>
            <w:lang w:val="en-US"/>
          </w:rPr>
          <w:t>www</w:t>
        </w:r>
        <w:r w:rsidR="00C96C1C" w:rsidRPr="00FC6D0B">
          <w:rPr>
            <w:rStyle w:val="Hyperlink"/>
          </w:rPr>
          <w:t>.</w:t>
        </w:r>
        <w:r w:rsidR="00C96C1C" w:rsidRPr="00FC6D0B">
          <w:rPr>
            <w:rStyle w:val="Hyperlink"/>
            <w:lang w:val="en-US"/>
          </w:rPr>
          <w:t>itu</w:t>
        </w:r>
        <w:r w:rsidR="00C96C1C" w:rsidRPr="00FC6D0B">
          <w:rPr>
            <w:rStyle w:val="Hyperlink"/>
          </w:rPr>
          <w:t>.</w:t>
        </w:r>
        <w:r w:rsidR="00C96C1C" w:rsidRPr="00FC6D0B">
          <w:rPr>
            <w:rStyle w:val="Hyperlink"/>
            <w:lang w:val="en-US"/>
          </w:rPr>
          <w:t>int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en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ITU</w:t>
        </w:r>
        <w:r w:rsidR="00C96C1C" w:rsidRPr="00FC6D0B">
          <w:rPr>
            <w:rStyle w:val="Hyperlink"/>
          </w:rPr>
          <w:t>-</w:t>
        </w:r>
        <w:r w:rsidR="00C96C1C" w:rsidRPr="00FC6D0B">
          <w:rPr>
            <w:rStyle w:val="Hyperlink"/>
            <w:lang w:val="en-US"/>
          </w:rPr>
          <w:t>D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Regional</w:t>
        </w:r>
        <w:r w:rsidR="00C96C1C" w:rsidRPr="00FC6D0B">
          <w:rPr>
            <w:rStyle w:val="Hyperlink"/>
          </w:rPr>
          <w:t>-</w:t>
        </w:r>
        <w:r w:rsidR="00C96C1C" w:rsidRPr="00FC6D0B">
          <w:rPr>
            <w:rStyle w:val="Hyperlink"/>
            <w:lang w:val="en-US"/>
          </w:rPr>
          <w:t>Presence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ArabStates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Pages</w:t>
        </w:r>
        <w:r w:rsidR="00C96C1C" w:rsidRPr="00FC6D0B">
          <w:rPr>
            <w:rStyle w:val="Hyperlink"/>
          </w:rPr>
          <w:t>/</w:t>
        </w:r>
        <w:r w:rsidR="00C96C1C" w:rsidRPr="00FC6D0B">
          <w:rPr>
            <w:rStyle w:val="Hyperlink"/>
            <w:lang w:val="en-US"/>
          </w:rPr>
          <w:t>events</w:t>
        </w:r>
        <w:r w:rsidR="00C96C1C" w:rsidRPr="00FC6D0B">
          <w:rPr>
            <w:rStyle w:val="Hyperlink"/>
          </w:rPr>
          <w:t>.</w:t>
        </w:r>
        <w:r w:rsidR="00C96C1C" w:rsidRPr="00FC6D0B">
          <w:rPr>
            <w:rStyle w:val="Hyperlink"/>
            <w:lang w:val="en-US"/>
          </w:rPr>
          <w:t>aspx</w:t>
        </w:r>
      </w:hyperlink>
      <w:r w:rsidR="00DC4C55">
        <w:t>.</w:t>
      </w:r>
    </w:p>
  </w:footnote>
  <w:footnote w:id="33">
    <w:p w14:paraId="3A5478DB" w14:textId="0C98BE18" w:rsidR="00446681" w:rsidRPr="00DC4C55" w:rsidRDefault="00446681" w:rsidP="00446681">
      <w:pPr>
        <w:pStyle w:val="FootnoteText"/>
        <w:rPr>
          <w:lang w:val="en-US"/>
        </w:rPr>
      </w:pPr>
      <w:r w:rsidRPr="00287EE1">
        <w:rPr>
          <w:rStyle w:val="FootnoteReference"/>
          <w:szCs w:val="16"/>
          <w:lang w:val="en-US"/>
        </w:rPr>
        <w:footnoteRef/>
      </w:r>
      <w:r w:rsidR="00DC4C55" w:rsidRPr="00C96C1C">
        <w:rPr>
          <w:sz w:val="16"/>
          <w:szCs w:val="16"/>
          <w:lang w:val="en-GB"/>
        </w:rPr>
        <w:tab/>
      </w:r>
      <w:r w:rsidRPr="00DC4C55">
        <w:rPr>
          <w:lang w:val="en-US"/>
        </w:rPr>
        <w:t xml:space="preserve">Post-Disaster Needs Assessment | UNDP | </w:t>
      </w:r>
      <w:hyperlink r:id="rId32" w:history="1">
        <w:r w:rsidRPr="00DC4C55">
          <w:rPr>
            <w:rStyle w:val="Hyperlink"/>
            <w:lang w:val="en-US"/>
          </w:rPr>
          <w:t>https://www.undp.org/publications/post-disaster-needs-assessment</w:t>
        </w:r>
      </w:hyperlink>
      <w:r w:rsidR="00DC4C55" w:rsidRPr="00C96C1C">
        <w:rPr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D00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FFE8F3A" w14:textId="7CB3A543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4B4273">
      <w:t>70</w:t>
    </w:r>
    <w:r w:rsidR="001E31D2">
      <w:t>-R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B48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1427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0D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FE7B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8839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41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9874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148C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966A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E02C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296E46"/>
    <w:multiLevelType w:val="hybridMultilevel"/>
    <w:tmpl w:val="CE0E9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62C08"/>
    <w:multiLevelType w:val="multilevel"/>
    <w:tmpl w:val="FA64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510A38"/>
    <w:multiLevelType w:val="multilevel"/>
    <w:tmpl w:val="7564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6B5D7E"/>
    <w:multiLevelType w:val="hybridMultilevel"/>
    <w:tmpl w:val="CCDC9C8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4300B08"/>
    <w:multiLevelType w:val="hybridMultilevel"/>
    <w:tmpl w:val="BC50F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7094A"/>
    <w:multiLevelType w:val="multilevel"/>
    <w:tmpl w:val="230E1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43CEC5"/>
    <w:multiLevelType w:val="hybridMultilevel"/>
    <w:tmpl w:val="18084AA0"/>
    <w:lvl w:ilvl="0" w:tplc="714CCAEC">
      <w:start w:val="1"/>
      <w:numFmt w:val="decimal"/>
      <w:lvlText w:val="5)"/>
      <w:lvlJc w:val="left"/>
      <w:pPr>
        <w:ind w:left="720" w:hanging="360"/>
      </w:pPr>
    </w:lvl>
    <w:lvl w:ilvl="1" w:tplc="75467840">
      <w:start w:val="1"/>
      <w:numFmt w:val="lowerLetter"/>
      <w:lvlText w:val="%2."/>
      <w:lvlJc w:val="left"/>
      <w:pPr>
        <w:ind w:left="1440" w:hanging="360"/>
      </w:pPr>
    </w:lvl>
    <w:lvl w:ilvl="2" w:tplc="AAB0A4CE">
      <w:start w:val="1"/>
      <w:numFmt w:val="lowerRoman"/>
      <w:lvlText w:val="%3."/>
      <w:lvlJc w:val="right"/>
      <w:pPr>
        <w:ind w:left="2160" w:hanging="180"/>
      </w:pPr>
    </w:lvl>
    <w:lvl w:ilvl="3" w:tplc="DCE854C2">
      <w:start w:val="1"/>
      <w:numFmt w:val="decimal"/>
      <w:lvlText w:val="%4."/>
      <w:lvlJc w:val="left"/>
      <w:pPr>
        <w:ind w:left="2880" w:hanging="360"/>
      </w:pPr>
    </w:lvl>
    <w:lvl w:ilvl="4" w:tplc="F776F90E">
      <w:start w:val="1"/>
      <w:numFmt w:val="lowerLetter"/>
      <w:lvlText w:val="%5."/>
      <w:lvlJc w:val="left"/>
      <w:pPr>
        <w:ind w:left="3600" w:hanging="360"/>
      </w:pPr>
    </w:lvl>
    <w:lvl w:ilvl="5" w:tplc="1A266F64">
      <w:start w:val="1"/>
      <w:numFmt w:val="lowerRoman"/>
      <w:lvlText w:val="%6."/>
      <w:lvlJc w:val="right"/>
      <w:pPr>
        <w:ind w:left="4320" w:hanging="180"/>
      </w:pPr>
    </w:lvl>
    <w:lvl w:ilvl="6" w:tplc="D2660DC2">
      <w:start w:val="1"/>
      <w:numFmt w:val="decimal"/>
      <w:lvlText w:val="%7."/>
      <w:lvlJc w:val="left"/>
      <w:pPr>
        <w:ind w:left="5040" w:hanging="360"/>
      </w:pPr>
    </w:lvl>
    <w:lvl w:ilvl="7" w:tplc="366AED06">
      <w:start w:val="1"/>
      <w:numFmt w:val="lowerLetter"/>
      <w:lvlText w:val="%8."/>
      <w:lvlJc w:val="left"/>
      <w:pPr>
        <w:ind w:left="5760" w:hanging="360"/>
      </w:pPr>
    </w:lvl>
    <w:lvl w:ilvl="8" w:tplc="9D6A584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D2297"/>
    <w:multiLevelType w:val="hybridMultilevel"/>
    <w:tmpl w:val="7F7C3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2489">
    <w:abstractNumId w:val="16"/>
  </w:num>
  <w:num w:numId="2" w16cid:durableId="1058358738">
    <w:abstractNumId w:val="13"/>
  </w:num>
  <w:num w:numId="3" w16cid:durableId="1940215380">
    <w:abstractNumId w:val="9"/>
  </w:num>
  <w:num w:numId="4" w16cid:durableId="210924111">
    <w:abstractNumId w:val="7"/>
  </w:num>
  <w:num w:numId="5" w16cid:durableId="997076387">
    <w:abstractNumId w:val="6"/>
  </w:num>
  <w:num w:numId="6" w16cid:durableId="286741146">
    <w:abstractNumId w:val="5"/>
  </w:num>
  <w:num w:numId="7" w16cid:durableId="149903441">
    <w:abstractNumId w:val="4"/>
  </w:num>
  <w:num w:numId="8" w16cid:durableId="1610818179">
    <w:abstractNumId w:val="8"/>
  </w:num>
  <w:num w:numId="9" w16cid:durableId="1037463191">
    <w:abstractNumId w:val="3"/>
  </w:num>
  <w:num w:numId="10" w16cid:durableId="306251779">
    <w:abstractNumId w:val="2"/>
  </w:num>
  <w:num w:numId="11" w16cid:durableId="1683124518">
    <w:abstractNumId w:val="1"/>
  </w:num>
  <w:num w:numId="12" w16cid:durableId="1675497877">
    <w:abstractNumId w:val="0"/>
  </w:num>
  <w:num w:numId="13" w16cid:durableId="1833570543">
    <w:abstractNumId w:val="12"/>
  </w:num>
  <w:num w:numId="14" w16cid:durableId="1064715897">
    <w:abstractNumId w:val="11"/>
  </w:num>
  <w:num w:numId="15" w16cid:durableId="1188565554">
    <w:abstractNumId w:val="15"/>
  </w:num>
  <w:num w:numId="16" w16cid:durableId="901331690">
    <w:abstractNumId w:val="17"/>
  </w:num>
  <w:num w:numId="17" w16cid:durableId="211430694">
    <w:abstractNumId w:val="14"/>
  </w:num>
  <w:num w:numId="18" w16cid:durableId="8891535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45C97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2F5A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1DBE"/>
    <w:rsid w:val="0016204A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B7793"/>
    <w:rsid w:val="001E31D2"/>
    <w:rsid w:val="001F0B24"/>
    <w:rsid w:val="0020080D"/>
    <w:rsid w:val="00200992"/>
    <w:rsid w:val="00201EE3"/>
    <w:rsid w:val="00202880"/>
    <w:rsid w:val="0020313F"/>
    <w:rsid w:val="002173B8"/>
    <w:rsid w:val="00232D57"/>
    <w:rsid w:val="002356E7"/>
    <w:rsid w:val="00241B9A"/>
    <w:rsid w:val="002578B4"/>
    <w:rsid w:val="0026223F"/>
    <w:rsid w:val="00273A0B"/>
    <w:rsid w:val="00277F85"/>
    <w:rsid w:val="00297915"/>
    <w:rsid w:val="002A409A"/>
    <w:rsid w:val="002A5402"/>
    <w:rsid w:val="002B033B"/>
    <w:rsid w:val="002B3829"/>
    <w:rsid w:val="002C0D37"/>
    <w:rsid w:val="002C5477"/>
    <w:rsid w:val="002C78FF"/>
    <w:rsid w:val="002D0055"/>
    <w:rsid w:val="002D024B"/>
    <w:rsid w:val="0032589A"/>
    <w:rsid w:val="00336599"/>
    <w:rsid w:val="003429D1"/>
    <w:rsid w:val="00367BF7"/>
    <w:rsid w:val="00375BBA"/>
    <w:rsid w:val="00384CFC"/>
    <w:rsid w:val="00395CE4"/>
    <w:rsid w:val="003A694F"/>
    <w:rsid w:val="003B1A77"/>
    <w:rsid w:val="003E7EAA"/>
    <w:rsid w:val="00400701"/>
    <w:rsid w:val="004014B0"/>
    <w:rsid w:val="00426AC1"/>
    <w:rsid w:val="004335F9"/>
    <w:rsid w:val="00446681"/>
    <w:rsid w:val="00455F82"/>
    <w:rsid w:val="0045781B"/>
    <w:rsid w:val="004676C0"/>
    <w:rsid w:val="00471ABB"/>
    <w:rsid w:val="004805DE"/>
    <w:rsid w:val="0049729E"/>
    <w:rsid w:val="004B03E9"/>
    <w:rsid w:val="004B3A6C"/>
    <w:rsid w:val="004B4273"/>
    <w:rsid w:val="004B70DA"/>
    <w:rsid w:val="004C029D"/>
    <w:rsid w:val="004C79E4"/>
    <w:rsid w:val="004F6C97"/>
    <w:rsid w:val="00513BE3"/>
    <w:rsid w:val="0052010F"/>
    <w:rsid w:val="005356FD"/>
    <w:rsid w:val="00535B44"/>
    <w:rsid w:val="00535EDC"/>
    <w:rsid w:val="00541762"/>
    <w:rsid w:val="00551B1A"/>
    <w:rsid w:val="00554E24"/>
    <w:rsid w:val="00555396"/>
    <w:rsid w:val="00563711"/>
    <w:rsid w:val="005653D6"/>
    <w:rsid w:val="00567130"/>
    <w:rsid w:val="00584918"/>
    <w:rsid w:val="005C2041"/>
    <w:rsid w:val="005C3DE4"/>
    <w:rsid w:val="005C67E8"/>
    <w:rsid w:val="005D0C15"/>
    <w:rsid w:val="005E1BF1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94961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2BDB"/>
    <w:rsid w:val="007C50AF"/>
    <w:rsid w:val="007E4D0F"/>
    <w:rsid w:val="008034F1"/>
    <w:rsid w:val="008048D3"/>
    <w:rsid w:val="008102A6"/>
    <w:rsid w:val="008113A1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D54A2"/>
    <w:rsid w:val="008D5743"/>
    <w:rsid w:val="008F5F4D"/>
    <w:rsid w:val="009125CE"/>
    <w:rsid w:val="0093377B"/>
    <w:rsid w:val="00934241"/>
    <w:rsid w:val="009431AB"/>
    <w:rsid w:val="00950E0F"/>
    <w:rsid w:val="00962CCF"/>
    <w:rsid w:val="0097690C"/>
    <w:rsid w:val="00996435"/>
    <w:rsid w:val="009A47A2"/>
    <w:rsid w:val="009A6D9A"/>
    <w:rsid w:val="009D4320"/>
    <w:rsid w:val="009E4F4B"/>
    <w:rsid w:val="009F0BA9"/>
    <w:rsid w:val="009F3A10"/>
    <w:rsid w:val="00A27A55"/>
    <w:rsid w:val="00A3200E"/>
    <w:rsid w:val="00A54036"/>
    <w:rsid w:val="00A54F56"/>
    <w:rsid w:val="00A6098A"/>
    <w:rsid w:val="00A75EAA"/>
    <w:rsid w:val="00AA49B8"/>
    <w:rsid w:val="00AB190D"/>
    <w:rsid w:val="00AC20C0"/>
    <w:rsid w:val="00AD6841"/>
    <w:rsid w:val="00B1156A"/>
    <w:rsid w:val="00B14377"/>
    <w:rsid w:val="00B1733E"/>
    <w:rsid w:val="00B17D14"/>
    <w:rsid w:val="00B25136"/>
    <w:rsid w:val="00B26450"/>
    <w:rsid w:val="00B45785"/>
    <w:rsid w:val="00B52354"/>
    <w:rsid w:val="00B62568"/>
    <w:rsid w:val="00BA154E"/>
    <w:rsid w:val="00BE52B6"/>
    <w:rsid w:val="00BF151F"/>
    <w:rsid w:val="00BF252A"/>
    <w:rsid w:val="00BF720B"/>
    <w:rsid w:val="00C01AB8"/>
    <w:rsid w:val="00C04511"/>
    <w:rsid w:val="00C1004D"/>
    <w:rsid w:val="00C16846"/>
    <w:rsid w:val="00C40979"/>
    <w:rsid w:val="00C46ECA"/>
    <w:rsid w:val="00C62242"/>
    <w:rsid w:val="00C6326D"/>
    <w:rsid w:val="00C6670D"/>
    <w:rsid w:val="00C96C1C"/>
    <w:rsid w:val="00CA38C9"/>
    <w:rsid w:val="00CC443B"/>
    <w:rsid w:val="00CC6362"/>
    <w:rsid w:val="00CD163A"/>
    <w:rsid w:val="00CD367F"/>
    <w:rsid w:val="00CE40BB"/>
    <w:rsid w:val="00CE5656"/>
    <w:rsid w:val="00D15682"/>
    <w:rsid w:val="00D20FA1"/>
    <w:rsid w:val="00D25CE3"/>
    <w:rsid w:val="00D35966"/>
    <w:rsid w:val="00D37275"/>
    <w:rsid w:val="00D37469"/>
    <w:rsid w:val="00D50E12"/>
    <w:rsid w:val="00D55DD9"/>
    <w:rsid w:val="00D5700C"/>
    <w:rsid w:val="00D57F41"/>
    <w:rsid w:val="00D604F5"/>
    <w:rsid w:val="00D955EF"/>
    <w:rsid w:val="00D97CC5"/>
    <w:rsid w:val="00DC1B1E"/>
    <w:rsid w:val="00DC4C55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65640"/>
    <w:rsid w:val="00E86DC6"/>
    <w:rsid w:val="00E91D24"/>
    <w:rsid w:val="00E954CA"/>
    <w:rsid w:val="00EB26B5"/>
    <w:rsid w:val="00EB40B5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820C9"/>
    <w:rsid w:val="00F952F7"/>
    <w:rsid w:val="00F96AB4"/>
    <w:rsid w:val="00F97481"/>
    <w:rsid w:val="00FA551C"/>
    <w:rsid w:val="00FD22D8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069E9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99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6C1C"/>
    <w:pPr>
      <w:tabs>
        <w:tab w:val="left" w:pos="794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C96C1C"/>
    <w:pPr>
      <w:keepNext/>
      <w:keepLines/>
      <w:spacing w:before="36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D20FA1"/>
    <w:pPr>
      <w:spacing w:before="24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qFormat/>
    <w:rsid w:val="00C96C1C"/>
    <w:pPr>
      <w:spacing w:before="86"/>
      <w:ind w:left="794" w:hanging="794"/>
    </w:pPr>
  </w:style>
  <w:style w:type="paragraph" w:customStyle="1" w:styleId="enumlev1S2">
    <w:name w:val="enumlev1_S2"/>
    <w:basedOn w:val="enumlev1"/>
    <w:rsid w:val="004B3A6C"/>
    <w:pPr>
      <w:tabs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uiPriority w:val="99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336599"/>
    <w:pPr>
      <w:keepLines/>
      <w:tabs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left" w:pos="1191"/>
        <w:tab w:val="left" w:pos="1588"/>
        <w:tab w:val="left" w:pos="1985"/>
      </w:tabs>
    </w:pPr>
  </w:style>
  <w:style w:type="paragraph" w:customStyle="1" w:styleId="Heading2S2">
    <w:name w:val="Heading 2_S2"/>
    <w:basedOn w:val="Heading2"/>
    <w:next w:val="Normal"/>
    <w:rsid w:val="004B3A6C"/>
    <w:pPr>
      <w:tabs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uiPriority w:val="99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left" w:pos="851"/>
      </w:tabs>
    </w:pPr>
  </w:style>
  <w:style w:type="paragraph" w:customStyle="1" w:styleId="NoteS2">
    <w:name w:val="Note_S2"/>
    <w:basedOn w:val="Note"/>
    <w:rsid w:val="004B3A6C"/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D20FA1"/>
    <w:pPr>
      <w:spacing w:before="40" w:after="40"/>
    </w:pPr>
    <w:rPr>
      <w:sz w:val="20"/>
    </w:rPr>
  </w:style>
  <w:style w:type="paragraph" w:customStyle="1" w:styleId="Tablehead">
    <w:name w:val="Table_head"/>
    <w:basedOn w:val="Tabletext"/>
    <w:rsid w:val="00D20FA1"/>
    <w:pPr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right" w:pos="9781"/>
      </w:tabs>
    </w:pPr>
    <w:rPr>
      <w:b/>
    </w:rPr>
  </w:style>
  <w:style w:type="paragraph" w:styleId="TOC1">
    <w:name w:val="toc 1"/>
    <w:basedOn w:val="Normal"/>
    <w:uiPriority w:val="39"/>
    <w:rsid w:val="004B3A6C"/>
    <w:pPr>
      <w:tabs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uiPriority w:val="39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uiPriority w:val="39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C1004D"/>
    <w:pPr>
      <w:tabs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qFormat/>
    <w:rsid w:val="00C1004D"/>
    <w:pPr>
      <w:tabs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uiPriority w:val="59"/>
    <w:rsid w:val="000E2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E2F5A"/>
    <w:rPr>
      <w:rFonts w:ascii="Calibri" w:eastAsia="Calibri" w:hAnsi="Calibri" w:cs="Arial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ialFooter">
    <w:name w:val="Special Footer"/>
    <w:basedOn w:val="Footer"/>
    <w:rsid w:val="00F952F7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  <w:lang w:val="en-GB"/>
    </w:rPr>
  </w:style>
  <w:style w:type="paragraph" w:customStyle="1" w:styleId="VolumeTitleS2">
    <w:name w:val="VolumeTitle_S2"/>
    <w:basedOn w:val="VolumeTitle"/>
    <w:next w:val="Normal"/>
    <w:qFormat/>
    <w:rsid w:val="00F952F7"/>
  </w:style>
  <w:style w:type="paragraph" w:customStyle="1" w:styleId="StyleCommitteeAfter0ptLinespacingsingle">
    <w:name w:val="Style Committee + After:  0 pt Line spacing:  single"/>
    <w:basedOn w:val="Committee"/>
    <w:rsid w:val="00F952F7"/>
    <w:pPr>
      <w:framePr w:hSpace="0" w:wrap="around" w:hAnchor="text" w:yAlign="inline"/>
      <w:tabs>
        <w:tab w:val="clear" w:pos="1871"/>
        <w:tab w:val="left" w:pos="851"/>
      </w:tabs>
      <w:overflowPunct/>
      <w:autoSpaceDE/>
      <w:autoSpaceDN/>
      <w:adjustRightInd/>
      <w:spacing w:after="0" w:line="240" w:lineRule="auto"/>
      <w:textAlignment w:val="auto"/>
    </w:pPr>
    <w:rPr>
      <w:rFonts w:cs="Times New Roman"/>
      <w:bCs/>
      <w:smallCaps w:val="0"/>
      <w:sz w:val="24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952F7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F952F7"/>
    <w:pPr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paragraph" w:styleId="NormalWeb">
    <w:name w:val="Normal (Web)"/>
    <w:basedOn w:val="Normal"/>
    <w:uiPriority w:val="99"/>
    <w:semiHidden/>
    <w:unhideWhenUsed/>
    <w:rsid w:val="00F952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n-IN" w:eastAsia="en-IN"/>
    </w:rPr>
  </w:style>
  <w:style w:type="paragraph" w:styleId="Revision">
    <w:name w:val="Revision"/>
    <w:hidden/>
    <w:uiPriority w:val="99"/>
    <w:semiHidden/>
    <w:rsid w:val="00F952F7"/>
    <w:rPr>
      <w:rFonts w:ascii="Calibri" w:hAnsi="Calibri"/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952F7"/>
    <w:pPr>
      <w:ind w:left="720"/>
      <w:contextualSpacing/>
    </w:pPr>
    <w:rPr>
      <w:sz w:val="24"/>
      <w:lang w:val="en-GB"/>
    </w:rPr>
  </w:style>
  <w:style w:type="paragraph" w:styleId="CommentText">
    <w:name w:val="annotation text"/>
    <w:basedOn w:val="Normal"/>
    <w:link w:val="CommentTextChar"/>
    <w:unhideWhenUsed/>
    <w:rsid w:val="00F952F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952F7"/>
    <w:rPr>
      <w:rFonts w:ascii="Calibri" w:hAnsi="Calibri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F952F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952F7"/>
    <w:pPr>
      <w:overflowPunct/>
      <w:autoSpaceDE/>
      <w:autoSpaceDN/>
      <w:adjustRightInd/>
      <w:spacing w:before="0" w:after="120"/>
      <w:textAlignment w:val="auto"/>
    </w:pPr>
    <w:rPr>
      <w:rFonts w:ascii="Arial" w:eastAsia="Arial" w:hAnsi="Arial" w:cstheme="minorBidi"/>
      <w:b/>
      <w:bCs/>
      <w:i/>
      <w:color w:val="505050"/>
      <w:sz w:val="18"/>
      <w:szCs w:val="18"/>
      <w:lang w:val="en-US"/>
    </w:rPr>
  </w:style>
  <w:style w:type="table" w:styleId="PlainTable3">
    <w:name w:val="Plain Table 3"/>
    <w:basedOn w:val="TableNormal"/>
    <w:uiPriority w:val="99"/>
    <w:rsid w:val="00F952F7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F952F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gure">
    <w:name w:val="Figure"/>
    <w:basedOn w:val="firstfooter0"/>
    <w:rsid w:val="00F952F7"/>
    <w:pPr>
      <w:spacing w:before="120" w:beforeAutospacing="0" w:after="240" w:afterAutospacing="0"/>
      <w:jc w:val="center"/>
    </w:pPr>
    <w:rPr>
      <w:noProof/>
    </w:rPr>
  </w:style>
  <w:style w:type="paragraph" w:customStyle="1" w:styleId="Tablefin">
    <w:name w:val="Table_fin"/>
    <w:basedOn w:val="Tabletext"/>
    <w:rsid w:val="00F952F7"/>
    <w:pPr>
      <w:spacing w:before="0" w:after="0"/>
    </w:pPr>
    <w:rPr>
      <w:rFonts w:eastAsiaTheme="minorEastAsia"/>
      <w:sz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5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52F7"/>
    <w:rPr>
      <w:rFonts w:ascii="Calibri" w:hAnsi="Calibri"/>
      <w:b/>
      <w:bCs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F952F7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952F7"/>
    <w:rPr>
      <w:color w:val="666666"/>
    </w:rPr>
  </w:style>
  <w:style w:type="paragraph" w:customStyle="1" w:styleId="Data">
    <w:name w:val="Data"/>
    <w:basedOn w:val="Normal"/>
    <w:rsid w:val="00F952F7"/>
    <w:pPr>
      <w:framePr w:hSpace="181" w:wrap="around" w:hAnchor="margin" w:xAlign="center" w:y="-674"/>
      <w:tabs>
        <w:tab w:val="left" w:pos="851"/>
      </w:tabs>
      <w:spacing w:before="0"/>
    </w:pPr>
    <w:rPr>
      <w:rFonts w:cstheme="minorHAnsi"/>
      <w:b/>
      <w:sz w:val="24"/>
      <w:szCs w:val="24"/>
      <w:lang w:val="en-GB"/>
    </w:rPr>
  </w:style>
  <w:style w:type="paragraph" w:customStyle="1" w:styleId="Figure-with-legend">
    <w:name w:val="Figure-with-legend"/>
    <w:basedOn w:val="Figure"/>
    <w:rsid w:val="00F952F7"/>
    <w:pPr>
      <w:keepNext/>
      <w:keepLines/>
      <w:spacing w:after="0"/>
    </w:pPr>
  </w:style>
  <w:style w:type="paragraph" w:customStyle="1" w:styleId="Figurelegend">
    <w:name w:val="Figure_legend"/>
    <w:basedOn w:val="Normal"/>
    <w:rsid w:val="00F952F7"/>
    <w:pPr>
      <w:spacing w:before="20" w:after="240" w:line="259" w:lineRule="auto"/>
      <w:jc w:val="both"/>
    </w:pPr>
    <w:rPr>
      <w:i/>
      <w:iCs/>
      <w:sz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36599"/>
    <w:rPr>
      <w:rFonts w:ascii="Calibri" w:hAnsi="Calibri"/>
      <w:lang w:val="ru-RU" w:eastAsia="en-US"/>
    </w:rPr>
  </w:style>
  <w:style w:type="paragraph" w:customStyle="1" w:styleId="Figuretitle">
    <w:name w:val="Figure_title"/>
    <w:basedOn w:val="Tabletitle"/>
    <w:next w:val="Figure"/>
    <w:rsid w:val="00BF151F"/>
    <w:pPr>
      <w:keepLines/>
      <w:tabs>
        <w:tab w:val="clear" w:pos="2948"/>
        <w:tab w:val="clear" w:pos="4082"/>
        <w:tab w:val="left" w:pos="1191"/>
        <w:tab w:val="left" w:pos="1588"/>
        <w:tab w:val="left" w:pos="1985"/>
      </w:tabs>
      <w:spacing w:before="120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itu.int/md/S26-CL-C-0130/en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radar.cloudflare.com/explorer?dataSet=origins&amp;filters=origin%253Damazon%252Cregion%253Dme-south-1&amp;metric=requests&amp;dt=2026-02-01_2026-09-17" TargetMode="External"/><Relationship Id="rId13" Type="http://schemas.openxmlformats.org/officeDocument/2006/relationships/hyperlink" Target="https://uaelegislation.gov.ae/en/legislations/1209/download" TargetMode="External"/><Relationship Id="rId18" Type="http://schemas.openxmlformats.org/officeDocument/2006/relationships/hyperlink" Target="https://www.csis.org/analysis/what-iran-war-costing-joint-gulf-us-ambitions-ai" TargetMode="External"/><Relationship Id="rId26" Type="http://schemas.openxmlformats.org/officeDocument/2006/relationships/hyperlink" Target="https://rntfnd.org/2026/04/23/finland-cellular-also-impacted-by-interference/" TargetMode="External"/><Relationship Id="rId3" Type="http://schemas.openxmlformats.org/officeDocument/2006/relationships/hyperlink" Target="https://health.aws.amazon.com/health/status?eventID=arn:aws:health:me-south-1::event/MULTIPLE_SERVICES/AWS_MULTIPLE_SERVICES_OPERATIONAL_ISSUE/AWS_MULTIPLE_SERVICES_OPERATIONAL_ISSUE_E6426_01AD72B4E1E" TargetMode="External"/><Relationship Id="rId21" Type="http://schemas.openxmlformats.org/officeDocument/2006/relationships/hyperlink" Target="https://sharjah24.ae/en/Articles/2026/03/31/a32" TargetMode="External"/><Relationship Id="rId7" Type="http://schemas.openxmlformats.org/officeDocument/2006/relationships/hyperlink" Target="https://radar.cloudflare.com/explorer?dataSet=origins&amp;filters=origin%253Damazon%252Cregion%253Dme-central-1&amp;metric=requests&amp;dt=2026-02-01_2026-09-17" TargetMode="External"/><Relationship Id="rId12" Type="http://schemas.openxmlformats.org/officeDocument/2006/relationships/hyperlink" Target="https://www.iga.gov.bh/en/article/85-of-government-data-transfer-to-amazon-more-than-300-sites-connected-to-the-government-data-network" TargetMode="External"/><Relationship Id="rId17" Type="http://schemas.openxmlformats.org/officeDocument/2006/relationships/hyperlink" Target="https://www.thebanker.com/content/fd078db2-7f55-436d-9d2e-62a0a742ad02" TargetMode="External"/><Relationship Id="rId25" Type="http://schemas.openxmlformats.org/officeDocument/2006/relationships/hyperlink" Target="https://www.wired.me/story/gps-is-the-new-battlefield-why-your-maps-arent-working" TargetMode="External"/><Relationship Id="rId2" Type="http://schemas.openxmlformats.org/officeDocument/2006/relationships/hyperlink" Target="https://aws.amazon.com/about-aws/global-infrastructure/regions_az/" TargetMode="External"/><Relationship Id="rId16" Type="http://schemas.openxmlformats.org/officeDocument/2006/relationships/hyperlink" Target="https://www.adcb.com/en/about-us/media-centre/news/2026/march/adcb-confirms-restoration-of-retail-mobile-banking-services" TargetMode="External"/><Relationship Id="rId20" Type="http://schemas.openxmlformats.org/officeDocument/2006/relationships/hyperlink" Target="https://www.bakerinstitute.org/sites/default/files/2026-04/20260410_Global%20AI%20Race.pdf" TargetMode="External"/><Relationship Id="rId29" Type="http://schemas.openxmlformats.org/officeDocument/2006/relationships/hyperlink" Target="https://www.itu.int/en/ITU-D/Cybersecurity/Pages/CyberDrill-2026/GlobalCyberDrill-26.aspx" TargetMode="External"/><Relationship Id="rId1" Type="http://schemas.openxmlformats.org/officeDocument/2006/relationships/hyperlink" Target="https://www.itu.int/md/S26-CL-C-0130/en" TargetMode="External"/><Relationship Id="rId6" Type="http://schemas.openxmlformats.org/officeDocument/2006/relationships/hyperlink" Target="https://health.aws.amazon.com/health/status?eventID=arn:aws:health:me-south-1::event/MULTIPLE_SERVICES/AWS_MULTIPLE_SERVICES_OPERATIONAL_ISSUE/AWS_MULTIPLE_SERVICES_OPERATIONAL_ISSUE_E6426_01AD72B4E1E" TargetMode="External"/><Relationship Id="rId11" Type="http://schemas.openxmlformats.org/officeDocument/2006/relationships/hyperlink" Target="https://aws.amazon.com/blogs/publicsector/bahrains-cloud-first-success-story/" TargetMode="External"/><Relationship Id="rId24" Type="http://schemas.openxmlformats.org/officeDocument/2006/relationships/hyperlink" Target="https://windward.ai/blog/gps-jamming-is-mainstream-changes-between-2025-and-2026/" TargetMode="External"/><Relationship Id="rId32" Type="http://schemas.openxmlformats.org/officeDocument/2006/relationships/hyperlink" Target="https://www.undp.org/publications/post-disaster-needs-assessment" TargetMode="External"/><Relationship Id="rId5" Type="http://schemas.openxmlformats.org/officeDocument/2006/relationships/hyperlink" Target="https://health.aws.amazon.com/health/status?eventID=arn:aws:health:me-central-1::event/MULTIPLE_SERVICES/AWS_MULTIPLE_SERVICES_OPERATIONAL_ISSUE/AWS_MULTIPLE_SERVICES_OPERATIONAL_ISSUE_5E6B8_EF2498889B5" TargetMode="External"/><Relationship Id="rId15" Type="http://schemas.openxmlformats.org/officeDocument/2006/relationships/hyperlink" Target="https://www.youtube.com/watch?v=hlHmhz7PvH0" TargetMode="External"/><Relationship Id="rId23" Type="http://schemas.openxmlformats.org/officeDocument/2006/relationships/hyperlink" Target="https://rin.org.uk/page/RIN_Maritime_Report" TargetMode="External"/><Relationship Id="rId28" Type="http://schemas.openxmlformats.org/officeDocument/2006/relationships/hyperlink" Target="https://resources.telegeography.com/submarine-cable-infrastructure-strait-hormuz" TargetMode="External"/><Relationship Id="rId10" Type="http://schemas.openxmlformats.org/officeDocument/2006/relationships/hyperlink" Target="https://press.aboutamazon.com/2019/7/aws-launches-region-in-the-middle-east" TargetMode="External"/><Relationship Id="rId19" Type="http://schemas.openxmlformats.org/officeDocument/2006/relationships/hyperlink" Target="https://health.aws.amazon.com/health/status?_sp=d6244f1c-0cb2-498b-b35e-cd0e2a94502e&amp;tag=itechguides04-20" TargetMode="External"/><Relationship Id="rId31" Type="http://schemas.openxmlformats.org/officeDocument/2006/relationships/hyperlink" Target="https://www.itu.int/en/ITU-D/Regional-Presence/ArabStates/Pages/events.aspx" TargetMode="External"/><Relationship Id="rId4" Type="http://schemas.openxmlformats.org/officeDocument/2006/relationships/hyperlink" Target="https://health.aws.amazon.com/health/status?eventID=arn:aws:health:me-central-1::event/MULTIPLE_SERVICES/AWS_MULTIPLE_SERVICES_OPERATIONAL_ISSUE/AWS_MULTIPLE_SERVICES_OPERATIONAL_ISSUE_5E6B8_EF2498889B5" TargetMode="External"/><Relationship Id="rId9" Type="http://schemas.openxmlformats.org/officeDocument/2006/relationships/hyperlink" Target="https://www.nasdaq.com/press-release/aws-launches-region-in-the-united-arab-emirates-2022-08-30" TargetMode="External"/><Relationship Id="rId14" Type="http://schemas.openxmlformats.org/officeDocument/2006/relationships/hyperlink" Target="https://rulebook.centralbank.ae/en/rulebook/consumer-protection-standards" TargetMode="External"/><Relationship Id="rId22" Type="http://schemas.openxmlformats.org/officeDocument/2006/relationships/hyperlink" Target="https://www.wam.ae/en/article/175otv1-authorities-fujairah-respond-incident-targeting-du" TargetMode="External"/><Relationship Id="rId27" Type="http://schemas.openxmlformats.org/officeDocument/2006/relationships/hyperlink" Target="https://www.itu.int/harmful-interference-to-rnss/#102nd-rrb-meeting" TargetMode="External"/><Relationship Id="rId30" Type="http://schemas.openxmlformats.org/officeDocument/2006/relationships/hyperlink" Target="https://www.itu.int/dms_pub/itu-d/md/26/dm/cir/D26-DM-CIR-0027!!PDF-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C2219-30BF-4A78-B317-0AB4C4A9F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2967</Words>
  <Characters>16974</Characters>
  <Application>Microsoft Office Word</Application>
  <DocSecurity>0</DocSecurity>
  <Lines>269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Plenipotentiary Conference (PP-26)</dc:subject>
  <dc:creator>Russian</dc:creator>
  <cp:keywords>PP-26, PP26, ITU</cp:keywords>
  <dc:description/>
  <cp:lastModifiedBy>SV</cp:lastModifiedBy>
  <cp:revision>7</cp:revision>
  <dcterms:created xsi:type="dcterms:W3CDTF">2026-10-21T09:29:00Z</dcterms:created>
  <dcterms:modified xsi:type="dcterms:W3CDTF">2026-10-21T10:39:00Z</dcterms:modified>
  <cp:category>Conference document</cp:category>
</cp:coreProperties>
</file>