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A6F8F" w14:paraId="4484B0C5" w14:textId="77777777" w:rsidTr="00EC1877">
        <w:trPr>
          <w:cantSplit/>
          <w:jc w:val="center"/>
        </w:trPr>
        <w:tc>
          <w:tcPr>
            <w:tcW w:w="10031" w:type="dxa"/>
            <w:gridSpan w:val="2"/>
            <w:tcMar>
              <w:left w:w="0" w:type="dxa"/>
              <w:right w:w="0" w:type="dxa"/>
            </w:tcMar>
            <w:vAlign w:val="center"/>
          </w:tcPr>
          <w:p w14:paraId="7A1CF8E0" w14:textId="2E7CFD38" w:rsidR="00CE496F" w:rsidRPr="002712F9" w:rsidRDefault="00CE496F" w:rsidP="00CE496F">
            <w:pPr>
              <w:spacing w:before="0" w:line="240" w:lineRule="atLeast"/>
              <w:rPr>
                <w:rFonts w:cstheme="minorHAnsi"/>
                <w:lang w:val="fr-CH"/>
              </w:rPr>
            </w:pPr>
            <w:bookmarkStart w:id="0" w:name="ditulogo"/>
            <w:bookmarkEnd w:id="0"/>
            <w:r>
              <w:rPr>
                <w:rFonts w:cstheme="minorHAnsi"/>
                <w:noProof/>
                <w:lang w:val="fr-CH"/>
              </w:rPr>
              <w:drawing>
                <wp:anchor distT="0" distB="0" distL="0" distR="0" simplePos="0" relativeHeight="251658240" behindDoc="1" locked="0" layoutInCell="1" allowOverlap="1" wp14:anchorId="0C0B0A57" wp14:editId="14C36CDE">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F58F7" w14:paraId="3120A8D9" w14:textId="77777777" w:rsidTr="00BD5C12">
        <w:trPr>
          <w:cantSplit/>
          <w:jc w:val="center"/>
        </w:trPr>
        <w:tc>
          <w:tcPr>
            <w:tcW w:w="10031" w:type="dxa"/>
            <w:gridSpan w:val="2"/>
            <w:tcBorders>
              <w:bottom w:val="single" w:sz="12" w:space="0" w:color="71716F"/>
            </w:tcBorders>
          </w:tcPr>
          <w:p w14:paraId="57068B73" w14:textId="77777777" w:rsidR="002E1AF7" w:rsidRPr="002712F9" w:rsidRDefault="002E1AF7" w:rsidP="00CE496F">
            <w:pPr>
              <w:spacing w:before="0" w:line="240" w:lineRule="atLeast"/>
              <w:rPr>
                <w:rFonts w:cstheme="minorHAnsi"/>
                <w:b/>
                <w:smallCaps/>
                <w:szCs w:val="24"/>
                <w:lang w:val="fr-CH"/>
              </w:rPr>
            </w:pPr>
            <w:bookmarkStart w:id="1" w:name="dhead"/>
          </w:p>
        </w:tc>
      </w:tr>
      <w:tr w:rsidR="00BD1614" w:rsidRPr="002A6F8F" w14:paraId="20A2296F" w14:textId="77777777" w:rsidTr="00EC1877">
        <w:trPr>
          <w:cantSplit/>
          <w:jc w:val="center"/>
        </w:trPr>
        <w:tc>
          <w:tcPr>
            <w:tcW w:w="7229" w:type="dxa"/>
            <w:tcBorders>
              <w:top w:val="single" w:sz="12" w:space="0" w:color="71716F"/>
            </w:tcBorders>
          </w:tcPr>
          <w:p w14:paraId="4CFA6027" w14:textId="77777777" w:rsidR="00BD1614" w:rsidRPr="002712F9" w:rsidRDefault="00BD1614" w:rsidP="007A47E9">
            <w:pPr>
              <w:spacing w:before="0"/>
              <w:rPr>
                <w:rFonts w:cstheme="minorHAnsi"/>
                <w:b/>
                <w:smallCaps/>
                <w:szCs w:val="24"/>
                <w:lang w:val="fr-CH"/>
              </w:rPr>
            </w:pPr>
          </w:p>
        </w:tc>
        <w:tc>
          <w:tcPr>
            <w:tcW w:w="2802" w:type="dxa"/>
            <w:tcBorders>
              <w:top w:val="single" w:sz="12" w:space="0" w:color="71716F"/>
            </w:tcBorders>
            <w:tcMar>
              <w:left w:w="142" w:type="dxa"/>
              <w:right w:w="0" w:type="dxa"/>
            </w:tcMar>
          </w:tcPr>
          <w:p w14:paraId="3C479168" w14:textId="77777777" w:rsidR="00BD1614" w:rsidRPr="002712F9" w:rsidRDefault="00BD1614" w:rsidP="007A47E9">
            <w:pPr>
              <w:spacing w:before="0"/>
              <w:rPr>
                <w:rFonts w:cstheme="minorHAnsi"/>
                <w:szCs w:val="24"/>
                <w:lang w:val="fr-CH"/>
              </w:rPr>
            </w:pPr>
          </w:p>
        </w:tc>
      </w:tr>
      <w:tr w:rsidR="00BD1614" w:rsidRPr="00E82733" w14:paraId="5EBA9561" w14:textId="77777777" w:rsidTr="00CE496F">
        <w:trPr>
          <w:cantSplit/>
          <w:jc w:val="center"/>
        </w:trPr>
        <w:tc>
          <w:tcPr>
            <w:tcW w:w="7229" w:type="dxa"/>
          </w:tcPr>
          <w:p w14:paraId="081C5B53" w14:textId="208B41EF" w:rsidR="00BD1614" w:rsidRPr="00E82733" w:rsidRDefault="00801154" w:rsidP="00801154">
            <w:pPr>
              <w:pStyle w:val="Committee"/>
              <w:framePr w:hSpace="0" w:wrap="auto" w:hAnchor="text" w:yAlign="inline"/>
              <w:spacing w:after="0" w:line="240" w:lineRule="auto"/>
              <w:rPr>
                <w:lang w:val="fr-FR"/>
              </w:rPr>
            </w:pPr>
            <w:r w:rsidRPr="00E82733">
              <w:rPr>
                <w:lang w:val="fr-FR"/>
              </w:rPr>
              <w:t>SÉANCE PLÉNIÈRE</w:t>
            </w:r>
          </w:p>
        </w:tc>
        <w:tc>
          <w:tcPr>
            <w:tcW w:w="2802" w:type="dxa"/>
            <w:tcMar>
              <w:left w:w="142" w:type="dxa"/>
              <w:right w:w="0" w:type="dxa"/>
            </w:tcMar>
          </w:tcPr>
          <w:p w14:paraId="42E82404" w14:textId="3B4C31AD" w:rsidR="00BD1614" w:rsidRPr="00E82733" w:rsidRDefault="00801154" w:rsidP="007A47E9">
            <w:pPr>
              <w:spacing w:before="0"/>
              <w:rPr>
                <w:rFonts w:cstheme="minorHAnsi"/>
                <w:szCs w:val="24"/>
              </w:rPr>
            </w:pPr>
            <w:r w:rsidRPr="00E82733">
              <w:rPr>
                <w:rFonts w:cstheme="minorHAnsi"/>
                <w:b/>
                <w:szCs w:val="24"/>
              </w:rPr>
              <w:t xml:space="preserve">Document </w:t>
            </w:r>
            <w:r w:rsidR="00E82733" w:rsidRPr="00E82733">
              <w:rPr>
                <w:rFonts w:cstheme="minorHAnsi"/>
                <w:b/>
                <w:szCs w:val="24"/>
              </w:rPr>
              <w:t>70</w:t>
            </w:r>
            <w:r w:rsidRPr="00E82733">
              <w:rPr>
                <w:rFonts w:cstheme="minorHAnsi"/>
                <w:b/>
                <w:szCs w:val="24"/>
              </w:rPr>
              <w:t>-F</w:t>
            </w:r>
          </w:p>
        </w:tc>
      </w:tr>
      <w:tr w:rsidR="00BD1614" w:rsidRPr="00E82733" w14:paraId="5C605E2F" w14:textId="77777777" w:rsidTr="00CE496F">
        <w:trPr>
          <w:cantSplit/>
          <w:jc w:val="center"/>
        </w:trPr>
        <w:tc>
          <w:tcPr>
            <w:tcW w:w="7229" w:type="dxa"/>
          </w:tcPr>
          <w:p w14:paraId="3701819B" w14:textId="4343949C" w:rsidR="00BD1614" w:rsidRPr="00E82733" w:rsidRDefault="00BD1614" w:rsidP="007A47E9">
            <w:pPr>
              <w:spacing w:before="0"/>
              <w:rPr>
                <w:rFonts w:cstheme="minorHAnsi"/>
                <w:b/>
                <w:szCs w:val="24"/>
              </w:rPr>
            </w:pPr>
          </w:p>
        </w:tc>
        <w:tc>
          <w:tcPr>
            <w:tcW w:w="2802" w:type="dxa"/>
            <w:tcMar>
              <w:left w:w="142" w:type="dxa"/>
              <w:right w:w="0" w:type="dxa"/>
            </w:tcMar>
          </w:tcPr>
          <w:p w14:paraId="4FD5E934" w14:textId="1440A962" w:rsidR="00BD1614" w:rsidRPr="00E82733" w:rsidRDefault="00E82733" w:rsidP="007A47E9">
            <w:pPr>
              <w:spacing w:before="0"/>
              <w:rPr>
                <w:rFonts w:cstheme="minorHAnsi"/>
                <w:b/>
                <w:szCs w:val="24"/>
              </w:rPr>
            </w:pPr>
            <w:r w:rsidRPr="00E82733">
              <w:rPr>
                <w:rFonts w:cstheme="minorHAnsi"/>
                <w:b/>
                <w:szCs w:val="24"/>
              </w:rPr>
              <w:t>6 octobre 2026</w:t>
            </w:r>
          </w:p>
        </w:tc>
      </w:tr>
      <w:tr w:rsidR="00BD1614" w:rsidRPr="00E82733" w14:paraId="6B2B4BC1" w14:textId="77777777" w:rsidTr="00CE496F">
        <w:trPr>
          <w:cantSplit/>
          <w:jc w:val="center"/>
        </w:trPr>
        <w:tc>
          <w:tcPr>
            <w:tcW w:w="7229" w:type="dxa"/>
          </w:tcPr>
          <w:p w14:paraId="780A194C" w14:textId="77777777" w:rsidR="00BD1614" w:rsidRPr="00E82733" w:rsidRDefault="00BD1614" w:rsidP="007A47E9">
            <w:pPr>
              <w:spacing w:before="0"/>
              <w:rPr>
                <w:rFonts w:cstheme="minorHAnsi"/>
                <w:b/>
                <w:smallCaps/>
                <w:szCs w:val="24"/>
              </w:rPr>
            </w:pPr>
          </w:p>
        </w:tc>
        <w:tc>
          <w:tcPr>
            <w:tcW w:w="2802" w:type="dxa"/>
            <w:tcMar>
              <w:left w:w="142" w:type="dxa"/>
              <w:right w:w="0" w:type="dxa"/>
            </w:tcMar>
          </w:tcPr>
          <w:p w14:paraId="36796BDA" w14:textId="560E6019" w:rsidR="00BD1614" w:rsidRPr="00E82733" w:rsidRDefault="00801154" w:rsidP="007A47E9">
            <w:pPr>
              <w:spacing w:before="0"/>
              <w:rPr>
                <w:rFonts w:cstheme="minorHAnsi"/>
                <w:b/>
                <w:szCs w:val="24"/>
              </w:rPr>
            </w:pPr>
            <w:r w:rsidRPr="00E82733">
              <w:rPr>
                <w:rFonts w:cstheme="minorHAnsi"/>
                <w:b/>
                <w:szCs w:val="24"/>
              </w:rPr>
              <w:t>Original: anglais</w:t>
            </w:r>
          </w:p>
        </w:tc>
      </w:tr>
      <w:tr w:rsidR="00BD1614" w:rsidRPr="00E82733" w14:paraId="4259B884" w14:textId="77777777" w:rsidTr="002E1AF7">
        <w:trPr>
          <w:cantSplit/>
          <w:jc w:val="center"/>
        </w:trPr>
        <w:tc>
          <w:tcPr>
            <w:tcW w:w="10031" w:type="dxa"/>
            <w:gridSpan w:val="2"/>
          </w:tcPr>
          <w:p w14:paraId="770628D7" w14:textId="77777777" w:rsidR="00BD1614" w:rsidRPr="00E82733" w:rsidRDefault="00BD1614" w:rsidP="007A47E9">
            <w:pPr>
              <w:spacing w:before="0" w:line="240" w:lineRule="atLeast"/>
              <w:rPr>
                <w:rFonts w:cstheme="minorHAnsi"/>
                <w:b/>
                <w:szCs w:val="24"/>
              </w:rPr>
            </w:pPr>
          </w:p>
        </w:tc>
      </w:tr>
      <w:tr w:rsidR="00BD1614" w:rsidRPr="00E82733" w14:paraId="6A9FB924" w14:textId="77777777" w:rsidTr="002E1AF7">
        <w:trPr>
          <w:cantSplit/>
          <w:jc w:val="center"/>
        </w:trPr>
        <w:tc>
          <w:tcPr>
            <w:tcW w:w="10031" w:type="dxa"/>
            <w:gridSpan w:val="2"/>
          </w:tcPr>
          <w:p w14:paraId="070875E6" w14:textId="0ADC4A1B" w:rsidR="00BD1614" w:rsidRPr="00E82733" w:rsidRDefault="00E82733" w:rsidP="007A47E9">
            <w:pPr>
              <w:pStyle w:val="Source"/>
            </w:pPr>
            <w:bookmarkStart w:id="2" w:name="dsource" w:colFirst="0" w:colLast="0"/>
            <w:bookmarkEnd w:id="1"/>
            <w:r w:rsidRPr="00E82733">
              <w:t>Rapport de la Secrétaire générale</w:t>
            </w:r>
          </w:p>
        </w:tc>
      </w:tr>
      <w:tr w:rsidR="00BD1614" w:rsidRPr="00E82733" w14:paraId="534EEA05" w14:textId="77777777" w:rsidTr="002E1AF7">
        <w:trPr>
          <w:cantSplit/>
          <w:jc w:val="center"/>
        </w:trPr>
        <w:tc>
          <w:tcPr>
            <w:tcW w:w="10031" w:type="dxa"/>
            <w:gridSpan w:val="2"/>
          </w:tcPr>
          <w:p w14:paraId="0C8E89F3" w14:textId="6C1CBCDE" w:rsidR="00BD1614" w:rsidRPr="00E82733" w:rsidRDefault="00E82733" w:rsidP="007A47E9">
            <w:pPr>
              <w:pStyle w:val="Title1"/>
            </w:pPr>
            <w:bookmarkStart w:id="3" w:name="dtitle1" w:colFirst="0" w:colLast="0"/>
            <w:bookmarkEnd w:id="2"/>
            <w:r w:rsidRPr="00E82733">
              <w:t xml:space="preserve">RÉSOLUTION 1436 – ÉVALUATION DES DOMMAGES SUBIS PAR L'INFRASTRUCTURE ET LES SERVICES DE TÉLÉCOMMUNICATION/DES TECHNOLOGIES DE L'INFORMATION </w:t>
            </w:r>
            <w:r w:rsidR="00A82B2F">
              <w:br/>
            </w:r>
            <w:r w:rsidRPr="00E82733">
              <w:t xml:space="preserve">ET DES COMMUNICATIONS À BAHREÏN, AU KOWEÏT, </w:t>
            </w:r>
            <w:r w:rsidR="00A82B2F">
              <w:br/>
            </w:r>
            <w:r w:rsidRPr="00E82733">
              <w:t xml:space="preserve">AUX ÉMIRATS ARABES UNIS ET EN JORDANIE </w:t>
            </w:r>
            <w:r w:rsidR="00A82B2F">
              <w:br/>
            </w:r>
            <w:r w:rsidRPr="00E82733">
              <w:t>ET DE LEURS INCIDENCES</w:t>
            </w:r>
          </w:p>
        </w:tc>
      </w:tr>
      <w:tr w:rsidR="00BD1614" w:rsidRPr="00E82733" w14:paraId="37DA32CE" w14:textId="77777777" w:rsidTr="002E1AF7">
        <w:trPr>
          <w:cantSplit/>
          <w:jc w:val="center"/>
        </w:trPr>
        <w:tc>
          <w:tcPr>
            <w:tcW w:w="10031" w:type="dxa"/>
            <w:gridSpan w:val="2"/>
          </w:tcPr>
          <w:p w14:paraId="1574AB3E" w14:textId="21F1C68B" w:rsidR="00BD1614" w:rsidRPr="00E82733" w:rsidRDefault="002C28F7" w:rsidP="007A47E9">
            <w:pPr>
              <w:pStyle w:val="Title2"/>
            </w:pPr>
            <w:bookmarkStart w:id="4" w:name="dtitle2" w:colFirst="0" w:colLast="0"/>
            <w:bookmarkEnd w:id="3"/>
            <w:r w:rsidRPr="002C28F7">
              <w:t>RAPPORT INTÉRIMAIRE</w:t>
            </w:r>
          </w:p>
        </w:tc>
      </w:tr>
    </w:tbl>
    <w:p w14:paraId="3AF99AB3" w14:textId="77777777" w:rsidR="002C28F7" w:rsidRDefault="002C28F7"/>
    <w:tbl>
      <w:tblPr>
        <w:tblStyle w:val="TableGrid"/>
        <w:tblW w:w="0" w:type="auto"/>
        <w:jc w:val="center"/>
        <w:tblLayout w:type="fixed"/>
        <w:tblLook w:val="04A0" w:firstRow="1" w:lastRow="0" w:firstColumn="1" w:lastColumn="0" w:noHBand="0" w:noVBand="1"/>
      </w:tblPr>
      <w:tblGrid>
        <w:gridCol w:w="7937"/>
      </w:tblGrid>
      <w:tr w:rsidR="002C28F7" w:rsidRPr="00991D48" w14:paraId="4F772644" w14:textId="77777777" w:rsidTr="00991D48">
        <w:trPr>
          <w:trHeight w:val="3402"/>
          <w:jc w:val="center"/>
        </w:trPr>
        <w:tc>
          <w:tcPr>
            <w:tcW w:w="7937" w:type="dxa"/>
          </w:tcPr>
          <w:bookmarkEnd w:id="4"/>
          <w:p w14:paraId="17F0C5AA" w14:textId="77777777" w:rsidR="002C28F7" w:rsidRPr="002C28F7" w:rsidRDefault="002C28F7" w:rsidP="002C28F7">
            <w:pPr>
              <w:pStyle w:val="Headingb"/>
            </w:pPr>
            <w:r w:rsidRPr="002C28F7">
              <w:t>Résumé</w:t>
            </w:r>
          </w:p>
          <w:p w14:paraId="0ADBBA7E" w14:textId="77777777" w:rsidR="002C28F7" w:rsidRPr="00E77E94" w:rsidRDefault="002C28F7" w:rsidP="002C28F7">
            <w:r>
              <w:t>Conformément à la Résolution 1436 du Conseil, le présent document contient un rapport intérimaire sur les incidences des attaques subies par les infrastructures de télécommunication/des technologies de l'information et des communications à Bahreïn, au Koweït, aux Émirats arabes unis et en Jordanie, comprenant une évaluation des dommages. On y trouve une présentation des premières incidences, en particulier celles qui découlent des dommages causés aux centres de données de Bahreïn et des Émirats arabes unis. Ce rapport met en avant également le risque accru de vulnérabilité des câbles sous-marins et du réseau dorsal Internet qui relie les pays respectifs. Le même rapport est soumis à la séance finale de la session de 2026 du Conseil.</w:t>
            </w:r>
          </w:p>
          <w:p w14:paraId="2A8E1BF0" w14:textId="77777777" w:rsidR="002C28F7" w:rsidRPr="00E77E94" w:rsidRDefault="002C28F7" w:rsidP="002C28F7">
            <w:pPr>
              <w:pStyle w:val="Headingb"/>
            </w:pPr>
            <w:r>
              <w:t>Suite à donner</w:t>
            </w:r>
          </w:p>
          <w:p w14:paraId="28D28774" w14:textId="77777777" w:rsidR="002C28F7" w:rsidRPr="00E77E94" w:rsidRDefault="002C28F7" w:rsidP="002C28F7">
            <w:r>
              <w:t xml:space="preserve">La Conférence de plénipotentiaires est invitée à </w:t>
            </w:r>
            <w:r>
              <w:rPr>
                <w:b/>
                <w:bCs/>
              </w:rPr>
              <w:t xml:space="preserve">examiner </w:t>
            </w:r>
            <w:r>
              <w:t xml:space="preserve">le présent rapport et à </w:t>
            </w:r>
            <w:r>
              <w:rPr>
                <w:b/>
                <w:bCs/>
              </w:rPr>
              <w:t>convenir</w:t>
            </w:r>
            <w:r>
              <w:t xml:space="preserve"> de soumettre le rapport complet à la session de 2027 du Conseil.</w:t>
            </w:r>
            <w:bookmarkStart w:id="5" w:name="OLE_LINK1"/>
            <w:bookmarkEnd w:id="5"/>
          </w:p>
          <w:p w14:paraId="2FA328A3" w14:textId="77777777" w:rsidR="002C28F7" w:rsidRPr="00E77E94" w:rsidRDefault="002C28F7" w:rsidP="002C28F7">
            <w:pPr>
              <w:pStyle w:val="Headingb"/>
            </w:pPr>
            <w:r>
              <w:t>Incidences financières</w:t>
            </w:r>
          </w:p>
          <w:p w14:paraId="215AB13C" w14:textId="77777777" w:rsidR="002C28F7" w:rsidRPr="00E77E94" w:rsidRDefault="002C28F7" w:rsidP="002C28F7">
            <w:r>
              <w:t>Aucune incidence supplémentaire.</w:t>
            </w:r>
          </w:p>
          <w:p w14:paraId="2F4E113B" w14:textId="77777777" w:rsidR="002C28F7" w:rsidRPr="00370250" w:rsidRDefault="002C28F7" w:rsidP="00991D48">
            <w:pPr>
              <w:jc w:val="center"/>
            </w:pPr>
            <w:r>
              <w:rPr>
                <w:color w:val="000000"/>
              </w:rPr>
              <w:t>______________</w:t>
            </w:r>
          </w:p>
          <w:p w14:paraId="60F7D461" w14:textId="77777777" w:rsidR="002C28F7" w:rsidRPr="00370250" w:rsidRDefault="002C28F7" w:rsidP="002C28F7">
            <w:pPr>
              <w:pStyle w:val="Headingb"/>
            </w:pPr>
            <w:r>
              <w:t>Références</w:t>
            </w:r>
          </w:p>
          <w:p w14:paraId="1E9B862D" w14:textId="258693B3" w:rsidR="002C28F7" w:rsidRPr="008E2878" w:rsidRDefault="002C28F7" w:rsidP="008E2878">
            <w:pPr>
              <w:rPr>
                <w:i/>
                <w:szCs w:val="24"/>
              </w:rPr>
            </w:pPr>
            <w:r w:rsidRPr="008E2878">
              <w:rPr>
                <w:i/>
                <w:iCs/>
                <w:color w:val="000000"/>
                <w:szCs w:val="24"/>
              </w:rPr>
              <w:t xml:space="preserve">Résolution </w:t>
            </w:r>
            <w:hyperlink r:id="rId10" w:history="1">
              <w:r w:rsidRPr="008E2878">
                <w:rPr>
                  <w:rStyle w:val="Hyperlink"/>
                  <w:i/>
                  <w:szCs w:val="24"/>
                </w:rPr>
                <w:t>14</w:t>
              </w:r>
              <w:r w:rsidRPr="008E2878">
                <w:rPr>
                  <w:rStyle w:val="Hyperlink"/>
                  <w:i/>
                  <w:szCs w:val="24"/>
                </w:rPr>
                <w:t>3</w:t>
              </w:r>
              <w:r w:rsidRPr="008E2878">
                <w:rPr>
                  <w:rStyle w:val="Hyperlink"/>
                  <w:i/>
                  <w:szCs w:val="24"/>
                </w:rPr>
                <w:t>6</w:t>
              </w:r>
            </w:hyperlink>
            <w:r w:rsidRPr="008E2878">
              <w:rPr>
                <w:i/>
                <w:szCs w:val="24"/>
              </w:rPr>
              <w:t xml:space="preserve"> (C26)</w:t>
            </w:r>
            <w:r w:rsidRPr="008E2878">
              <w:rPr>
                <w:i/>
                <w:iCs/>
                <w:color w:val="000000"/>
                <w:szCs w:val="24"/>
              </w:rPr>
              <w:t xml:space="preserve"> du Conseil de l'UIT.</w:t>
            </w:r>
            <w:hyperlink r:id="rId11" w:history="1"/>
          </w:p>
        </w:tc>
      </w:tr>
    </w:tbl>
    <w:p w14:paraId="7AD6F79A" w14:textId="15EFE324" w:rsidR="000D15FB" w:rsidRPr="00E82733" w:rsidRDefault="002C28F7" w:rsidP="002C28F7">
      <w:r w:rsidRPr="00E77E94">
        <w:br w:type="page"/>
      </w:r>
    </w:p>
    <w:p w14:paraId="0F4BA123" w14:textId="491C81C8" w:rsidR="008E2878" w:rsidRPr="00E77E94" w:rsidRDefault="008E2878" w:rsidP="008E2878">
      <w:pPr>
        <w:pStyle w:val="Heading1"/>
      </w:pPr>
      <w:r>
        <w:lastRenderedPageBreak/>
        <w:t>1</w:t>
      </w:r>
      <w:r>
        <w:tab/>
        <w:t>Considérations générales</w:t>
      </w:r>
    </w:p>
    <w:p w14:paraId="63717808" w14:textId="7CA32B93" w:rsidR="008E2878" w:rsidRPr="00E77E94" w:rsidRDefault="008E2878" w:rsidP="004B27C2">
      <w:r>
        <w:t>À sa session de 2026, le Conseil de l'UIT a adopté la Résolution 1436 relative aux incidences des attaques subies par l'infrastructure civile des télécommunications/technologies de l'information et de la communication (TIC) à Bahreïn, au Koweït, aux Émirats arabes unis et en Jordanie, et à leurs incidences sur la connectivité régionale et mondiale</w:t>
      </w:r>
      <w:r w:rsidR="00C54264">
        <w:rPr>
          <w:rStyle w:val="FootnoteReference"/>
        </w:rPr>
        <w:footnoteReference w:id="1"/>
      </w:r>
      <w:r>
        <w:t>. En vertu de cette Résolution, les Directeurs</w:t>
      </w:r>
      <w:r w:rsidR="00657ED0">
        <w:t> </w:t>
      </w:r>
      <w:r>
        <w:t>des trois Bureaux sont chargés de suivre la situation concernant ces attaques contre les services et infrastructures de télécommunication de Bahreïn, au Koweït, des Émirats arabes unis et de la Jordanie et de présenter des rapports réguliers à ce sujet, et de procéder à une évaluation des incidences de ces attaques sur les services et l'infrastructure de télécommunication, y compris sur les programmes de l'UIT.</w:t>
      </w:r>
    </w:p>
    <w:p w14:paraId="13DFA8A4" w14:textId="72C7639D" w:rsidR="00657ED0" w:rsidRPr="00E77E94" w:rsidRDefault="008E2878" w:rsidP="00657ED0">
      <w:pPr>
        <w:rPr>
          <w:szCs w:val="24"/>
        </w:rPr>
      </w:pPr>
      <w:r>
        <w:rPr>
          <w:szCs w:val="24"/>
        </w:rPr>
        <w:t>Par conséquent, sur la base des instructions données dans la Résolution 1436, le présent rapport intérimaire vise à fournir une évaluation analytique portant sur:</w:t>
      </w:r>
    </w:p>
    <w:p w14:paraId="06555E45" w14:textId="46A0E422" w:rsidR="00657ED0" w:rsidRPr="00E77E94" w:rsidRDefault="00657ED0" w:rsidP="00657ED0">
      <w:pPr>
        <w:pStyle w:val="enumlev1"/>
      </w:pPr>
      <w:r>
        <w:t>•</w:t>
      </w:r>
      <w:r>
        <w:tab/>
        <w:t>les incidents recensés et l'inventaire des biens et des services de télécommunication/TIC touchés à Bahreïn, au Koweït, aux Émirats arabes unis et en Jordanie;</w:t>
      </w:r>
    </w:p>
    <w:p w14:paraId="5CD2A77B" w14:textId="7096F537" w:rsidR="008E2878" w:rsidRPr="00657ED0" w:rsidRDefault="00657ED0" w:rsidP="00657ED0">
      <w:pPr>
        <w:pStyle w:val="enumlev1"/>
      </w:pPr>
      <w:r>
        <w:t>•</w:t>
      </w:r>
      <w:r>
        <w:tab/>
        <w:t>l'évaluation des dommages et des incidences de ces attaques sur les services et infrastructures de télécommunication de Bahreïn, du Koweït, des Émirats arabes unis et de la Jordanie, y compris les conséquences au niveau mondial.</w:t>
      </w:r>
    </w:p>
    <w:p w14:paraId="1870123F" w14:textId="4AD45E6E" w:rsidR="008E2878" w:rsidRPr="00E77E94" w:rsidRDefault="008E2878" w:rsidP="004B27C2">
      <w:pPr>
        <w:rPr>
          <w:sz w:val="22"/>
          <w:szCs w:val="22"/>
        </w:rPr>
      </w:pPr>
      <w:r>
        <w:t>Le présent rapport intérimaire contient une présentation des résultats préliminaires fondés sur une analyse documentaire et un examen des informations et données accessibles au public. Il reste à collecter et à analyser davantage de données, y compris à partir de sources primaires, pour</w:t>
      </w:r>
      <w:r w:rsidR="004B27C2">
        <w:t xml:space="preserve"> </w:t>
      </w:r>
      <w:r>
        <w:t>achever le rapport dans sa version finale. Si le Conseil et/ou la Conférence de plénipotentiaires de l'UIT le</w:t>
      </w:r>
      <w:r w:rsidR="004B27C2">
        <w:t xml:space="preserve"> </w:t>
      </w:r>
      <w:r>
        <w:t>jugent opportun, le rapport final pourra être présenté à la session de 2027 du Conseil.</w:t>
      </w:r>
    </w:p>
    <w:p w14:paraId="1E78B855" w14:textId="77777777" w:rsidR="008E2878" w:rsidRPr="00E77E94" w:rsidRDefault="008E2878" w:rsidP="008E2878">
      <w:pPr>
        <w:pStyle w:val="Heading1"/>
      </w:pPr>
      <w:r>
        <w:t>2</w:t>
      </w:r>
      <w:r>
        <w:tab/>
        <w:t>Incidents, biens concernés et conséquences</w:t>
      </w:r>
    </w:p>
    <w:p w14:paraId="18444642" w14:textId="77777777" w:rsidR="008E2878" w:rsidRPr="00E77E94" w:rsidRDefault="008E2878" w:rsidP="008E2878">
      <w:r>
        <w:t>La présente section dresse la liste des incidents au cours desquels des attaques ont affecté des infrastructures de télécommunication et des TIC. L'examen d'informations accessibles au public a permis de recenser des incidents connexes survenus à Bahreïn et aux Émirats arabes unis. Ces incidents sont énumérés dans la présente section. À mesure que l'évaluation progresse et intègre des sources de données supplémentaires, en particulier issues de sources primaires, elle pourrait mettre en évidence d'autres incidences directes sur l'infrastructure des TIC et des télécommunications dans les quatre pays.</w:t>
      </w:r>
    </w:p>
    <w:p w14:paraId="0E48205B" w14:textId="77777777" w:rsidR="008E2878" w:rsidRPr="00E77E94" w:rsidRDefault="008E2878" w:rsidP="008E2878">
      <w:pPr>
        <w:pStyle w:val="Heading2"/>
      </w:pPr>
      <w:r>
        <w:lastRenderedPageBreak/>
        <w:t>2.1</w:t>
      </w:r>
      <w:r>
        <w:tab/>
        <w:t>Mars 2026 – Dommages causés aux centres de données d'Amazon Web Services aux Émirats arabes unis et à Bahreïn</w:t>
      </w:r>
    </w:p>
    <w:p w14:paraId="000DF664" w14:textId="5930CDF0" w:rsidR="008E2878" w:rsidRPr="00E77E94" w:rsidRDefault="008E2878" w:rsidP="008E2878">
      <w:pPr>
        <w:rPr>
          <w:rFonts w:cs="Calibri"/>
          <w:color w:val="0F141A"/>
        </w:rPr>
      </w:pPr>
      <w:r>
        <w:rPr>
          <w:rFonts w:cs="Calibri"/>
        </w:rPr>
        <w:t xml:space="preserve">Le 1er mars 2026, Amazon Web Services (AWS) signalait une dégradation des services dans deux de ses </w:t>
      </w:r>
      <w:r w:rsidR="00B063E7">
        <w:rPr>
          <w:rFonts w:cs="Calibri"/>
        </w:rPr>
        <w:t>r</w:t>
      </w:r>
      <w:r>
        <w:rPr>
          <w:rFonts w:cs="Calibri"/>
        </w:rPr>
        <w:t>égions</w:t>
      </w:r>
      <w:r w:rsidRPr="00AB6172">
        <w:rPr>
          <w:rStyle w:val="FootnoteReference"/>
          <w:rFonts w:cs="Calibri"/>
        </w:rPr>
        <w:footnoteReference w:id="2"/>
      </w:r>
      <w:r>
        <w:rPr>
          <w:rFonts w:cs="Calibri"/>
        </w:rPr>
        <w:t>, à savoir ME-CENTRAL-1 aux Émirats arabes unis et ME-SOUTH-1 à Bahreïn</w:t>
      </w:r>
      <w:r w:rsidR="00C54264">
        <w:rPr>
          <w:rStyle w:val="FootnoteReference"/>
          <w:rFonts w:cs="Calibri"/>
        </w:rPr>
        <w:footnoteReference w:id="3"/>
      </w:r>
      <w:r w:rsidRPr="008C2377">
        <w:rPr>
          <w:rFonts w:cs="Calibri"/>
          <w:color w:val="0F141A"/>
          <w:sz w:val="16"/>
          <w:szCs w:val="16"/>
        </w:rPr>
        <w:t xml:space="preserve"> </w:t>
      </w:r>
      <w:r w:rsidRPr="0022209E">
        <w:rPr>
          <w:rStyle w:val="FootnoteReference"/>
          <w:rFonts w:cs="Calibri"/>
          <w:color w:val="0F141A"/>
          <w:szCs w:val="16"/>
          <w:lang w:val="en-US"/>
        </w:rPr>
        <w:footnoteReference w:id="4"/>
      </w:r>
      <w:r w:rsidRPr="008C2377">
        <w:rPr>
          <w:rFonts w:cs="Calibri"/>
          <w:color w:val="0F141A"/>
        </w:rPr>
        <w:t>.</w:t>
      </w:r>
      <w:r>
        <w:rPr>
          <w:rFonts w:cs="Calibri"/>
        </w:rPr>
        <w:t xml:space="preserve"> Les premières annonces indiquaient que des problèmes d'alimentation électrique et de connectivité étaient de nature à dégrader les services dans une zone de disponibilité, dans chaque </w:t>
      </w:r>
      <w:r w:rsidR="00B063E7">
        <w:rPr>
          <w:rFonts w:cs="Calibri"/>
        </w:rPr>
        <w:t>r</w:t>
      </w:r>
      <w:r>
        <w:rPr>
          <w:rFonts w:cs="Calibri"/>
        </w:rPr>
        <w:t>égion. Les</w:t>
      </w:r>
      <w:r w:rsidR="00421573">
        <w:rPr>
          <w:rFonts w:cs="Calibri"/>
        </w:rPr>
        <w:t xml:space="preserve"> </w:t>
      </w:r>
      <w:r>
        <w:rPr>
          <w:rFonts w:cs="Calibri"/>
        </w:rPr>
        <w:t>mises à jour suivantes, publiées les 1er et 2 mars, ont continué de souligner que les services d'AWS étaient affectés par des problèmes liés à l'alimentation électrique et la connectivité, tout en indiquant que les équipes travaillaient à rétablir le service.</w:t>
      </w:r>
    </w:p>
    <w:p w14:paraId="32B1F7B3" w14:textId="571F355B" w:rsidR="008E2878" w:rsidRPr="00E77E94" w:rsidRDefault="008E2878" w:rsidP="008E2878">
      <w:pPr>
        <w:rPr>
          <w:rFonts w:cs="Calibri"/>
        </w:rPr>
      </w:pPr>
      <w:r>
        <w:rPr>
          <w:rFonts w:cs="Calibri"/>
          <w:color w:val="0F141A"/>
        </w:rPr>
        <w:t>Par la suite, aux premières heures du 3 mars 2026 (heure normale du Golfe, UTC+4), AWS a établi un lien entre les problèmes rencontrés par ses services et le conflit au Moyen-Orient, et clairement indiqué que les deux régions avaient été touchées par des drones. L'entreprise a conseillé à ses clients de "mettre en œuvre leurs plans de reprise après sinistre, de récupérer les sauvegardes à distance conservées dans d'autres régions et de mettre à jour leurs applications pour réorienter le trafic en le détournant des régions touchées"</w:t>
      </w:r>
      <w:r>
        <w:rPr>
          <w:rStyle w:val="FootnoteReference"/>
          <w:rFonts w:cs="Calibri"/>
          <w:lang w:val="en-US"/>
        </w:rPr>
        <w:footnoteReference w:id="5"/>
      </w:r>
      <w:r w:rsidRPr="00A96C94">
        <w:rPr>
          <w:rFonts w:cs="Calibri"/>
        </w:rPr>
        <w:t xml:space="preserve"> </w:t>
      </w:r>
      <w:r>
        <w:rPr>
          <w:rStyle w:val="FootnoteReference"/>
          <w:lang w:val="en-US"/>
        </w:rPr>
        <w:footnoteReference w:id="6"/>
      </w:r>
      <w:r w:rsidRPr="00A96C94">
        <w:rPr>
          <w:rFonts w:cs="Calibri"/>
        </w:rPr>
        <w:t>.</w:t>
      </w:r>
      <w:bookmarkStart w:id="6" w:name="_Ref241173034"/>
      <w:bookmarkStart w:id="7" w:name="_Ref241173387"/>
      <w:bookmarkEnd w:id="6"/>
      <w:bookmarkEnd w:id="7"/>
    </w:p>
    <w:p w14:paraId="70786FA8" w14:textId="415361E2" w:rsidR="008E2878" w:rsidRPr="00E77E94" w:rsidRDefault="008E2878" w:rsidP="008E2878">
      <w:r>
        <w:t xml:space="preserve">D'après le site web sur l'état de fonctionnement des services d'AWS, l'entreprise a initialement indiqué que les dommages étaient limités à deux des trois zones de disponibilité dans la </w:t>
      </w:r>
      <w:r w:rsidR="00B063E7">
        <w:t>r</w:t>
      </w:r>
      <w:r>
        <w:t xml:space="preserve">égion des Émirats arabes unis (ME-CENTRAL-1) et à l'une des trois zones de disponibilité dans la </w:t>
      </w:r>
      <w:r w:rsidR="00B063E7">
        <w:t>r</w:t>
      </w:r>
      <w:r>
        <w:t xml:space="preserve">égion de Bahreïn (ME-SOUTH-1). Par la suite, le 30 avril 2026, les informations actualisées fournies par AWS indiquaient que toutes les zones de disponibilité dans les deux </w:t>
      </w:r>
      <w:r w:rsidR="00B063E7">
        <w:t>r</w:t>
      </w:r>
      <w:r>
        <w:t xml:space="preserve">égions AWS avaient été affectées par la situation au Moyen-Orient et que le rétablissement dans les </w:t>
      </w:r>
      <w:r w:rsidR="00E12AAE">
        <w:t>r</w:t>
      </w:r>
      <w:r>
        <w:t>égions ME</w:t>
      </w:r>
      <w:r w:rsidR="005224E6">
        <w:noBreakHyphen/>
      </w:r>
      <w:r>
        <w:t>CENTRAL</w:t>
      </w:r>
      <w:r w:rsidR="005224E6">
        <w:noBreakHyphen/>
      </w:r>
      <w:r>
        <w:t xml:space="preserve">1 et </w:t>
      </w:r>
      <w:r>
        <w:lastRenderedPageBreak/>
        <w:t>ME</w:t>
      </w:r>
      <w:r w:rsidR="00B063E7">
        <w:noBreakHyphen/>
      </w:r>
      <w:r>
        <w:t xml:space="preserve">SOUTH-1 prendrait plusieurs mois. Le 15 septembre 2026, AWS a signalé que les données hébergées exclusivement dans la </w:t>
      </w:r>
      <w:r w:rsidR="00E12AAE">
        <w:t>r</w:t>
      </w:r>
      <w:r>
        <w:t xml:space="preserve">égion ME-SOUTH-1 (Bahreïn) n'avaient pas pu être restaurées, et qu'il en était de même pour l'une des trois zones de disponibilité de la </w:t>
      </w:r>
      <w:r w:rsidR="00E12AAE">
        <w:t>r</w:t>
      </w:r>
      <w:r>
        <w:t>égion</w:t>
      </w:r>
      <w:r w:rsidR="005224E6">
        <w:t> </w:t>
      </w:r>
      <w:r>
        <w:t xml:space="preserve">ME-CENTRAL-1 (Émirats arabes unis). L'entreprise a de nouveau recommandé à ses clients de rétablir leurs activités dans d'autres </w:t>
      </w:r>
      <w:r w:rsidR="00B063E7">
        <w:t>r</w:t>
      </w:r>
      <w:r>
        <w:t>égions.</w:t>
      </w:r>
    </w:p>
    <w:p w14:paraId="57608182" w14:textId="20E214B6" w:rsidR="008E2878" w:rsidRDefault="005E380B" w:rsidP="003D1AD1">
      <w:pPr>
        <w:spacing w:after="120"/>
      </w:pPr>
      <w:r>
        <w:rPr>
          <w:i/>
          <w:iCs/>
          <w:noProof/>
          <w:sz w:val="20"/>
        </w:rPr>
        <mc:AlternateContent>
          <mc:Choice Requires="wps">
            <w:drawing>
              <wp:anchor distT="0" distB="0" distL="114300" distR="114300" simplePos="0" relativeHeight="251670528" behindDoc="0" locked="0" layoutInCell="1" allowOverlap="1" wp14:anchorId="56E6A737" wp14:editId="213B2FD4">
                <wp:simplePos x="0" y="0"/>
                <wp:positionH relativeFrom="column">
                  <wp:posOffset>-2034</wp:posOffset>
                </wp:positionH>
                <wp:positionV relativeFrom="paragraph">
                  <wp:posOffset>1960599</wp:posOffset>
                </wp:positionV>
                <wp:extent cx="0" cy="549761"/>
                <wp:effectExtent l="0" t="0" r="38100" b="22225"/>
                <wp:wrapNone/>
                <wp:docPr id="9" name="Straight Connector 9"/>
                <wp:cNvGraphicFramePr/>
                <a:graphic xmlns:a="http://schemas.openxmlformats.org/drawingml/2006/main">
                  <a:graphicData uri="http://schemas.microsoft.com/office/word/2010/wordprocessingShape">
                    <wps:wsp>
                      <wps:cNvCnPr/>
                      <wps:spPr>
                        <a:xfrm>
                          <a:off x="0" y="0"/>
                          <a:ext cx="0" cy="549761"/>
                        </a:xfrm>
                        <a:prstGeom prst="line">
                          <a:avLst/>
                        </a:prstGeom>
                        <a:ln w="3175">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26CA50" id="Straight Connector 9"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154.4pt" to="-.15pt,1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" strokecolor="#bfbfbf [2412]" strokeweight=".25pt"/>
            </w:pict>
          </mc:Fallback>
        </mc:AlternateContent>
      </w:r>
      <w:r w:rsidR="008E2878">
        <w:t xml:space="preserve">Les données fournies par le site </w:t>
      </w:r>
      <w:proofErr w:type="spellStart"/>
      <w:r w:rsidR="008E2878">
        <w:t>Cloudflare</w:t>
      </w:r>
      <w:proofErr w:type="spellEnd"/>
      <w:r w:rsidR="008E2878">
        <w:t xml:space="preserve"> Radar montrent une baisse rapide du trafic dans les deux </w:t>
      </w:r>
      <w:r w:rsidR="00B063E7">
        <w:t>r</w:t>
      </w:r>
      <w:r w:rsidR="008E2878">
        <w:t xml:space="preserve">égions, ce qui peut refléter à la fois l'indisponibilité du service et la migration des charges de travail des clients vers d'autres </w:t>
      </w:r>
      <w:r w:rsidR="00B063E7">
        <w:t>r</w:t>
      </w:r>
      <w:r w:rsidR="008E2878">
        <w:t xml:space="preserve">égions. Comme le montre la Figure 1, le nombre de requêtes HTTP à destination d'adresses IP desservies depuis les </w:t>
      </w:r>
      <w:r w:rsidR="00E12AAE">
        <w:t>r</w:t>
      </w:r>
      <w:r w:rsidR="008E2878">
        <w:t>égions ME-CENTRAL-1</w:t>
      </w:r>
      <w:r w:rsidR="008E2878" w:rsidRPr="009424A4">
        <w:rPr>
          <w:rStyle w:val="FootnoteReference"/>
        </w:rPr>
        <w:footnoteReference w:id="7"/>
      </w:r>
      <w:r w:rsidR="008E2878">
        <w:t xml:space="preserve"> et ME-SOUTH-1</w:t>
      </w:r>
      <w:r w:rsidR="008E2878" w:rsidRPr="009424A4">
        <w:rPr>
          <w:rStyle w:val="FootnoteReference"/>
        </w:rPr>
        <w:footnoteReference w:id="8"/>
      </w:r>
      <w:r w:rsidR="008E2878">
        <w:t xml:space="preserve"> a considérablement diminué depuis le 2 mars 2026.</w:t>
      </w:r>
      <w:bookmarkStart w:id="8" w:name="_Ref242118353"/>
      <w:bookmarkStart w:id="9" w:name="_Ref242118362"/>
      <w:bookmarkEnd w:id="8"/>
      <w:bookmarkEnd w:id="9"/>
    </w:p>
    <w:p w14:paraId="5382F1BD" w14:textId="23F922DB" w:rsidR="00B063E7" w:rsidRPr="00E77E94" w:rsidRDefault="00B063E7" w:rsidP="00EA70BB">
      <w:pPr>
        <w:spacing w:after="120"/>
        <w:jc w:val="center"/>
      </w:pPr>
      <w:r w:rsidRPr="00B063E7">
        <w:drawing>
          <wp:inline distT="0" distB="0" distL="0" distR="0" wp14:anchorId="27BAF9A3" wp14:editId="1895DD4F">
            <wp:extent cx="6090916" cy="2259965"/>
            <wp:effectExtent l="0" t="0" r="5715" b="6985"/>
            <wp:docPr id="1015580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580949" name=""/>
                    <pic:cNvPicPr/>
                  </pic:nvPicPr>
                  <pic:blipFill rotWithShape="1">
                    <a:blip r:embed="rId12"/>
                    <a:srcRect l="549"/>
                    <a:stretch>
                      <a:fillRect/>
                    </a:stretch>
                  </pic:blipFill>
                  <pic:spPr bwMode="auto">
                    <a:xfrm>
                      <a:off x="0" y="0"/>
                      <a:ext cx="6090916" cy="2259965"/>
                    </a:xfrm>
                    <a:prstGeom prst="rect">
                      <a:avLst/>
                    </a:prstGeom>
                    <a:ln>
                      <a:noFill/>
                    </a:ln>
                    <a:extLst>
                      <a:ext uri="{53640926-AAD7-44D8-BBD7-CCE9431645EC}">
                        <a14:shadowObscured xmlns:a14="http://schemas.microsoft.com/office/drawing/2010/main"/>
                      </a:ext>
                    </a:extLst>
                  </pic:spPr>
                </pic:pic>
              </a:graphicData>
            </a:graphic>
          </wp:inline>
        </w:drawing>
      </w:r>
    </w:p>
    <w:p w14:paraId="7FE370F4" w14:textId="49208981" w:rsidR="008E2878" w:rsidRPr="0031698B" w:rsidRDefault="008E2878" w:rsidP="00EA70BB">
      <w:pPr>
        <w:pStyle w:val="Tablelegend"/>
      </w:pPr>
      <w:bookmarkStart w:id="10" w:name="_Ref240550321"/>
      <w:bookmarkStart w:id="11" w:name="_Ref240550240"/>
      <w:r w:rsidRPr="0031698B">
        <w:t xml:space="preserve">Figure 1 – Volume de </w:t>
      </w:r>
      <w:proofErr w:type="spellStart"/>
      <w:r w:rsidRPr="0031698B">
        <w:t>requêtes</w:t>
      </w:r>
      <w:proofErr w:type="spellEnd"/>
      <w:r w:rsidRPr="0031698B">
        <w:t xml:space="preserve"> HTTP à destination des </w:t>
      </w:r>
      <w:proofErr w:type="spellStart"/>
      <w:r w:rsidRPr="0031698B">
        <w:t>régions</w:t>
      </w:r>
      <w:proofErr w:type="spellEnd"/>
      <w:r w:rsidRPr="0031698B">
        <w:t xml:space="preserve"> ME-CENTRAL-1 (</w:t>
      </w:r>
      <w:proofErr w:type="spellStart"/>
      <w:r w:rsidRPr="0031698B">
        <w:t>Émirats</w:t>
      </w:r>
      <w:proofErr w:type="spellEnd"/>
      <w:r w:rsidRPr="0031698B">
        <w:t xml:space="preserve"> arabes unis) et ME</w:t>
      </w:r>
      <w:r w:rsidR="00AE3D60">
        <w:noBreakHyphen/>
      </w:r>
      <w:r w:rsidRPr="0031698B">
        <w:t>SOUTH-1 (Bahreïn) d'AWS Source: Cloudflare Radar 7 8.</w:t>
      </w:r>
      <w:bookmarkEnd w:id="10"/>
      <w:bookmarkEnd w:id="11"/>
    </w:p>
    <w:p w14:paraId="027A91E5" w14:textId="77777777" w:rsidR="008E2878" w:rsidRPr="00E77E94" w:rsidRDefault="008E2878" w:rsidP="00F42491">
      <w:pPr>
        <w:pStyle w:val="Heading2"/>
      </w:pPr>
      <w:r>
        <w:t>2.2</w:t>
      </w:r>
      <w:r>
        <w:tab/>
        <w:t>Importance des centres de données AWS aux Émirats arabes unis et à Bahreïn pour les services TIC publics et privés</w:t>
      </w:r>
    </w:p>
    <w:p w14:paraId="333BB69D" w14:textId="107FA3E4" w:rsidR="008E2878" w:rsidRPr="00E77E94" w:rsidRDefault="008E2878" w:rsidP="008E2878">
      <w:r>
        <w:t xml:space="preserve">Les deux </w:t>
      </w:r>
      <w:r w:rsidR="00E12AAE">
        <w:t>r</w:t>
      </w:r>
      <w:r>
        <w:t xml:space="preserve">égions AWS, à Bahreïn et aux Émirats arabes unis, représentent des infrastructures TIC essentielles tant pour ces deux pays que pour l'ensemble de la région. La </w:t>
      </w:r>
      <w:r w:rsidR="00E12AAE">
        <w:t>r</w:t>
      </w:r>
      <w:r>
        <w:t>égion</w:t>
      </w:r>
      <w:r w:rsidR="003D1AD1">
        <w:t> </w:t>
      </w:r>
      <w:r>
        <w:t>AWS</w:t>
      </w:r>
      <w:r w:rsidR="003D1AD1">
        <w:t> </w:t>
      </w:r>
      <w:r>
        <w:t>ME</w:t>
      </w:r>
      <w:r w:rsidR="003D1AD1">
        <w:noBreakHyphen/>
      </w:r>
      <w:r>
        <w:t>CENTRAL-1 (Émirats arabes unis), créée en 2022</w:t>
      </w:r>
      <w:r w:rsidRPr="00240419">
        <w:rPr>
          <w:rStyle w:val="FootnoteReference"/>
        </w:rPr>
        <w:footnoteReference w:id="9"/>
      </w:r>
      <w:r>
        <w:t xml:space="preserve">, et la </w:t>
      </w:r>
      <w:r w:rsidR="00E12AAE">
        <w:t>r</w:t>
      </w:r>
      <w:r>
        <w:t>égion ME-SOUTH-1 (Bahreïn), créée en 2019</w:t>
      </w:r>
      <w:r w:rsidRPr="00240419">
        <w:rPr>
          <w:rStyle w:val="FootnoteReference"/>
        </w:rPr>
        <w:footnoteReference w:id="10"/>
      </w:r>
      <w:r>
        <w:t xml:space="preserve">, sont les deux seules régions AWS dans la région du Golfe; à l'exception de la </w:t>
      </w:r>
      <w:r w:rsidR="00B063E7">
        <w:t>r</w:t>
      </w:r>
      <w:r>
        <w:t xml:space="preserve">égion AWS en Israël, il s'agit des seules </w:t>
      </w:r>
      <w:r w:rsidR="00B063E7">
        <w:t>r</w:t>
      </w:r>
      <w:r>
        <w:t>égions AWS actives dans tout le Moyen-Orient et l'Afrique du Nord.</w:t>
      </w:r>
    </w:p>
    <w:p w14:paraId="14D97643" w14:textId="0A346F71" w:rsidR="008E2878" w:rsidRPr="00E77E94" w:rsidRDefault="008E2878" w:rsidP="00964701">
      <w:pPr>
        <w:keepLines/>
      </w:pPr>
      <w:r>
        <w:lastRenderedPageBreak/>
        <w:t xml:space="preserve">AWS a indiqué que ses deux </w:t>
      </w:r>
      <w:r w:rsidR="00B063E7">
        <w:t>r</w:t>
      </w:r>
      <w:r>
        <w:t xml:space="preserve">égions situées à Bahreïn et aux Émirats arabes unis desservaient de nombreux clients privés dans chaque pays, mais aussi dans le reste du monde. AWS a également mis en avant l'avantage de disposer de trois zones de disponibilité pour assurer la continuité des activités, ainsi que la faible latence offerte par ces </w:t>
      </w:r>
      <w:r w:rsidR="00B063E7">
        <w:t>r</w:t>
      </w:r>
      <w:r>
        <w:t>égions en raison de leur proximité.</w:t>
      </w:r>
    </w:p>
    <w:p w14:paraId="759AAEEB" w14:textId="64F825BE" w:rsidR="008E2878" w:rsidRPr="00E77E94" w:rsidRDefault="008E2878" w:rsidP="008E2878">
      <w:r>
        <w:t xml:space="preserve">En outre, les centres de données déployés dans ces deux </w:t>
      </w:r>
      <w:r w:rsidR="00B063E7">
        <w:t>r</w:t>
      </w:r>
      <w:r>
        <w:t>égions AWS ont été considérés comme un élément fondamental des initiatives nationales de transformation numérique. Bahreïn, en particulier, a lancé en 2017 une stratégie intitulée "Cloud First"</w:t>
      </w:r>
      <w:r w:rsidRPr="00240419">
        <w:rPr>
          <w:rStyle w:val="FootnoteReference"/>
        </w:rPr>
        <w:footnoteReference w:id="11"/>
      </w:r>
      <w:r>
        <w:t>, selon laquelle l'informatique en nuage est un catalyseur essentiel de la transformation numérique et devrait être préférée à l'infrastructure locale. En conséquence, 85% de toutes les données des services publics ont été transférées vers AWS, en avril 2023</w:t>
      </w:r>
      <w:r w:rsidRPr="00240419">
        <w:rPr>
          <w:rStyle w:val="FootnoteReference"/>
        </w:rPr>
        <w:footnoteReference w:id="12"/>
      </w:r>
      <w:r>
        <w:t>. En 2025, le programme de transformation vers le nuage de Bahreïn indiquait que 72 entités publiques, représentant plus de 1 385 services publics et 570</w:t>
      </w:r>
      <w:r w:rsidR="003D1AD1">
        <w:t> </w:t>
      </w:r>
      <w:proofErr w:type="spellStart"/>
      <w:r>
        <w:t>cyberservices</w:t>
      </w:r>
      <w:proofErr w:type="spellEnd"/>
      <w:r>
        <w:t>, avaient migré vers le nuage.</w:t>
      </w:r>
    </w:p>
    <w:p w14:paraId="4A35719F" w14:textId="327D6A9C" w:rsidR="008E2878" w:rsidRPr="00E77E94" w:rsidRDefault="008E2878" w:rsidP="008E2878">
      <w:r>
        <w:t>En outre, les lois sur la souveraineté et la protection des données exigent que certains types de données soient conservés sur le territoire de chaque pays. Par exemple, conformément à la Loi</w:t>
      </w:r>
      <w:r w:rsidR="00AF179E">
        <w:t> </w:t>
      </w:r>
      <w:r>
        <w:t xml:space="preserve">fédérale </w:t>
      </w:r>
      <w:r w:rsidR="00C80136">
        <w:t>N</w:t>
      </w:r>
      <w:r>
        <w:t>°2 adoptée en 2019 par les Émirats arabes unis, il est interdit de stocker ou de traiter des données de santé en dehors du pays</w:t>
      </w:r>
      <w:r w:rsidRPr="0F3821D8">
        <w:rPr>
          <w:rStyle w:val="FootnoteReference"/>
        </w:rPr>
        <w:footnoteReference w:id="13"/>
      </w:r>
      <w:r>
        <w:t>. De même, la Banque centrale du pays exige des institutions financières agréées qu'elles garantissent que les données relatives aux consommateurs et aux transactions restent sur le territoire des Émirats arabes unis</w:t>
      </w:r>
      <w:r w:rsidRPr="0F3821D8">
        <w:rPr>
          <w:rStyle w:val="FootnoteReference"/>
        </w:rPr>
        <w:footnoteReference w:id="14"/>
      </w:r>
      <w:r>
        <w:t>.</w:t>
      </w:r>
    </w:p>
    <w:p w14:paraId="7F54AB29" w14:textId="716DABC9" w:rsidR="008E2878" w:rsidRPr="00E77E94" w:rsidRDefault="008E2878" w:rsidP="008E2878">
      <w:r>
        <w:t>Par conséquent, les centres de données hébergés à Bahreïn et aux Émirats arabes unis aident non seulement les organismes publics de ces deux pays à respecter les réglementations locales, mais permettent aussi à d'autres pays de la région de bénéficier de la proximité lorsque la réglementation le permet. Par exemple, lors d'un entretien avec AWS</w:t>
      </w:r>
      <w:r w:rsidRPr="4FE27435">
        <w:rPr>
          <w:rStyle w:val="FootnoteReference"/>
        </w:rPr>
        <w:footnoteReference w:id="15"/>
      </w:r>
      <w:r>
        <w:t>, le Chef du Secteur des technologies de l'information de l'Autorité de régulation des technologies de l'information et de la communication du Koweït (CITRA) a mis en avant les possibilités d'utiliser l'infrastructure en nuage publique avec une classification appropriée des données.</w:t>
      </w:r>
    </w:p>
    <w:p w14:paraId="6E375241" w14:textId="77777777" w:rsidR="008E2878" w:rsidRPr="00E77E94" w:rsidRDefault="008E2878" w:rsidP="00F42491">
      <w:pPr>
        <w:pStyle w:val="Heading2"/>
      </w:pPr>
      <w:r>
        <w:t>2.3</w:t>
      </w:r>
      <w:r>
        <w:tab/>
        <w:t>Incidences des attaques contre les centres de données AWS aux Émirats arabes unis et à Bahreïn</w:t>
      </w:r>
    </w:p>
    <w:p w14:paraId="5B5B8C4F" w14:textId="31BD88D6" w:rsidR="008E2878" w:rsidRPr="00E77E94" w:rsidRDefault="008E2878" w:rsidP="008E2878">
      <w:r>
        <w:t xml:space="preserve">Si l'évaluation détaillée des dégâts dus aux attaques contre les centres de données AWS à Bahreïn et aux Émirats arabes unis et de leurs incidences est prévue pour être menée au cours des prochaines étapes, les premières constatations indiquent des pertes importantes dans plusieurs </w:t>
      </w:r>
      <w:r>
        <w:lastRenderedPageBreak/>
        <w:t xml:space="preserve">catégories. La première catégorie de dégât concerne les interruptions ou l'indisponibilité des services numériques, qui ont commencé au moment des attaques et se sont poursuivies jusqu'à l'achèvement de la migration vers une nouvelle </w:t>
      </w:r>
      <w:r w:rsidR="00B063E7">
        <w:t>r</w:t>
      </w:r>
      <w:r>
        <w:t>égion AWS ou la mise en œuvre de plans de sauvegarde des activités. Par exemple, la Banque commerciale d'Abu Dhabi (ADCB) a indiqué qu'il a fallu 48 heures pour rétablir les services bancaires en ligne</w:t>
      </w:r>
      <w:r w:rsidRPr="0F3821D8">
        <w:rPr>
          <w:rStyle w:val="FootnoteReference"/>
        </w:rPr>
        <w:footnoteReference w:id="16"/>
      </w:r>
      <w:r>
        <w:t>.</w:t>
      </w:r>
    </w:p>
    <w:p w14:paraId="6222A6E9" w14:textId="14A03A11" w:rsidR="008E2878" w:rsidRPr="00E77E94" w:rsidRDefault="008E2878" w:rsidP="008E2878">
      <w:r>
        <w:t xml:space="preserve">La deuxième catégorie de dégât découle des coûts supplémentaires liés à la migration et à l'exploitation de services numériques dans différentes </w:t>
      </w:r>
      <w:r w:rsidR="00B063E7">
        <w:t>r</w:t>
      </w:r>
      <w:r>
        <w:t>égions et chez différents fournisseurs de services en nuage, y compris par les plans de continuité des activités d'urgence, par exemple la sauvegarde des données dans différents sites</w:t>
      </w:r>
      <w:r w:rsidRPr="0F3821D8">
        <w:rPr>
          <w:rStyle w:val="FootnoteReference"/>
        </w:rPr>
        <w:footnoteReference w:id="17"/>
      </w:r>
      <w:r>
        <w:t>.</w:t>
      </w:r>
    </w:p>
    <w:p w14:paraId="666A2E48" w14:textId="79079E8A" w:rsidR="008E2878" w:rsidRPr="00E77E94" w:rsidRDefault="008E2878" w:rsidP="008E2878">
      <w:r>
        <w:t>La troisième catégorie de dégât concerne l'ambition à long terme du Moyen-Orient de servir de pôle pour l'IA et les infrastructures numériques.</w:t>
      </w:r>
      <w:r w:rsidRPr="00240419">
        <w:rPr>
          <w:rStyle w:val="FootnoteReference"/>
        </w:rPr>
        <w:footnoteReference w:id="18"/>
      </w:r>
      <w:r>
        <w:t xml:space="preserve"> L'indisponibilité ultérieure de la </w:t>
      </w:r>
      <w:r w:rsidR="00B063E7">
        <w:t>r</w:t>
      </w:r>
      <w:r>
        <w:t>égion</w:t>
      </w:r>
      <w:r w:rsidR="00026CB5">
        <w:t> </w:t>
      </w:r>
      <w:r>
        <w:t>ME</w:t>
      </w:r>
      <w:r w:rsidR="00026CB5">
        <w:noBreakHyphen/>
      </w:r>
      <w:r>
        <w:t>SOUTH-1 et la confirmation par AWS du fait que les données hébergées exclusivement dans cette région ne pouvaient pas être récupérées</w:t>
      </w:r>
      <w:r w:rsidRPr="00240419">
        <w:rPr>
          <w:rStyle w:val="FootnoteReference"/>
        </w:rPr>
        <w:footnoteReference w:id="19"/>
      </w:r>
      <w:r>
        <w:t xml:space="preserve"> semblent sans précédent dans un conflit armé.</w:t>
      </w:r>
    </w:p>
    <w:p w14:paraId="127E60BE" w14:textId="77777777" w:rsidR="008E2878" w:rsidRPr="00E77E94" w:rsidRDefault="008E2878" w:rsidP="008E2878">
      <w:r>
        <w:t>Comme le note le Baker Institute for Public Policy de l'Université Rice</w:t>
      </w:r>
      <w:r w:rsidRPr="00D2007B">
        <w:rPr>
          <w:rStyle w:val="FootnoteReference"/>
        </w:rPr>
        <w:footnoteReference w:id="20"/>
      </w:r>
      <w:r>
        <w:t>, les conséquences de telles attaques vont au-delà des dommages financiers et se répercutent sur la confiance des investisseurs dans la construction et l'exploitation de centres de données dans la région. Toutefois, étant donné que le conflit se poursuit, les incidences complètes sur la confiance et l'image à long terme de la région restent floues.</w:t>
      </w:r>
    </w:p>
    <w:p w14:paraId="155211AC" w14:textId="77777777" w:rsidR="008E2878" w:rsidRPr="00E77E94" w:rsidRDefault="008E2878" w:rsidP="00F42491">
      <w:pPr>
        <w:pStyle w:val="Heading2"/>
      </w:pPr>
      <w:r>
        <w:lastRenderedPageBreak/>
        <w:t>2.4</w:t>
      </w:r>
      <w:r>
        <w:tab/>
        <w:t>Mars-avril 2026 – Attaques contre les fournisseurs de services de télécommunication</w:t>
      </w:r>
    </w:p>
    <w:p w14:paraId="087CB341" w14:textId="1A69547D" w:rsidR="008E2878" w:rsidRPr="00E77E94" w:rsidRDefault="008E2878" w:rsidP="00E875D4">
      <w:pPr>
        <w:keepLines/>
      </w:pPr>
      <w:r>
        <w:t>Selon les médias, plusieurs attaques ont été menées contre des fournisseurs de services de télécommunication dans la région, par exemple contre un bureau de Thuraya Telecom</w:t>
      </w:r>
      <w:r w:rsidRPr="00240419">
        <w:rPr>
          <w:rStyle w:val="FootnoteReference"/>
        </w:rPr>
        <w:footnoteReference w:id="21"/>
      </w:r>
      <w:r>
        <w:t xml:space="preserve"> et un bâtiment de la société de télécommunication "du"</w:t>
      </w:r>
      <w:r w:rsidRPr="00240419">
        <w:rPr>
          <w:rStyle w:val="FootnoteReference"/>
        </w:rPr>
        <w:footnoteReference w:id="22"/>
      </w:r>
      <w:r>
        <w:t>. Étant donné que le présent rapport intérimaire s'appuie sur une méthode de recherche documentaire et qu'en raison du manque d'informations détaillées accessibles au public qui peuvent être utilisés pour confirmer les attaques et les dommages causés, une recherche de données et de preuves complémentaire sera menée lors des prochaines étapes du présent travail, afin d'examiner les comptes rendus parus dans les médias et d'évaluer les dommages subis, ainsi que toute autre attaque qui aurait pu être rapportée par les agences de presse.</w:t>
      </w:r>
    </w:p>
    <w:p w14:paraId="32F567D5" w14:textId="77777777" w:rsidR="008E2878" w:rsidRPr="00E77E94" w:rsidRDefault="008E2878" w:rsidP="00F42491">
      <w:pPr>
        <w:pStyle w:val="Heading1"/>
      </w:pPr>
      <w:r>
        <w:t>3</w:t>
      </w:r>
      <w:r>
        <w:tab/>
        <w:t>Brouillages causés au système mondial de navigation par satellite (GNSS)</w:t>
      </w:r>
    </w:p>
    <w:p w14:paraId="0B9D1818" w14:textId="6760A303" w:rsidR="008E2878" w:rsidRPr="00E77E94" w:rsidRDefault="008E2878" w:rsidP="008E2878">
      <w:r>
        <w:t>Ces dernières années, les brouillages préjudiciables causés au service de radionavigation par satellite (SRNS), sur lequel reposent les systèmes mondiaux de navigation par satellite (GNSS), sont devenus une préoccupation croissante pour le Comité du Règlement des radiocommunications (RRB).</w:t>
      </w:r>
    </w:p>
    <w:p w14:paraId="24B20FA9" w14:textId="77777777" w:rsidR="008E2878" w:rsidRPr="00E77E94" w:rsidRDefault="008E2878" w:rsidP="008E2878">
      <w:r>
        <w:t>En 2024, le RRB a constaté une nette augmentation du nombre de rapports de brouillages préjudiciables affectant les récepteurs GNSS dans plusieurs régions. Les incidents signalés ne se limitaient pas à des perturbations isolées; ils ont touché de plus en plus fréquemment les applications essentielles de navigation et de synchronisation servant à l'aviation civile, aux opérations maritimes et aux télécommunications. Le RRB a exprimé à plusieurs reprises sa préoccupation quant à l'utilisation de techniques de brouillage intentionnel et d'usurpation, notant que ces pratiques pourraient compromettre le fonctionnement sûr et efficace d'infrastructures essentielles et de services liés à la sécurité de la vie humaine.</w:t>
      </w:r>
    </w:p>
    <w:p w14:paraId="5E0F900C" w14:textId="77777777" w:rsidR="008E2878" w:rsidRPr="00E77E94" w:rsidRDefault="008E2878" w:rsidP="008E2878">
      <w:r>
        <w:t>Au Moyen-Orient, des administrations ont signalé des brouillages causés aux récepteurs du GNSS utilisés pour les applications de navigation et de sécurité. Le RRB a encouragé les administrations concernées à enquêter sur chaque cas, à coopérer directement et à prendre des mesures immédiates pour éliminer les brouillages préjudiciables. À l'issue d'une série de discussions et de mesures coordonnées facilitées par le Bureau, les administrations concernées ont fait preuve de volonté de coopérer et, fin 2025, le RRB a constaté des progrès positifs dans le traitement de plusieurs des cas signalés.</w:t>
      </w:r>
    </w:p>
    <w:p w14:paraId="16160B68" w14:textId="7673CDA2" w:rsidR="008E2878" w:rsidRPr="00E77E94" w:rsidRDefault="008E2878" w:rsidP="008E2878">
      <w:r>
        <w:t xml:space="preserve">Par ailleurs, des évaluations et des rapports mis à la disposition du public par le secteur ont mis en évidence une augmentation significative des perturbations affectant les signaux GNSS dans la région du Golfe. La région connaissait déjà des niveaux élevés de brouillages du système GNSS avant le conflit. Par exemple, dans une enquête menée en 2025 par l'Institut royal de la navigation britannique, plus de 80% des marins ayant opéré dans la région du Golfe ou le détroit d'Ormuz ont </w:t>
      </w:r>
      <w:r>
        <w:lastRenderedPageBreak/>
        <w:t>déclaré avoir subi des brouillages de leur système GNSS</w:t>
      </w:r>
      <w:r>
        <w:rPr>
          <w:rStyle w:val="FootnoteReference"/>
        </w:rPr>
        <w:footnoteReference w:id="23"/>
      </w:r>
      <w:r>
        <w:t>. De même, l'Association internationale du transport aérien (IATA) a recensé des niveaux accrus de brouillages radioélectriques causés aux systèmes GNSS dans et autour de la région du Golfe dans son évaluation des risques pour la sécurité en 2025</w:t>
      </w:r>
      <w:r w:rsidRPr="00240419">
        <w:rPr>
          <w:rStyle w:val="FootnoteReference"/>
        </w:rPr>
        <w:footnoteReference w:id="24"/>
      </w:r>
      <w:bookmarkStart w:id="13" w:name="_Ref241576694"/>
      <w:bookmarkEnd w:id="13"/>
      <w:r>
        <w:t>.</w:t>
      </w:r>
    </w:p>
    <w:p w14:paraId="66C04F99" w14:textId="150A86DC" w:rsidR="008E2878" w:rsidRPr="00E77E94" w:rsidRDefault="008E2878" w:rsidP="008E2878">
      <w:r>
        <w:t>Les données de surveillance disponibles indiquent que les brouillages ont encore augmenté en 2026. Les données de surveillance dans le secteur commercial indiquent que la concentration la plus élevée d'événements de brouillage du GNSS maritime a été enregistrée au premier trimestre de 2026, 98% des incidents s'étant produits dans la région du Golfe.</w:t>
      </w:r>
      <w:r w:rsidRPr="0F3821D8">
        <w:rPr>
          <w:rStyle w:val="FootnoteReference"/>
        </w:rPr>
        <w:footnoteReference w:id="25"/>
      </w:r>
      <w:r>
        <w:t xml:space="preserve"> Les médias ont également fait état de perturbations affectant les systèmes de navigation du GNSS, en particulier les récepteurs du système mondial de localisation (GPS), utilisés dans le domaine maritime, terrestre et aéronautique</w:t>
      </w:r>
      <w:r w:rsidRPr="00240419">
        <w:rPr>
          <w:rStyle w:val="FootnoteReference"/>
        </w:rPr>
        <w:footnoteReference w:id="26"/>
      </w:r>
      <w:r>
        <w:t>.</w:t>
      </w:r>
    </w:p>
    <w:p w14:paraId="7ABA90F9" w14:textId="4FE46190" w:rsidR="008E2878" w:rsidRPr="00E77E94" w:rsidRDefault="008E2878" w:rsidP="008E2878">
      <w:pPr>
        <w:rPr>
          <w:szCs w:val="24"/>
        </w:rPr>
      </w:pPr>
      <w:r>
        <w:t>Les perturbations signalées ont affecté les services de positionnement, de navigation et de référence horaire utilisés en mer, sur Terre et dans les airs. L'augmentation des niveaux de brouillage peut accroître les risques opérationnels pour les secteurs qui dépendent de signaux GNSS précis et fiables, notamment les réseaux de transport et de télécommunication</w:t>
      </w:r>
      <w:r w:rsidRPr="00240419">
        <w:rPr>
          <w:rStyle w:val="FootnoteReference"/>
          <w:szCs w:val="16"/>
        </w:rPr>
        <w:footnoteReference w:id="27"/>
      </w:r>
      <w:r>
        <w:t>.</w:t>
      </w:r>
    </w:p>
    <w:p w14:paraId="62588BFA" w14:textId="3F1315A4" w:rsidR="008E2878" w:rsidRPr="00E77E94" w:rsidRDefault="008E2878" w:rsidP="00F42491">
      <w:pPr>
        <w:pStyle w:val="Heading2"/>
      </w:pPr>
      <w:r>
        <w:t>3.1</w:t>
      </w:r>
      <w:r>
        <w:tab/>
        <w:t>Efforts déployés par l'UIT pour remédier aux brouillages croissants causés aux systèmes mondiaux de navigation par satellite (GNSS)</w:t>
      </w:r>
    </w:p>
    <w:p w14:paraId="79FEE8D5" w14:textId="77777777" w:rsidR="008E2878" w:rsidRPr="00E77E94" w:rsidRDefault="008E2878" w:rsidP="008E2878">
      <w:r>
        <w:t>Conscient de l'ampleur croissante et de la portée internationale du problème, le RRB a demandé au Bureau de mettre en ligne une page web publique contenant des informations sur les cas signalés, les dispositions réglementaires applicables et les décisions du RRB</w:t>
      </w:r>
      <w:r w:rsidRPr="00D2007B">
        <w:rPr>
          <w:rStyle w:val="FootnoteReference"/>
          <w:szCs w:val="16"/>
        </w:rPr>
        <w:footnoteReference w:id="28"/>
      </w:r>
      <w:r>
        <w:t>. Le RRB a également approuvé la poursuite des efforts de signalement et de coordination et a souligné que les brouillages préjudiciables causés aux signaux GNSS présentaient des risques non seulement pour les systèmes de radiocommunication nationaux, mais aussi pour le transport, la navigation et la sécurité à l'échelle internationale.</w:t>
      </w:r>
    </w:p>
    <w:p w14:paraId="43372C9D" w14:textId="77777777" w:rsidR="008E2878" w:rsidRPr="00E77E94" w:rsidRDefault="008E2878" w:rsidP="008E2878">
      <w:r>
        <w:lastRenderedPageBreak/>
        <w:t>En 2026, le RRB a continué de recevoir des rapports faisant état de brouillages et d'usurpations d'identité sur le système GNSS. Bien que des signes d'amélioration aient été observés concernant certains cas grâce au dialogue et à des mesures opérationnelles, le RRB a indiqué en conclusion que les brouillages préjudiciables causés au SRNS restaient une question importante et non résolue, pour laquelle une coopération internationale continuait d'être nécessaire. Tout au long de ses délibérations, le RRB a toujours insisté sur le fait que les administrations devaient collaborer pour enquêter sur les incidents, résoudre rapidement les cas de brouillages préjudiciables et préserver l'intégrité des systèmes de navigation par satellite servant aux applications essentielles de navigation, de référence horaire et de sécurité.</w:t>
      </w:r>
    </w:p>
    <w:p w14:paraId="36B758FB" w14:textId="1B6F22CE" w:rsidR="008E2878" w:rsidRPr="00E77E94" w:rsidRDefault="008E2878" w:rsidP="00F42491">
      <w:pPr>
        <w:pStyle w:val="Heading1"/>
      </w:pPr>
      <w:r>
        <w:t>4</w:t>
      </w:r>
      <w:r>
        <w:tab/>
      </w:r>
      <w:r w:rsidRPr="00760D5B">
        <w:t>Risques pour les câbles sous-marins et le réseau dorsal Internet</w:t>
      </w:r>
    </w:p>
    <w:p w14:paraId="32DD55C6" w14:textId="59C3BCDC" w:rsidR="008E2878" w:rsidRPr="00E77E94" w:rsidRDefault="008E2878" w:rsidP="008E2878">
      <w:r>
        <w:rPr>
          <w:rFonts w:cs="Calibri"/>
        </w:rPr>
        <w:t>La contribution conjointe soumise au Conseil à sa session de 2026 par Bahreïn, le Koweït, les Émirats arabes unis et la Jordanie, devenue la Résolution 1436, fait état de frappes directes contre une station d'atterrissement d'un câble sous-marin aux Émirats arabes unis survenues les 31 mars et 6 avril 2026. Les conséquences de ces attaques seront évaluées au cours des prochaines étapes d'élaboration du présent rapport, mais il est crucial de sensibiliser la région à ces risques et d'assurer la protection du réseau dorsal Internet dans la région.</w:t>
      </w:r>
    </w:p>
    <w:p w14:paraId="7030566F" w14:textId="6499D7D9" w:rsidR="008E2878" w:rsidRPr="00E77E94" w:rsidRDefault="008E2878" w:rsidP="008E2878">
      <w:r>
        <w:t>Les évaluations menées par le secteur</w:t>
      </w:r>
      <w:bookmarkStart w:id="14" w:name="_Ref242719535"/>
      <w:r>
        <w:rPr>
          <w:rStyle w:val="FootnoteReference"/>
        </w:rPr>
        <w:footnoteReference w:id="29"/>
      </w:r>
      <w:bookmarkEnd w:id="14"/>
      <w:r>
        <w:t xml:space="preserve"> indiquent que, bien que des routes terrestres existent dans la région du Golfe, les câbles sous-marins représentent la principale source de connectivité internationale pour les États du Golfe.</w:t>
      </w:r>
      <w:bookmarkStart w:id="15" w:name="_Ref241173948"/>
      <w:bookmarkEnd w:id="15"/>
    </w:p>
    <w:p w14:paraId="0970C16F" w14:textId="2F406C1F" w:rsidR="008E2878" w:rsidRPr="00E77E94" w:rsidRDefault="008E2878" w:rsidP="008E2878">
      <w:r>
        <w:rPr>
          <w:rFonts w:asciiTheme="minorHAnsi" w:hAnsiTheme="minorHAnsi" w:cstheme="minorHAnsi"/>
        </w:rPr>
        <w:t xml:space="preserve">Comme le note </w:t>
      </w:r>
      <w:proofErr w:type="spellStart"/>
      <w:r>
        <w:rPr>
          <w:rFonts w:asciiTheme="minorHAnsi" w:hAnsiTheme="minorHAnsi" w:cstheme="minorHAnsi"/>
        </w:rPr>
        <w:t>TeleGeography</w:t>
      </w:r>
      <w:proofErr w:type="spellEnd"/>
      <w:r w:rsidRPr="00281C69">
        <w:rPr>
          <w:rFonts w:asciiTheme="minorHAnsi" w:hAnsiTheme="minorHAnsi" w:cstheme="minorHAnsi"/>
          <w:vertAlign w:val="superscript"/>
        </w:rPr>
        <w:fldChar w:fldCharType="begin"/>
      </w:r>
      <w:r w:rsidRPr="003E7DE0">
        <w:rPr>
          <w:rFonts w:asciiTheme="minorHAnsi" w:hAnsiTheme="minorHAnsi" w:cstheme="minorHAnsi"/>
          <w:vertAlign w:val="superscript"/>
        </w:rPr>
        <w:instrText xml:space="preserve"> NOTEREF _Ref242118896 \h  \* MERGEFORMAT </w:instrText>
      </w:r>
      <w:r w:rsidRPr="00281C69">
        <w:rPr>
          <w:rFonts w:asciiTheme="minorHAnsi" w:hAnsiTheme="minorHAnsi" w:cstheme="minorHAnsi"/>
          <w:vertAlign w:val="superscript"/>
        </w:rPr>
      </w:r>
      <w:r w:rsidRPr="00281C69">
        <w:rPr>
          <w:rFonts w:asciiTheme="minorHAnsi" w:hAnsiTheme="minorHAnsi" w:cstheme="minorHAnsi"/>
          <w:vertAlign w:val="superscript"/>
        </w:rPr>
        <w:fldChar w:fldCharType="separate"/>
      </w:r>
      <w:r>
        <w:rPr>
          <w:rFonts w:asciiTheme="minorHAnsi" w:hAnsiTheme="minorHAnsi" w:cstheme="minorHAnsi"/>
          <w:vertAlign w:val="superscript"/>
        </w:rPr>
        <w:fldChar w:fldCharType="begin"/>
      </w:r>
      <w:r w:rsidRPr="003E7DE0">
        <w:rPr>
          <w:rFonts w:asciiTheme="minorHAnsi" w:hAnsiTheme="minorHAnsi" w:cstheme="minorHAnsi"/>
          <w:vertAlign w:val="superscript"/>
        </w:rPr>
        <w:instrText xml:space="preserve"> NOTEREF _Ref242719535 \h </w:instrText>
      </w:r>
      <w:r>
        <w:rPr>
          <w:rFonts w:asciiTheme="minorHAnsi" w:hAnsiTheme="minorHAnsi" w:cstheme="minorHAnsi"/>
          <w:vertAlign w:val="superscript"/>
        </w:rPr>
        <w:instrText xml:space="preserve"> \* MERGEFORMAT </w:instrText>
      </w:r>
      <w:r>
        <w:rPr>
          <w:rFonts w:asciiTheme="minorHAnsi" w:hAnsiTheme="minorHAnsi" w:cstheme="minorHAnsi"/>
          <w:vertAlign w:val="superscript"/>
        </w:rPr>
      </w:r>
      <w:r>
        <w:rPr>
          <w:rFonts w:asciiTheme="minorHAnsi" w:hAnsiTheme="minorHAnsi" w:cstheme="minorHAnsi"/>
          <w:vertAlign w:val="superscript"/>
        </w:rPr>
        <w:fldChar w:fldCharType="separate"/>
      </w:r>
      <w:r w:rsidRPr="003E7DE0">
        <w:rPr>
          <w:rFonts w:asciiTheme="minorHAnsi" w:hAnsiTheme="minorHAnsi" w:cstheme="minorHAnsi"/>
          <w:vertAlign w:val="superscript"/>
        </w:rPr>
        <w:t>29</w:t>
      </w:r>
      <w:r>
        <w:rPr>
          <w:rFonts w:asciiTheme="minorHAnsi" w:hAnsiTheme="minorHAnsi" w:cstheme="minorHAnsi"/>
          <w:vertAlign w:val="superscript"/>
        </w:rPr>
        <w:fldChar w:fldCharType="end"/>
      </w:r>
      <w:r w:rsidRPr="00281C69">
        <w:rPr>
          <w:rFonts w:asciiTheme="minorHAnsi" w:hAnsiTheme="minorHAnsi" w:cstheme="minorHAnsi"/>
          <w:vertAlign w:val="superscript"/>
        </w:rPr>
        <w:fldChar w:fldCharType="end"/>
      </w:r>
      <w:r>
        <w:rPr>
          <w:rFonts w:asciiTheme="minorHAnsi" w:hAnsiTheme="minorHAnsi" w:cstheme="minorHAnsi"/>
        </w:rPr>
        <w:t>, "la capacité des réseaux terrestres peut ne pas être suffisante pour traiter le réacheminement complet du trafic si les systèmes sous-marins du Golfe sont endommagés. Les réseaux terrestres ne remplacent pas parfaitement les systèmes sous-marins et ne sont pas à l'abri des dommages dus aux hostilités". En particulier, pour le Koweït et Bahreïn, "ces pays ont des liaisons terrestres avec l'Arabie saoudite, tandis que le Koweït est également relié à l'Iraq. Au-delà de ces liaisons directes, ces voies d'acheminement terrestres offrent une connectivité avec le reste du monde".</w:t>
      </w:r>
    </w:p>
    <w:p w14:paraId="45B98263" w14:textId="1893B37B" w:rsidR="008E2878" w:rsidRPr="00E77E94" w:rsidRDefault="008E2878" w:rsidP="008E2878">
      <w:pPr>
        <w:rPr>
          <w:rFonts w:asciiTheme="minorHAnsi" w:hAnsiTheme="minorHAnsi" w:cstheme="minorBidi"/>
        </w:rPr>
      </w:pPr>
      <w:r>
        <w:rPr>
          <w:rFonts w:asciiTheme="minorHAnsi" w:hAnsiTheme="minorHAnsi" w:cstheme="minorBidi"/>
        </w:rPr>
        <w:t>Les Émirats arabes unis sont mieux équipés pour résister aux perturbations causées aux câbles sous-marins, car ils disposent de liaisons terrestres avec les pays voisins et plusieurs câbles sous</w:t>
      </w:r>
      <w:r w:rsidR="00B26C3D">
        <w:rPr>
          <w:rFonts w:asciiTheme="minorHAnsi" w:hAnsiTheme="minorHAnsi" w:cstheme="minorBidi"/>
        </w:rPr>
        <w:noBreakHyphen/>
      </w:r>
      <w:r>
        <w:rPr>
          <w:rFonts w:asciiTheme="minorHAnsi" w:hAnsiTheme="minorHAnsi" w:cstheme="minorBidi"/>
        </w:rPr>
        <w:t>marins atterrissent à Fujairah sur le golfe d'Oman. Cela confère au pays une plus grande résilience en cas d'incidents sur les câbles.</w:t>
      </w:r>
    </w:p>
    <w:p w14:paraId="78CBD93E" w14:textId="44640893" w:rsidR="008E2878" w:rsidRPr="00E77E94" w:rsidRDefault="008E2878" w:rsidP="008E2878">
      <w:r>
        <w:t xml:space="preserve">Cependant, toujours selon </w:t>
      </w:r>
      <w:proofErr w:type="spellStart"/>
      <w:r>
        <w:t>TeleGeography</w:t>
      </w:r>
      <w:proofErr w:type="spellEnd"/>
      <w:r w:rsidRPr="00281C69">
        <w:rPr>
          <w:rFonts w:asciiTheme="minorHAnsi" w:hAnsiTheme="minorHAnsi" w:cstheme="minorHAnsi"/>
          <w:vertAlign w:val="superscript"/>
        </w:rPr>
        <w:fldChar w:fldCharType="begin"/>
      </w:r>
      <w:r w:rsidRPr="003E7DE0">
        <w:rPr>
          <w:rFonts w:asciiTheme="minorHAnsi" w:hAnsiTheme="minorHAnsi" w:cstheme="minorHAnsi"/>
          <w:vertAlign w:val="superscript"/>
        </w:rPr>
        <w:instrText xml:space="preserve"> NOTEREF _Ref242118896 \h  \* MERGEFORMAT </w:instrText>
      </w:r>
      <w:r w:rsidRPr="00281C69">
        <w:rPr>
          <w:rFonts w:asciiTheme="minorHAnsi" w:hAnsiTheme="minorHAnsi" w:cstheme="minorHAnsi"/>
          <w:vertAlign w:val="superscript"/>
        </w:rPr>
      </w:r>
      <w:r w:rsidRPr="00281C69">
        <w:rPr>
          <w:rFonts w:asciiTheme="minorHAnsi" w:hAnsiTheme="minorHAnsi" w:cstheme="minorHAnsi"/>
          <w:vertAlign w:val="superscript"/>
        </w:rPr>
        <w:fldChar w:fldCharType="separate"/>
      </w:r>
      <w:r>
        <w:rPr>
          <w:rFonts w:asciiTheme="minorHAnsi" w:hAnsiTheme="minorHAnsi" w:cstheme="minorHAnsi"/>
          <w:vertAlign w:val="superscript"/>
        </w:rPr>
        <w:fldChar w:fldCharType="begin"/>
      </w:r>
      <w:r w:rsidRPr="003E7DE0">
        <w:rPr>
          <w:rFonts w:asciiTheme="minorHAnsi" w:hAnsiTheme="minorHAnsi" w:cstheme="minorHAnsi"/>
          <w:vertAlign w:val="superscript"/>
        </w:rPr>
        <w:instrText xml:space="preserve"> NOTEREF _Ref242719535 \h </w:instrText>
      </w:r>
      <w:r>
        <w:rPr>
          <w:rFonts w:asciiTheme="minorHAnsi" w:hAnsiTheme="minorHAnsi" w:cstheme="minorHAnsi"/>
          <w:vertAlign w:val="superscript"/>
        </w:rPr>
        <w:instrText xml:space="preserve"> \* MERGEFORMAT </w:instrText>
      </w:r>
      <w:r>
        <w:rPr>
          <w:rFonts w:asciiTheme="minorHAnsi" w:hAnsiTheme="minorHAnsi" w:cstheme="minorHAnsi"/>
          <w:vertAlign w:val="superscript"/>
        </w:rPr>
      </w:r>
      <w:r>
        <w:rPr>
          <w:rFonts w:asciiTheme="minorHAnsi" w:hAnsiTheme="minorHAnsi" w:cstheme="minorHAnsi"/>
          <w:vertAlign w:val="superscript"/>
        </w:rPr>
        <w:fldChar w:fldCharType="separate"/>
      </w:r>
      <w:r w:rsidRPr="003E7DE0">
        <w:rPr>
          <w:rFonts w:asciiTheme="minorHAnsi" w:hAnsiTheme="minorHAnsi" w:cstheme="minorHAnsi"/>
          <w:vertAlign w:val="superscript"/>
        </w:rPr>
        <w:t>29</w:t>
      </w:r>
      <w:r>
        <w:rPr>
          <w:rFonts w:asciiTheme="minorHAnsi" w:hAnsiTheme="minorHAnsi" w:cstheme="minorHAnsi"/>
          <w:vertAlign w:val="superscript"/>
        </w:rPr>
        <w:fldChar w:fldCharType="end"/>
      </w:r>
      <w:r w:rsidRPr="00281C69">
        <w:rPr>
          <w:rFonts w:asciiTheme="minorHAnsi" w:hAnsiTheme="minorHAnsi" w:cstheme="minorHAnsi"/>
          <w:vertAlign w:val="superscript"/>
        </w:rPr>
        <w:fldChar w:fldCharType="end"/>
      </w:r>
      <w:r>
        <w:t>, bien qu'aucun de ces pays ne dépende entièrement des câbles sous-marins pour assurer sa connectivité internationale, les réseaux terrestres pourraient ne pas être en mesure d'assurer un réacheminement complet du trafic si les câbles sous-marins du Golfe venaient à être endommagés.</w:t>
      </w:r>
    </w:p>
    <w:p w14:paraId="32374015" w14:textId="77777777" w:rsidR="00ED3A5E" w:rsidRDefault="00ED3A5E">
      <w:pPr>
        <w:tabs>
          <w:tab w:val="clear" w:pos="567"/>
          <w:tab w:val="clear" w:pos="1134"/>
          <w:tab w:val="clear" w:pos="1701"/>
          <w:tab w:val="clear" w:pos="2268"/>
          <w:tab w:val="clear" w:pos="2835"/>
        </w:tabs>
        <w:overflowPunct/>
        <w:autoSpaceDE/>
        <w:autoSpaceDN/>
        <w:adjustRightInd/>
        <w:spacing w:before="0"/>
        <w:textAlignment w:val="auto"/>
        <w:rPr>
          <w:b/>
          <w:sz w:val="28"/>
        </w:rPr>
      </w:pPr>
      <w:r>
        <w:br w:type="page"/>
      </w:r>
    </w:p>
    <w:p w14:paraId="3F5A1217" w14:textId="1D495572" w:rsidR="008E2878" w:rsidRPr="00E77E94" w:rsidRDefault="008E2878" w:rsidP="00F42491">
      <w:pPr>
        <w:pStyle w:val="Heading1"/>
      </w:pPr>
      <w:r>
        <w:lastRenderedPageBreak/>
        <w:t>5</w:t>
      </w:r>
      <w:r>
        <w:tab/>
        <w:t>Incidences sur les programmes de l'UIT</w:t>
      </w:r>
    </w:p>
    <w:p w14:paraId="7D74CBDA" w14:textId="63456EAA" w:rsidR="008E2878" w:rsidRPr="00E77E94" w:rsidRDefault="008E2878" w:rsidP="00ED3A5E">
      <w:pPr>
        <w:keepLines/>
      </w:pPr>
      <w:r>
        <w:t>En raison du conflit, les programmes suivants de l'UIT ont été perturbés:</w:t>
      </w:r>
    </w:p>
    <w:p w14:paraId="04BD5FB0" w14:textId="22529913" w:rsidR="008E2878" w:rsidRPr="00E77E94" w:rsidRDefault="004B3CD3" w:rsidP="004B3CD3">
      <w:pPr>
        <w:pStyle w:val="enumlev1"/>
      </w:pPr>
      <w:r>
        <w:t>•</w:t>
      </w:r>
      <w:r>
        <w:tab/>
      </w:r>
      <w:r w:rsidR="008E2878">
        <w:t xml:space="preserve">Le </w:t>
      </w:r>
      <w:proofErr w:type="spellStart"/>
      <w:r w:rsidR="008E2878">
        <w:t>cyberexercice</w:t>
      </w:r>
      <w:proofErr w:type="spellEnd"/>
      <w:r w:rsidR="008E2878">
        <w:t xml:space="preserve"> mondial de l'UIT, qui devait se tenir à Dubaï du 5 au 7 mai 2026, a été reporté dans un premier temps, puis finalement annulé</w:t>
      </w:r>
      <w:r w:rsidR="008E2878" w:rsidRPr="00240419">
        <w:rPr>
          <w:rStyle w:val="FootnoteReference"/>
        </w:rPr>
        <w:footnoteReference w:id="30"/>
      </w:r>
      <w:r w:rsidR="008E2878">
        <w:t xml:space="preserve">. La décision initiale de reporter le </w:t>
      </w:r>
      <w:proofErr w:type="spellStart"/>
      <w:r w:rsidR="008E2878">
        <w:t>cyberexercice</w:t>
      </w:r>
      <w:proofErr w:type="spellEnd"/>
      <w:r w:rsidR="008E2878">
        <w:t xml:space="preserve"> était directement liée au conflit dans la région, car de nombreux pays, dont le Koweït et la Jordanie, étaient dans l'impossibilité d'y participer. Prenant acte du fait que le conflit était toujours en cours, l'UIT a décidé par la suite d'annuler la manifestation.</w:t>
      </w:r>
    </w:p>
    <w:p w14:paraId="700C8F38" w14:textId="531EDA7F" w:rsidR="008E2878" w:rsidRPr="00625D8D" w:rsidRDefault="004B3CD3" w:rsidP="004B3CD3">
      <w:pPr>
        <w:pStyle w:val="enumlev1"/>
      </w:pPr>
      <w:r>
        <w:t>•</w:t>
      </w:r>
      <w:r>
        <w:tab/>
      </w:r>
      <w:r w:rsidR="008E2878">
        <w:t>Le Forum régional sur le développement pour les États arabes (RDF26-ARB), qui devait se tenir en Jordanie, a été reporté à 2027</w:t>
      </w:r>
      <w:r w:rsidR="008E2878" w:rsidRPr="00240419">
        <w:rPr>
          <w:rStyle w:val="FootnoteReference"/>
        </w:rPr>
        <w:footnoteReference w:id="31"/>
      </w:r>
      <w:r w:rsidR="008E2878">
        <w:t>. Le Bureau régional de l'UIT pour les États arabes a reporté la manifestation après avoir consulté les États Membres et invité les parties prenantes à choisir entre la tenue du Forum de manière virtuelle en 2026 ou le report à 2027 pour une réunion en présentiel. Décision a été prise de le reporter à 2027.</w:t>
      </w:r>
    </w:p>
    <w:p w14:paraId="2CDF3E99" w14:textId="62216670" w:rsidR="008E2878" w:rsidRPr="00E77E94" w:rsidRDefault="004B3CD3" w:rsidP="004B3CD3">
      <w:pPr>
        <w:pStyle w:val="enumlev1"/>
      </w:pPr>
      <w:r>
        <w:t>•</w:t>
      </w:r>
      <w:r>
        <w:tab/>
      </w:r>
      <w:r w:rsidR="008E2878">
        <w:t>Le Dialogue régional sur les politiques et la réglementation pour les États arabes a été reporté à 2027 afin de permettre à tous les pays, y compris les quatre pays mentionnés dans la Résolution, d'y participer</w:t>
      </w:r>
      <w:r w:rsidR="008E2878" w:rsidRPr="00240419">
        <w:rPr>
          <w:rStyle w:val="FootnoteReference"/>
        </w:rPr>
        <w:footnoteReference w:id="32"/>
      </w:r>
      <w:r w:rsidR="008E2878">
        <w:t>.</w:t>
      </w:r>
    </w:p>
    <w:p w14:paraId="0B7132C0" w14:textId="50C67BE0" w:rsidR="008E2878" w:rsidRPr="00E77E94" w:rsidRDefault="008E2878" w:rsidP="00F42491">
      <w:pPr>
        <w:pStyle w:val="Heading1"/>
      </w:pPr>
      <w:bookmarkStart w:id="16" w:name="_Ref240587414"/>
      <w:r>
        <w:t>6</w:t>
      </w:r>
      <w:r>
        <w:tab/>
        <w:t>Prochaines étapes de l'évaluation</w:t>
      </w:r>
      <w:bookmarkEnd w:id="16"/>
    </w:p>
    <w:p w14:paraId="10B4A7F3" w14:textId="2DDA9908" w:rsidR="008E2878" w:rsidRPr="00E77E94" w:rsidRDefault="008E2878" w:rsidP="008E2878">
      <w:r>
        <w:t>Il est prévu que les prochaines étapes de l'évaluation portent sur les activités suivantes:</w:t>
      </w:r>
    </w:p>
    <w:p w14:paraId="7D9BD197" w14:textId="2F7D6811" w:rsidR="008E2878" w:rsidRPr="00E77E94" w:rsidRDefault="00145526" w:rsidP="00145526">
      <w:pPr>
        <w:pStyle w:val="enumlev1"/>
      </w:pPr>
      <w:r>
        <w:t>•</w:t>
      </w:r>
      <w:r>
        <w:tab/>
      </w:r>
      <w:r w:rsidR="00B26C3D">
        <w:t>R</w:t>
      </w:r>
      <w:r w:rsidR="008E2878">
        <w:t>ecueil de données auprès de sources primaires, y compris des entretiens avec les parties prenantes concernées dans les quatre pays</w:t>
      </w:r>
      <w:r w:rsidR="00B26C3D">
        <w:t>.</w:t>
      </w:r>
    </w:p>
    <w:p w14:paraId="5DC49686" w14:textId="2DE039F5" w:rsidR="008E2878" w:rsidRPr="00E77E94" w:rsidRDefault="00145526" w:rsidP="00145526">
      <w:pPr>
        <w:pStyle w:val="enumlev1"/>
      </w:pPr>
      <w:r>
        <w:t>•</w:t>
      </w:r>
      <w:r>
        <w:tab/>
      </w:r>
      <w:r w:rsidR="00B26C3D">
        <w:t>A</w:t>
      </w:r>
      <w:r w:rsidR="008E2878">
        <w:t>nalyse des données recueillies, à l'aide de méthodes qualitatives et quantitatives, y compris l'application éventuelle du cadre d'évaluation des besoins après une catastrophe (PDNA) afin d'évaluer les dégâts</w:t>
      </w:r>
      <w:r w:rsidR="008E2878" w:rsidRPr="00240419">
        <w:rPr>
          <w:rStyle w:val="FootnoteReference"/>
        </w:rPr>
        <w:footnoteReference w:id="33"/>
      </w:r>
      <w:r w:rsidR="00B26C3D">
        <w:t>.</w:t>
      </w:r>
    </w:p>
    <w:p w14:paraId="59CF7882" w14:textId="6B7CDA7C" w:rsidR="008E2878" w:rsidRPr="00E77E94" w:rsidRDefault="00145526" w:rsidP="00145526">
      <w:pPr>
        <w:pStyle w:val="enumlev1"/>
      </w:pPr>
      <w:r>
        <w:t>•</w:t>
      </w:r>
      <w:r>
        <w:tab/>
      </w:r>
      <w:r w:rsidR="00B26C3D">
        <w:t>A</w:t>
      </w:r>
      <w:r w:rsidR="008E2878">
        <w:t>chèvement de l'évaluation des incidences sur les programmes de l'UIT à Bahreïn, au Koweït, aux Émirats arabes unis et en Jordanie</w:t>
      </w:r>
      <w:r w:rsidR="00B26C3D">
        <w:t>.</w:t>
      </w:r>
    </w:p>
    <w:p w14:paraId="0D4C77F0" w14:textId="7FBFE4BD" w:rsidR="00071E1D" w:rsidRDefault="00145526" w:rsidP="00145526">
      <w:pPr>
        <w:pStyle w:val="enumlev1"/>
      </w:pPr>
      <w:r>
        <w:t>•</w:t>
      </w:r>
      <w:r>
        <w:tab/>
      </w:r>
      <w:r w:rsidR="00B26C3D">
        <w:t>S</w:t>
      </w:r>
      <w:r w:rsidR="008E2878">
        <w:t>oumission d'un rapport d'évaluation final à la session de 2027 du Conseil.</w:t>
      </w:r>
    </w:p>
    <w:p w14:paraId="41D2DBEE" w14:textId="1F6F6BEF" w:rsidR="00BD1614" w:rsidRPr="00BD1614" w:rsidRDefault="00071E1D" w:rsidP="00071E1D">
      <w:pPr>
        <w:jc w:val="center"/>
      </w:pPr>
      <w:r>
        <w:t>______________</w:t>
      </w:r>
    </w:p>
    <w:sectPr w:rsidR="00BD1614" w:rsidRPr="00BD1614" w:rsidSect="003A0B7D">
      <w:headerReference w:type="default" r:id="rId13"/>
      <w:footerReference w:type="first" r:id="rId14"/>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2AE4D" w14:textId="77777777" w:rsidR="001B3B7D" w:rsidRDefault="001B3B7D">
      <w:r>
        <w:separator/>
      </w:r>
    </w:p>
  </w:endnote>
  <w:endnote w:type="continuationSeparator" w:id="0">
    <w:p w14:paraId="1DBCAF43" w14:textId="77777777" w:rsidR="001B3B7D" w:rsidRDefault="001B3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7C66" w14:textId="2EFD6C42"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7575CC" w:rsidRPr="00371863">
        <w:rPr>
          <w:rStyle w:val="Hyperlink"/>
          <w:color w:val="00A3E0"/>
          <w:sz w:val="22"/>
          <w:szCs w:val="22"/>
          <w:lang w:val="en-GB"/>
        </w:rPr>
        <w:t>www.itu.int/plenipotentiary/</w:t>
      </w:r>
    </w:hyperlink>
    <w:r w:rsidR="007575CC" w:rsidRPr="007575CC">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75F75" w14:textId="77777777" w:rsidR="001B3B7D" w:rsidRDefault="001B3B7D">
      <w:r>
        <w:t>____________________</w:t>
      </w:r>
    </w:p>
  </w:footnote>
  <w:footnote w:type="continuationSeparator" w:id="0">
    <w:p w14:paraId="7218A4BA" w14:textId="77777777" w:rsidR="001B3B7D" w:rsidRDefault="001B3B7D">
      <w:r>
        <w:continuationSeparator/>
      </w:r>
    </w:p>
  </w:footnote>
  <w:footnote w:id="1">
    <w:p w14:paraId="176A637A" w14:textId="6AED277A" w:rsidR="00C54264" w:rsidRDefault="00C54264">
      <w:pPr>
        <w:pStyle w:val="FootnoteText"/>
      </w:pPr>
      <w:r>
        <w:rPr>
          <w:rStyle w:val="FootnoteReference"/>
        </w:rPr>
        <w:footnoteRef/>
      </w:r>
      <w:r>
        <w:tab/>
      </w:r>
      <w:r w:rsidRPr="00C54264">
        <w:t xml:space="preserve">Résolution 1436 du Conseil de l'UIT | </w:t>
      </w:r>
      <w:hyperlink r:id="rId1" w:history="1">
        <w:r w:rsidRPr="003551C0">
          <w:rPr>
            <w:rStyle w:val="Hyperlink"/>
          </w:rPr>
          <w:t>https://www.itu.int/md/S26</w:t>
        </w:r>
        <w:r w:rsidRPr="003551C0">
          <w:rPr>
            <w:rStyle w:val="Hyperlink"/>
          </w:rPr>
          <w:t>-</w:t>
        </w:r>
        <w:r w:rsidRPr="003551C0">
          <w:rPr>
            <w:rStyle w:val="Hyperlink"/>
          </w:rPr>
          <w:t>CL-C-0130/</w:t>
        </w:r>
        <w:r w:rsidRPr="003551C0">
          <w:rPr>
            <w:rStyle w:val="Hyperlink"/>
          </w:rPr>
          <w:t>e</w:t>
        </w:r>
        <w:r w:rsidRPr="003551C0">
          <w:rPr>
            <w:rStyle w:val="Hyperlink"/>
          </w:rPr>
          <w:t>n</w:t>
        </w:r>
      </w:hyperlink>
    </w:p>
  </w:footnote>
  <w:footnote w:id="2">
    <w:p w14:paraId="7C5ADBB8" w14:textId="791D6D09" w:rsidR="008E2878" w:rsidRPr="005224E6" w:rsidRDefault="008E2878" w:rsidP="008E2878">
      <w:pPr>
        <w:pStyle w:val="FootnoteText"/>
        <w:rPr>
          <w:szCs w:val="24"/>
        </w:rPr>
      </w:pPr>
      <w:r w:rsidRPr="00C54264">
        <w:rPr>
          <w:rStyle w:val="FootnoteReference"/>
        </w:rPr>
        <w:footnoteRef/>
      </w:r>
      <w:r w:rsidR="00B122FE" w:rsidRPr="00926A8B">
        <w:tab/>
      </w:r>
      <w:r w:rsidRPr="00926A8B">
        <w:t>Une</w:t>
      </w:r>
      <w:r w:rsidRPr="005224E6">
        <w:rPr>
          <w:szCs w:val="24"/>
        </w:rPr>
        <w:t xml:space="preserve"> </w:t>
      </w:r>
      <w:r w:rsidR="00E12AAE">
        <w:rPr>
          <w:szCs w:val="24"/>
        </w:rPr>
        <w:t>r</w:t>
      </w:r>
      <w:r w:rsidRPr="005224E6">
        <w:rPr>
          <w:szCs w:val="24"/>
        </w:rPr>
        <w:t xml:space="preserve">égion AWS est un groupe géographiquement distinct de centres de données. Chaque </w:t>
      </w:r>
      <w:r w:rsidR="00E12AAE">
        <w:rPr>
          <w:szCs w:val="24"/>
        </w:rPr>
        <w:t>r</w:t>
      </w:r>
      <w:r w:rsidRPr="005224E6">
        <w:rPr>
          <w:szCs w:val="24"/>
        </w:rPr>
        <w:t>égion comprend plusieurs "zones de disponibilité", trois à Bahreïn et trois dans les Émirats</w:t>
      </w:r>
      <w:r w:rsidR="005224E6">
        <w:rPr>
          <w:szCs w:val="24"/>
        </w:rPr>
        <w:t> </w:t>
      </w:r>
      <w:r w:rsidRPr="005224E6">
        <w:rPr>
          <w:szCs w:val="24"/>
        </w:rPr>
        <w:t xml:space="preserve">arabes unis, chacune de ces zones de disponibilité comprenant une ou plusieurs installations physiquement séparées, alimentées et connectées de manière indépendante | Infrastructure mondiale AWS – </w:t>
      </w:r>
      <w:r w:rsidR="00E12AAE">
        <w:rPr>
          <w:szCs w:val="24"/>
        </w:rPr>
        <w:t>r</w:t>
      </w:r>
      <w:r w:rsidRPr="005224E6">
        <w:rPr>
          <w:szCs w:val="24"/>
        </w:rPr>
        <w:t xml:space="preserve">égions et zones de disponibilité | </w:t>
      </w:r>
      <w:hyperlink r:id="rId2" w:history="1">
        <w:r w:rsidR="00F97162">
          <w:rPr>
            <w:rStyle w:val="Hyperlink"/>
            <w:szCs w:val="24"/>
          </w:rPr>
          <w:t>https://aws.amazon.com/about-aws/global-infrastru</w:t>
        </w:r>
        <w:r w:rsidR="00F97162">
          <w:rPr>
            <w:rStyle w:val="Hyperlink"/>
            <w:szCs w:val="24"/>
          </w:rPr>
          <w:t>c</w:t>
        </w:r>
        <w:r w:rsidR="00F97162">
          <w:rPr>
            <w:rStyle w:val="Hyperlink"/>
            <w:szCs w:val="24"/>
          </w:rPr>
          <w:t>ture/</w:t>
        </w:r>
        <w:r w:rsidR="00F97162">
          <w:rPr>
            <w:rStyle w:val="Hyperlink"/>
            <w:szCs w:val="24"/>
          </w:rPr>
          <w:t>r</w:t>
        </w:r>
        <w:r w:rsidR="00F97162">
          <w:rPr>
            <w:rStyle w:val="Hyperlink"/>
            <w:szCs w:val="24"/>
          </w:rPr>
          <w:t>egions_az/</w:t>
        </w:r>
      </w:hyperlink>
      <w:hyperlink r:id="rId3" w:history="1"/>
    </w:p>
  </w:footnote>
  <w:footnote w:id="3">
    <w:p w14:paraId="0A2BF5FB" w14:textId="5884091E" w:rsidR="00C54264" w:rsidRDefault="00C54264">
      <w:pPr>
        <w:pStyle w:val="FootnoteText"/>
      </w:pPr>
      <w:r>
        <w:rPr>
          <w:rStyle w:val="FootnoteReference"/>
        </w:rPr>
        <w:footnoteRef/>
      </w:r>
      <w:r>
        <w:tab/>
      </w:r>
      <w:r w:rsidRPr="005224E6">
        <w:rPr>
          <w:szCs w:val="24"/>
        </w:rPr>
        <w:t xml:space="preserve">Informations actualisées sur l'état des services, ME-SOUTH-1 (Bahreïn) | </w:t>
      </w:r>
      <w:hyperlink r:id="rId4" w:history="1">
        <w:r w:rsidRPr="005224E6">
          <w:rPr>
            <w:rStyle w:val="Hyperlink"/>
            <w:szCs w:val="24"/>
          </w:rPr>
          <w:t>https://health.aws.amazon.com/health/status?eventid=arn:aws:health:me-south-1::event/multiple_services/a</w:t>
        </w:r>
        <w:r w:rsidRPr="005224E6">
          <w:rPr>
            <w:rStyle w:val="Hyperlink"/>
            <w:szCs w:val="24"/>
          </w:rPr>
          <w:t>w</w:t>
        </w:r>
        <w:r w:rsidRPr="005224E6">
          <w:rPr>
            <w:rStyle w:val="Hyperlink"/>
            <w:szCs w:val="24"/>
          </w:rPr>
          <w:t>s_multiple_services_operational_i</w:t>
        </w:r>
        <w:r w:rsidRPr="005224E6">
          <w:rPr>
            <w:rStyle w:val="Hyperlink"/>
            <w:szCs w:val="24"/>
          </w:rPr>
          <w:t>s</w:t>
        </w:r>
        <w:r w:rsidRPr="005224E6">
          <w:rPr>
            <w:rStyle w:val="Hyperlink"/>
            <w:szCs w:val="24"/>
          </w:rPr>
          <w:t>sue/aws_multiple_services_operational_issue_e6426_01ad72b4e1e</w:t>
        </w:r>
      </w:hyperlink>
    </w:p>
  </w:footnote>
  <w:footnote w:id="4">
    <w:p w14:paraId="18C8AD86" w14:textId="23880F15" w:rsidR="008E2878" w:rsidRPr="005224E6" w:rsidRDefault="008E2878" w:rsidP="008E2878">
      <w:pPr>
        <w:pStyle w:val="FootnoteText"/>
        <w:rPr>
          <w:szCs w:val="24"/>
        </w:rPr>
      </w:pPr>
      <w:r w:rsidRPr="00C54264">
        <w:rPr>
          <w:rStyle w:val="FootnoteReference"/>
        </w:rPr>
        <w:footnoteRef/>
      </w:r>
      <w:r w:rsidR="00B122FE">
        <w:rPr>
          <w:szCs w:val="24"/>
        </w:rPr>
        <w:tab/>
      </w:r>
      <w:r w:rsidRPr="005224E6">
        <w:rPr>
          <w:szCs w:val="24"/>
        </w:rPr>
        <w:t xml:space="preserve">Informations actualisées sur l'état des services, ME-CENTRAL-1 (Émirats arabes unis) | </w:t>
      </w:r>
      <w:hyperlink r:id="rId5" w:history="1">
        <w:r w:rsidRPr="005224E6">
          <w:rPr>
            <w:rStyle w:val="Hyperlink"/>
            <w:szCs w:val="24"/>
          </w:rPr>
          <w:t>https://health.aws.amazon.com/health/status?eventid=arn:aws:health:me-central-1::event/multiple_services</w:t>
        </w:r>
        <w:r w:rsidRPr="005224E6">
          <w:rPr>
            <w:rStyle w:val="Hyperlink"/>
            <w:szCs w:val="24"/>
          </w:rPr>
          <w:t>/</w:t>
        </w:r>
        <w:r w:rsidRPr="005224E6">
          <w:rPr>
            <w:rStyle w:val="Hyperlink"/>
            <w:szCs w:val="24"/>
          </w:rPr>
          <w:t>aws_multiple_services_operational_issue/aws_multiple_services_operational_issue_5e6b8_ef2498889b5</w:t>
        </w:r>
      </w:hyperlink>
    </w:p>
  </w:footnote>
  <w:footnote w:id="5">
    <w:p w14:paraId="65B5A413" w14:textId="541A978A" w:rsidR="008E2878" w:rsidRPr="005224E6" w:rsidRDefault="008E2878" w:rsidP="008E2878">
      <w:pPr>
        <w:pStyle w:val="FootnoteText"/>
        <w:rPr>
          <w:szCs w:val="24"/>
          <w:lang w:val="sv-SE"/>
        </w:rPr>
      </w:pPr>
      <w:r w:rsidRPr="00C54264">
        <w:rPr>
          <w:rStyle w:val="FootnoteReference"/>
        </w:rPr>
        <w:footnoteRef/>
      </w:r>
      <w:r w:rsidR="00B122FE">
        <w:rPr>
          <w:szCs w:val="24"/>
        </w:rPr>
        <w:tab/>
      </w:r>
      <w:r w:rsidRPr="005224E6">
        <w:rPr>
          <w:szCs w:val="24"/>
        </w:rPr>
        <w:t xml:space="preserve">Informations actualisées sur l'état des services, ME-CENTRAL-1 (Émirats arabes unis) | </w:t>
      </w:r>
      <w:hyperlink r:id="rId6" w:history="1">
        <w:r w:rsidRPr="005224E6">
          <w:rPr>
            <w:rStyle w:val="Hyperlink"/>
            <w:szCs w:val="24"/>
          </w:rPr>
          <w:t>https://health.aws.amazon.com</w:t>
        </w:r>
        <w:r w:rsidRPr="005224E6">
          <w:rPr>
            <w:rStyle w:val="Hyperlink"/>
            <w:szCs w:val="24"/>
          </w:rPr>
          <w:t>/</w:t>
        </w:r>
        <w:r w:rsidRPr="005224E6">
          <w:rPr>
            <w:rStyle w:val="Hyperlink"/>
            <w:szCs w:val="24"/>
          </w:rPr>
          <w:t>health/status?eventi</w:t>
        </w:r>
        <w:r w:rsidRPr="005224E6">
          <w:rPr>
            <w:rStyle w:val="Hyperlink"/>
            <w:szCs w:val="24"/>
          </w:rPr>
          <w:t>d</w:t>
        </w:r>
        <w:r w:rsidRPr="005224E6">
          <w:rPr>
            <w:rStyle w:val="Hyperlink"/>
            <w:szCs w:val="24"/>
          </w:rPr>
          <w:t>=arn:aws:health:me-central-1::event/multiple_services/aws_multiple_services_operational_issue/aws_multiple_services_operational_issue_5e6b8_ef2498889b5</w:t>
        </w:r>
      </w:hyperlink>
    </w:p>
  </w:footnote>
  <w:footnote w:id="6">
    <w:p w14:paraId="0464682A" w14:textId="45F0832B" w:rsidR="008E2878" w:rsidRPr="00A90E72" w:rsidRDefault="008E2878" w:rsidP="008E2878">
      <w:pPr>
        <w:pStyle w:val="FootnoteText"/>
        <w:rPr>
          <w:lang w:val="sv-SE"/>
        </w:rPr>
      </w:pPr>
      <w:r w:rsidRPr="00C54264">
        <w:rPr>
          <w:rStyle w:val="FootnoteReference"/>
        </w:rPr>
        <w:footnoteRef/>
      </w:r>
      <w:r w:rsidR="00B122FE">
        <w:rPr>
          <w:szCs w:val="24"/>
        </w:rPr>
        <w:tab/>
      </w:r>
      <w:r w:rsidRPr="005224E6">
        <w:rPr>
          <w:szCs w:val="24"/>
        </w:rPr>
        <w:t xml:space="preserve">Informations actualisées sur l'état des services, ME-SOUTH-1 (Bahreïn) | </w:t>
      </w:r>
      <w:hyperlink r:id="rId7" w:history="1">
        <w:r w:rsidRPr="005224E6">
          <w:rPr>
            <w:rStyle w:val="Hyperlink"/>
            <w:szCs w:val="24"/>
          </w:rPr>
          <w:t>https://health.aws.amazon.com/h</w:t>
        </w:r>
        <w:r w:rsidRPr="005224E6">
          <w:rPr>
            <w:rStyle w:val="Hyperlink"/>
            <w:szCs w:val="24"/>
          </w:rPr>
          <w:t>e</w:t>
        </w:r>
        <w:r w:rsidRPr="005224E6">
          <w:rPr>
            <w:rStyle w:val="Hyperlink"/>
            <w:szCs w:val="24"/>
          </w:rPr>
          <w:t>alth/status?eventid=arn:aws:health:me-south-1::event/multiple_services/aws_multiple</w:t>
        </w:r>
        <w:r w:rsidRPr="005224E6">
          <w:rPr>
            <w:rStyle w:val="Hyperlink"/>
            <w:szCs w:val="24"/>
          </w:rPr>
          <w:t>_</w:t>
        </w:r>
        <w:r w:rsidRPr="005224E6">
          <w:rPr>
            <w:rStyle w:val="Hyperlink"/>
            <w:szCs w:val="24"/>
          </w:rPr>
          <w:t>services_operational_issue/aws_multiple_services_operational_issue_e6426_01ad72b4e1e</w:t>
        </w:r>
      </w:hyperlink>
    </w:p>
  </w:footnote>
  <w:footnote w:id="7">
    <w:p w14:paraId="1AFCBF05" w14:textId="7C492EEE" w:rsidR="008E2878" w:rsidRPr="00223DD9" w:rsidRDefault="008E2878" w:rsidP="00223DD9">
      <w:pPr>
        <w:pStyle w:val="FootnoteText"/>
      </w:pPr>
      <w:r w:rsidRPr="00926A8B">
        <w:rPr>
          <w:rStyle w:val="FootnoteReference"/>
        </w:rPr>
        <w:footnoteRef/>
      </w:r>
      <w:r w:rsidR="00223DD9">
        <w:tab/>
      </w:r>
      <w:proofErr w:type="spellStart"/>
      <w:r w:rsidRPr="00223DD9">
        <w:t>Cloudflare</w:t>
      </w:r>
      <w:proofErr w:type="spellEnd"/>
      <w:r w:rsidRPr="00223DD9">
        <w:t xml:space="preserve"> Radar | </w:t>
      </w:r>
      <w:hyperlink r:id="rId8" w:anchor="http-requests-time-series-worldwide" w:history="1">
        <w:r w:rsidRPr="00223DD9">
          <w:rPr>
            <w:rStyle w:val="Hyperlink"/>
          </w:rPr>
          <w:t>Relevés chronologiques des requêtes HTTP à destinati</w:t>
        </w:r>
        <w:r w:rsidRPr="00223DD9">
          <w:rPr>
            <w:rStyle w:val="Hyperlink"/>
          </w:rPr>
          <w:t>o</w:t>
        </w:r>
        <w:r w:rsidRPr="00223DD9">
          <w:rPr>
            <w:rStyle w:val="Hyperlink"/>
          </w:rPr>
          <w:t xml:space="preserve">n de </w:t>
        </w:r>
        <w:r w:rsidRPr="00223DD9">
          <w:rPr>
            <w:rStyle w:val="Hyperlink"/>
          </w:rPr>
          <w:t>M</w:t>
        </w:r>
        <w:r w:rsidRPr="00223DD9">
          <w:rPr>
            <w:rStyle w:val="Hyperlink"/>
          </w:rPr>
          <w:t>E-CENTRAL-1</w:t>
        </w:r>
      </w:hyperlink>
      <w:hyperlink r:id="rId9" w:anchor="http-requests-time-series-worldwide" w:history="1"/>
    </w:p>
  </w:footnote>
  <w:footnote w:id="8">
    <w:p w14:paraId="6D38D949" w14:textId="2636D7DF" w:rsidR="008E2878" w:rsidRPr="00223DD9" w:rsidRDefault="008E2878" w:rsidP="00223DD9">
      <w:pPr>
        <w:pStyle w:val="FootnoteText"/>
      </w:pPr>
      <w:r w:rsidRPr="00926A8B">
        <w:rPr>
          <w:rStyle w:val="FootnoteReference"/>
        </w:rPr>
        <w:footnoteRef/>
      </w:r>
      <w:r w:rsidR="00223DD9">
        <w:tab/>
      </w:r>
      <w:proofErr w:type="spellStart"/>
      <w:r w:rsidRPr="00223DD9">
        <w:t>Cloudflare</w:t>
      </w:r>
      <w:proofErr w:type="spellEnd"/>
      <w:r w:rsidRPr="00223DD9">
        <w:t xml:space="preserve"> Radar | </w:t>
      </w:r>
      <w:hyperlink r:id="rId10" w:anchor="http-requests-time-series-worldwide" w:history="1">
        <w:r w:rsidRPr="00223DD9">
          <w:rPr>
            <w:rStyle w:val="Hyperlink"/>
          </w:rPr>
          <w:t>Relevés chronologiques des requêtes HTTP</w:t>
        </w:r>
        <w:r w:rsidRPr="00223DD9">
          <w:rPr>
            <w:rStyle w:val="Hyperlink"/>
          </w:rPr>
          <w:t xml:space="preserve"> </w:t>
        </w:r>
        <w:r w:rsidRPr="00223DD9">
          <w:rPr>
            <w:rStyle w:val="Hyperlink"/>
          </w:rPr>
          <w:t xml:space="preserve">à destination de </w:t>
        </w:r>
        <w:r w:rsidRPr="00223DD9">
          <w:rPr>
            <w:rStyle w:val="Hyperlink"/>
          </w:rPr>
          <w:t>M</w:t>
        </w:r>
        <w:r w:rsidRPr="00223DD9">
          <w:rPr>
            <w:rStyle w:val="Hyperlink"/>
          </w:rPr>
          <w:t>E-SOUTH-1</w:t>
        </w:r>
      </w:hyperlink>
      <w:hyperlink r:id="rId11" w:anchor="http-requests-time-series-worldwide" w:history="1"/>
    </w:p>
  </w:footnote>
  <w:footnote w:id="9">
    <w:p w14:paraId="38F4C7BF" w14:textId="4858B36B" w:rsidR="008E2878" w:rsidRPr="00223DD9" w:rsidRDefault="008E2878" w:rsidP="00223DD9">
      <w:pPr>
        <w:pStyle w:val="FootnoteText"/>
      </w:pPr>
      <w:r w:rsidRPr="00926A8B">
        <w:rPr>
          <w:rStyle w:val="FootnoteReference"/>
        </w:rPr>
        <w:footnoteRef/>
      </w:r>
      <w:r w:rsidR="00223DD9">
        <w:tab/>
      </w:r>
      <w:r w:rsidRPr="00223DD9">
        <w:t xml:space="preserve">Actualités du Nasdaq: AWS annonce la création d'une </w:t>
      </w:r>
      <w:r w:rsidR="00E12AAE">
        <w:t>r</w:t>
      </w:r>
      <w:r w:rsidRPr="00223DD9">
        <w:t xml:space="preserve">égion aux Émirats arabes unis | </w:t>
      </w:r>
      <w:hyperlink r:id="rId12" w:history="1">
        <w:r w:rsidRPr="00223DD9">
          <w:rPr>
            <w:rStyle w:val="Hyperlink"/>
          </w:rPr>
          <w:t>https://www.nasdaq.com/press-</w:t>
        </w:r>
        <w:r w:rsidRPr="00223DD9">
          <w:rPr>
            <w:rStyle w:val="Hyperlink"/>
          </w:rPr>
          <w:t>r</w:t>
        </w:r>
        <w:r w:rsidRPr="00223DD9">
          <w:rPr>
            <w:rStyle w:val="Hyperlink"/>
          </w:rPr>
          <w:t>elease/aws-l</w:t>
        </w:r>
        <w:r w:rsidRPr="00223DD9">
          <w:rPr>
            <w:rStyle w:val="Hyperlink"/>
          </w:rPr>
          <w:t>a</w:t>
        </w:r>
        <w:r w:rsidRPr="00223DD9">
          <w:rPr>
            <w:rStyle w:val="Hyperlink"/>
          </w:rPr>
          <w:t>unches-region-in-the-united-arab-emirates-2022-08-30</w:t>
        </w:r>
      </w:hyperlink>
      <w:hyperlink r:id="rId13" w:history="1"/>
    </w:p>
  </w:footnote>
  <w:footnote w:id="10">
    <w:p w14:paraId="219FB88A" w14:textId="172883D5" w:rsidR="008E2878" w:rsidRPr="00E77E94" w:rsidRDefault="008E2878" w:rsidP="00223DD9">
      <w:pPr>
        <w:pStyle w:val="FootnoteText"/>
        <w:rPr>
          <w:sz w:val="16"/>
          <w:szCs w:val="16"/>
        </w:rPr>
      </w:pPr>
      <w:r w:rsidRPr="00926A8B">
        <w:rPr>
          <w:rStyle w:val="FootnoteReference"/>
        </w:rPr>
        <w:footnoteRef/>
      </w:r>
      <w:r w:rsidR="00223DD9" w:rsidRPr="00926A8B">
        <w:rPr>
          <w:rStyle w:val="FootnoteReference"/>
        </w:rPr>
        <w:tab/>
      </w:r>
      <w:r w:rsidRPr="00223DD9">
        <w:t xml:space="preserve">Actualités Amazon: AWS annonce l'ouverture de sa première </w:t>
      </w:r>
      <w:r w:rsidR="00E12AAE">
        <w:t>r</w:t>
      </w:r>
      <w:r w:rsidRPr="00223DD9">
        <w:t xml:space="preserve">égion au Moyen-Orient | </w:t>
      </w:r>
      <w:hyperlink r:id="rId14" w:history="1">
        <w:r w:rsidRPr="00223DD9">
          <w:rPr>
            <w:rStyle w:val="Hyperlink"/>
          </w:rPr>
          <w:t>https://press.aboutamazon.c</w:t>
        </w:r>
        <w:r w:rsidRPr="00223DD9">
          <w:rPr>
            <w:rStyle w:val="Hyperlink"/>
          </w:rPr>
          <w:t>o</w:t>
        </w:r>
        <w:r w:rsidRPr="00223DD9">
          <w:rPr>
            <w:rStyle w:val="Hyperlink"/>
          </w:rPr>
          <w:t>m/2019/7/aws-launches-region-in-the-</w:t>
        </w:r>
        <w:r w:rsidRPr="00223DD9">
          <w:rPr>
            <w:rStyle w:val="Hyperlink"/>
          </w:rPr>
          <w:t>m</w:t>
        </w:r>
        <w:r w:rsidRPr="00223DD9">
          <w:rPr>
            <w:rStyle w:val="Hyperlink"/>
          </w:rPr>
          <w:t>iddle-east</w:t>
        </w:r>
      </w:hyperlink>
      <w:hyperlink r:id="rId15" w:history="1"/>
    </w:p>
  </w:footnote>
  <w:footnote w:id="11">
    <w:p w14:paraId="07774AEC" w14:textId="1C83FCAA" w:rsidR="008E2878" w:rsidRPr="00931926" w:rsidRDefault="008E2878" w:rsidP="00931926">
      <w:pPr>
        <w:pStyle w:val="FootnoteText"/>
      </w:pPr>
      <w:r w:rsidRPr="00926A8B">
        <w:rPr>
          <w:rStyle w:val="FootnoteReference"/>
        </w:rPr>
        <w:footnoteRef/>
      </w:r>
      <w:r w:rsidR="00C54264">
        <w:tab/>
      </w:r>
      <w:r w:rsidRPr="00931926">
        <w:t xml:space="preserve">Un exemple de réussite fondée sur le nuage: le cas de Bahreïn | AWS | </w:t>
      </w:r>
      <w:hyperlink r:id="rId16" w:history="1">
        <w:r w:rsidR="00C54264">
          <w:rPr>
            <w:rStyle w:val="Hyperlink"/>
          </w:rPr>
          <w:t>https://aws.amazon.com/blogs/publicsector/bahrains-cloud-first-s</w:t>
        </w:r>
        <w:r w:rsidR="00C54264">
          <w:rPr>
            <w:rStyle w:val="Hyperlink"/>
          </w:rPr>
          <w:t>u</w:t>
        </w:r>
        <w:r w:rsidR="00C54264">
          <w:rPr>
            <w:rStyle w:val="Hyperlink"/>
          </w:rPr>
          <w:t>ccess-st</w:t>
        </w:r>
        <w:r w:rsidR="00C54264">
          <w:rPr>
            <w:rStyle w:val="Hyperlink"/>
          </w:rPr>
          <w:t>o</w:t>
        </w:r>
        <w:r w:rsidR="00C54264">
          <w:rPr>
            <w:rStyle w:val="Hyperlink"/>
          </w:rPr>
          <w:t>ry/</w:t>
        </w:r>
      </w:hyperlink>
      <w:hyperlink r:id="rId17" w:history="1"/>
    </w:p>
  </w:footnote>
  <w:footnote w:id="12">
    <w:p w14:paraId="295F42AA" w14:textId="486B7E67" w:rsidR="000B3DC1" w:rsidRPr="00931926" w:rsidRDefault="008E2878" w:rsidP="00931926">
      <w:pPr>
        <w:pStyle w:val="FootnoteText"/>
      </w:pPr>
      <w:r w:rsidRPr="00926A8B">
        <w:rPr>
          <w:rStyle w:val="FootnoteReference"/>
        </w:rPr>
        <w:footnoteRef/>
      </w:r>
      <w:r w:rsidR="00926A8B">
        <w:tab/>
        <w:t>T</w:t>
      </w:r>
      <w:r w:rsidRPr="00931926">
        <w:t xml:space="preserve">ransfert de 85% des données des services publics vers Amazon | Autorité de l'information et de l'administration en ligne de Bahreïn | </w:t>
      </w:r>
      <w:hyperlink r:id="rId18" w:history="1">
        <w:r w:rsidR="000B3DC1" w:rsidRPr="003551C0">
          <w:rPr>
            <w:rStyle w:val="Hyperlink"/>
          </w:rPr>
          <w:t>https://www.iga.gov.bh/en/article/85-</w:t>
        </w:r>
        <w:r w:rsidR="000B3DC1" w:rsidRPr="003551C0">
          <w:rPr>
            <w:rStyle w:val="Hyperlink"/>
          </w:rPr>
          <w:t>o</w:t>
        </w:r>
        <w:r w:rsidR="000B3DC1" w:rsidRPr="003551C0">
          <w:rPr>
            <w:rStyle w:val="Hyperlink"/>
          </w:rPr>
          <w:t>f-gover</w:t>
        </w:r>
        <w:r w:rsidR="000B3DC1" w:rsidRPr="003551C0">
          <w:rPr>
            <w:rStyle w:val="Hyperlink"/>
          </w:rPr>
          <w:t>n</w:t>
        </w:r>
        <w:r w:rsidR="000B3DC1" w:rsidRPr="003551C0">
          <w:rPr>
            <w:rStyle w:val="Hyperlink"/>
          </w:rPr>
          <w:t>ment-data-transfer-to-amazon-more-than-300-sites-connected-to-the-government-data-network</w:t>
        </w:r>
      </w:hyperlink>
    </w:p>
  </w:footnote>
  <w:footnote w:id="13">
    <w:p w14:paraId="40E6811A" w14:textId="1DD802AE" w:rsidR="008E2878" w:rsidRPr="00931926" w:rsidRDefault="008E2878" w:rsidP="00931926">
      <w:pPr>
        <w:pStyle w:val="FootnoteText"/>
      </w:pPr>
      <w:r w:rsidRPr="00926A8B">
        <w:rPr>
          <w:rStyle w:val="FootnoteReference"/>
        </w:rPr>
        <w:footnoteRef/>
      </w:r>
      <w:r w:rsidR="00C54264">
        <w:tab/>
      </w:r>
      <w:r w:rsidRPr="00931926">
        <w:t xml:space="preserve">Loi fédérale N° 2 des Émirats arabes unis de 2019 | </w:t>
      </w:r>
      <w:hyperlink r:id="rId19" w:history="1">
        <w:r w:rsidRPr="006C0704">
          <w:rPr>
            <w:rStyle w:val="Hyperlink"/>
          </w:rPr>
          <w:t>https://uaelegislation.gov.ae/en/legislations/12</w:t>
        </w:r>
        <w:r w:rsidRPr="006C0704">
          <w:rPr>
            <w:rStyle w:val="Hyperlink"/>
          </w:rPr>
          <w:t>0</w:t>
        </w:r>
        <w:r w:rsidRPr="006C0704">
          <w:rPr>
            <w:rStyle w:val="Hyperlink"/>
          </w:rPr>
          <w:t>9/</w:t>
        </w:r>
        <w:r w:rsidRPr="006C0704">
          <w:rPr>
            <w:rStyle w:val="Hyperlink"/>
          </w:rPr>
          <w:t>d</w:t>
        </w:r>
        <w:r w:rsidRPr="006C0704">
          <w:rPr>
            <w:rStyle w:val="Hyperlink"/>
          </w:rPr>
          <w:t>ownload</w:t>
        </w:r>
      </w:hyperlink>
      <w:hyperlink r:id="rId20" w:history="1"/>
    </w:p>
  </w:footnote>
  <w:footnote w:id="14">
    <w:p w14:paraId="65F39A7C" w14:textId="106E8AC8" w:rsidR="008E2878" w:rsidRPr="00931926" w:rsidRDefault="008E2878" w:rsidP="00931926">
      <w:pPr>
        <w:pStyle w:val="FootnoteText"/>
      </w:pPr>
      <w:r w:rsidRPr="00926A8B">
        <w:rPr>
          <w:rStyle w:val="FootnoteReference"/>
        </w:rPr>
        <w:footnoteRef/>
      </w:r>
      <w:r w:rsidR="006E0BCA">
        <w:tab/>
      </w:r>
      <w:r w:rsidRPr="00931926">
        <w:t xml:space="preserve">Article 6.1.6.3 du corpus règlementaire de la Banque centrale des Émirats arabes unis | </w:t>
      </w:r>
      <w:hyperlink r:id="rId21" w:history="1">
        <w:r w:rsidRPr="006C0704">
          <w:rPr>
            <w:rStyle w:val="Hyperlink"/>
          </w:rPr>
          <w:t>https://rulebook.centralbank.ae/</w:t>
        </w:r>
        <w:r w:rsidRPr="006C0704">
          <w:rPr>
            <w:rStyle w:val="Hyperlink"/>
          </w:rPr>
          <w:t>e</w:t>
        </w:r>
        <w:r w:rsidRPr="006C0704">
          <w:rPr>
            <w:rStyle w:val="Hyperlink"/>
          </w:rPr>
          <w:t>n/rulebook/consumer-p</w:t>
        </w:r>
        <w:r w:rsidRPr="006C0704">
          <w:rPr>
            <w:rStyle w:val="Hyperlink"/>
          </w:rPr>
          <w:t>r</w:t>
        </w:r>
        <w:r w:rsidRPr="006C0704">
          <w:rPr>
            <w:rStyle w:val="Hyperlink"/>
          </w:rPr>
          <w:t>otection-standards</w:t>
        </w:r>
      </w:hyperlink>
      <w:hyperlink r:id="rId22" w:history="1"/>
    </w:p>
  </w:footnote>
  <w:footnote w:id="15">
    <w:p w14:paraId="4D7A714B" w14:textId="7BCED8EB" w:rsidR="008E2878" w:rsidRPr="00E77E94" w:rsidRDefault="008E2878" w:rsidP="00931926">
      <w:pPr>
        <w:pStyle w:val="FootnoteText"/>
      </w:pPr>
      <w:r w:rsidRPr="00926A8B">
        <w:rPr>
          <w:rStyle w:val="FootnoteReference"/>
        </w:rPr>
        <w:footnoteRef/>
      </w:r>
      <w:r w:rsidR="00C54264">
        <w:tab/>
      </w:r>
      <w:hyperlink r:id="rId23" w:history="1">
        <w:r w:rsidRPr="006C0704">
          <w:rPr>
            <w:rStyle w:val="Hyperlink"/>
          </w:rPr>
          <w:t>Entretien avec Mohammad Altura, Chef de sec</w:t>
        </w:r>
        <w:r w:rsidRPr="006C0704">
          <w:rPr>
            <w:rStyle w:val="Hyperlink"/>
          </w:rPr>
          <w:t>t</w:t>
        </w:r>
        <w:r w:rsidRPr="006C0704">
          <w:rPr>
            <w:rStyle w:val="Hyperlink"/>
          </w:rPr>
          <w:t xml:space="preserve">eur au sein de la </w:t>
        </w:r>
        <w:r w:rsidRPr="006C0704">
          <w:rPr>
            <w:rStyle w:val="Hyperlink"/>
          </w:rPr>
          <w:t>C</w:t>
        </w:r>
        <w:r w:rsidRPr="006C0704">
          <w:rPr>
            <w:rStyle w:val="Hyperlink"/>
          </w:rPr>
          <w:t>ITRA (Koweït)</w:t>
        </w:r>
      </w:hyperlink>
      <w:r w:rsidRPr="00931926">
        <w:t xml:space="preserve"> | AWS Summit, Bahreïn</w:t>
      </w:r>
      <w:hyperlink r:id="rId24" w:history="1"/>
    </w:p>
  </w:footnote>
  <w:footnote w:id="16">
    <w:p w14:paraId="6D5939D0" w14:textId="597C1563" w:rsidR="008E2878" w:rsidRPr="00E875D4" w:rsidRDefault="008E2878" w:rsidP="00926A8B">
      <w:pPr>
        <w:pStyle w:val="FootnoteReference12pt"/>
      </w:pPr>
      <w:r w:rsidRPr="00926A8B">
        <w:rPr>
          <w:rStyle w:val="FootnoteReference"/>
        </w:rPr>
        <w:footnoteRef/>
      </w:r>
      <w:r w:rsidR="00C54264">
        <w:tab/>
      </w:r>
      <w:r w:rsidRPr="00E875D4">
        <w:t xml:space="preserve">ADCB confirme le rétablissement des services bancaires mobiles de détail | </w:t>
      </w:r>
      <w:hyperlink r:id="rId25" w:history="1">
        <w:r w:rsidRPr="00C04DF2">
          <w:rPr>
            <w:rStyle w:val="Hyperlink"/>
          </w:rPr>
          <w:t>https://www.adcb.com</w:t>
        </w:r>
        <w:r w:rsidRPr="00C04DF2">
          <w:rPr>
            <w:rStyle w:val="Hyperlink"/>
          </w:rPr>
          <w:t>/</w:t>
        </w:r>
        <w:r w:rsidRPr="00C04DF2">
          <w:rPr>
            <w:rStyle w:val="Hyperlink"/>
          </w:rPr>
          <w:t>en/about-us/media-centre/ne</w:t>
        </w:r>
        <w:r w:rsidRPr="00C04DF2">
          <w:rPr>
            <w:rStyle w:val="Hyperlink"/>
          </w:rPr>
          <w:t>w</w:t>
        </w:r>
        <w:r w:rsidRPr="00C04DF2">
          <w:rPr>
            <w:rStyle w:val="Hyperlink"/>
          </w:rPr>
          <w:t>s/2026/march/adcb-confirms-restoration-of-retail-mobile-banking-service</w:t>
        </w:r>
      </w:hyperlink>
      <w:r w:rsidRPr="00C04DF2">
        <w:t>s</w:t>
      </w:r>
    </w:p>
  </w:footnote>
  <w:footnote w:id="17">
    <w:p w14:paraId="130BCC2A" w14:textId="797FB39E" w:rsidR="008E2878" w:rsidRPr="00E875D4" w:rsidRDefault="008E2878" w:rsidP="00E875D4">
      <w:pPr>
        <w:pStyle w:val="FootnoteText"/>
      </w:pPr>
      <w:r w:rsidRPr="00926A8B">
        <w:rPr>
          <w:rStyle w:val="FootnoteReference"/>
        </w:rPr>
        <w:footnoteRef/>
      </w:r>
      <w:r w:rsidR="00C54264">
        <w:tab/>
      </w:r>
      <w:r w:rsidRPr="00E875D4">
        <w:t xml:space="preserve">Les banques de Dubaï subissent des coûts à hauteur de plusieurs millions alors que les perturbations des services AWS se poursuivent | </w:t>
      </w:r>
      <w:hyperlink r:id="rId26" w:history="1">
        <w:r w:rsidRPr="00C04DF2">
          <w:rPr>
            <w:rStyle w:val="Hyperlink"/>
          </w:rPr>
          <w:t>https://www.the</w:t>
        </w:r>
        <w:r w:rsidRPr="00C04DF2">
          <w:rPr>
            <w:rStyle w:val="Hyperlink"/>
          </w:rPr>
          <w:t>b</w:t>
        </w:r>
        <w:r w:rsidRPr="00C04DF2">
          <w:rPr>
            <w:rStyle w:val="Hyperlink"/>
          </w:rPr>
          <w:t>anker.com/content/fd078db2-7f55-436d-</w:t>
        </w:r>
        <w:r w:rsidRPr="00C04DF2">
          <w:rPr>
            <w:rStyle w:val="Hyperlink"/>
          </w:rPr>
          <w:t>9</w:t>
        </w:r>
        <w:r w:rsidRPr="00C04DF2">
          <w:rPr>
            <w:rStyle w:val="Hyperlink"/>
          </w:rPr>
          <w:t>d2e-62a0a742ad02</w:t>
        </w:r>
      </w:hyperlink>
      <w:hyperlink r:id="rId27" w:history="1"/>
    </w:p>
  </w:footnote>
  <w:footnote w:id="18">
    <w:p w14:paraId="46A41471" w14:textId="010D621F" w:rsidR="008E2878" w:rsidRPr="00E875D4" w:rsidRDefault="008E2878" w:rsidP="00E875D4">
      <w:pPr>
        <w:pStyle w:val="FootnoteText"/>
      </w:pPr>
      <w:r w:rsidRPr="00926A8B">
        <w:rPr>
          <w:rStyle w:val="FootnoteReference"/>
        </w:rPr>
        <w:footnoteRef/>
      </w:r>
      <w:r w:rsidR="00C04DF2">
        <w:tab/>
      </w:r>
      <w:r w:rsidRPr="00E875D4">
        <w:t xml:space="preserve">Ce que la guerre contre l'Iran coûte aux ambitions communes du Golfe et des États-Unis en matière d'IA | The Center for Strategic and International </w:t>
      </w:r>
      <w:proofErr w:type="spellStart"/>
      <w:r w:rsidRPr="00E875D4">
        <w:t>Studies</w:t>
      </w:r>
      <w:proofErr w:type="spellEnd"/>
      <w:r w:rsidRPr="00E875D4">
        <w:t xml:space="preserve"> (CSIS)| </w:t>
      </w:r>
      <w:hyperlink r:id="rId28" w:history="1">
        <w:r w:rsidRPr="00C04DF2">
          <w:rPr>
            <w:rStyle w:val="Hyperlink"/>
          </w:rPr>
          <w:t>https://www.csis.org/analysis/what-i</w:t>
        </w:r>
        <w:r w:rsidRPr="00C04DF2">
          <w:rPr>
            <w:rStyle w:val="Hyperlink"/>
          </w:rPr>
          <w:t>r</w:t>
        </w:r>
        <w:r w:rsidRPr="00C04DF2">
          <w:rPr>
            <w:rStyle w:val="Hyperlink"/>
          </w:rPr>
          <w:t>an-war-costing-joint-gulf-us-ambiti</w:t>
        </w:r>
        <w:r w:rsidRPr="00C04DF2">
          <w:rPr>
            <w:rStyle w:val="Hyperlink"/>
          </w:rPr>
          <w:t>o</w:t>
        </w:r>
        <w:r w:rsidRPr="00C04DF2">
          <w:rPr>
            <w:rStyle w:val="Hyperlink"/>
          </w:rPr>
          <w:t>ns-ai</w:t>
        </w:r>
      </w:hyperlink>
      <w:hyperlink r:id="rId29" w:history="1"/>
    </w:p>
  </w:footnote>
  <w:footnote w:id="19">
    <w:p w14:paraId="1FB0FAD6" w14:textId="7979F79B" w:rsidR="008E2878" w:rsidRPr="00E875D4" w:rsidRDefault="008E2878" w:rsidP="00E875D4">
      <w:pPr>
        <w:pStyle w:val="FootnoteText"/>
      </w:pPr>
      <w:r w:rsidRPr="00926A8B">
        <w:rPr>
          <w:rStyle w:val="FootnoteReference"/>
        </w:rPr>
        <w:footnoteRef/>
      </w:r>
      <w:r w:rsidR="00C54264">
        <w:tab/>
      </w:r>
      <w:r w:rsidRPr="00E875D4">
        <w:t xml:space="preserve">Informations actualisées sur l'état des services AWS, ME-SOUTH-1 (Bahreïn), septembre 2026 | </w:t>
      </w:r>
      <w:hyperlink r:id="rId30" w:history="1">
        <w:r w:rsidRPr="00C04DF2">
          <w:rPr>
            <w:rStyle w:val="Hyperlink"/>
          </w:rPr>
          <w:t>https://health.aws.amazon.com/health/status?_sp=d6244f1c-0cb2-49</w:t>
        </w:r>
        <w:r w:rsidRPr="00C04DF2">
          <w:rPr>
            <w:rStyle w:val="Hyperlink"/>
          </w:rPr>
          <w:t>8</w:t>
        </w:r>
        <w:r w:rsidRPr="00C04DF2">
          <w:rPr>
            <w:rStyle w:val="Hyperlink"/>
          </w:rPr>
          <w:t>b-b35e-cd0e2a94502e&amp;tag=itechgui</w:t>
        </w:r>
        <w:r w:rsidRPr="00C04DF2">
          <w:rPr>
            <w:rStyle w:val="Hyperlink"/>
          </w:rPr>
          <w:t>d</w:t>
        </w:r>
        <w:r w:rsidRPr="00C04DF2">
          <w:rPr>
            <w:rStyle w:val="Hyperlink"/>
          </w:rPr>
          <w:t>es04-20</w:t>
        </w:r>
      </w:hyperlink>
      <w:hyperlink r:id="rId31" w:history="1"/>
    </w:p>
  </w:footnote>
  <w:footnote w:id="20">
    <w:p w14:paraId="639397AA" w14:textId="1ED4B37A" w:rsidR="008E2878" w:rsidRPr="00E875D4" w:rsidRDefault="008E2878" w:rsidP="00E875D4">
      <w:pPr>
        <w:pStyle w:val="FootnoteText"/>
      </w:pPr>
      <w:r w:rsidRPr="00926A8B">
        <w:rPr>
          <w:rStyle w:val="FootnoteReference"/>
        </w:rPr>
        <w:footnoteRef/>
      </w:r>
      <w:r w:rsidR="00C54264">
        <w:tab/>
      </w:r>
      <w:r w:rsidRPr="00E875D4">
        <w:t xml:space="preserve">Les États du Golfe conservent leur avantage dans la course à l'IA malgré la guerre | </w:t>
      </w:r>
      <w:hyperlink r:id="rId32" w:history="1">
        <w:r w:rsidR="000B3DC1" w:rsidRPr="003551C0">
          <w:rPr>
            <w:rStyle w:val="Hyperlink"/>
          </w:rPr>
          <w:t>https://www.bakerinstitute.org/sites/default/</w:t>
        </w:r>
        <w:r w:rsidR="000B3DC1" w:rsidRPr="003551C0">
          <w:rPr>
            <w:rStyle w:val="Hyperlink"/>
          </w:rPr>
          <w:t>f</w:t>
        </w:r>
        <w:r w:rsidR="000B3DC1" w:rsidRPr="003551C0">
          <w:rPr>
            <w:rStyle w:val="Hyperlink"/>
          </w:rPr>
          <w:t>iles/2026-04/20260410_Global%2</w:t>
        </w:r>
        <w:r w:rsidR="000B3DC1" w:rsidRPr="003551C0">
          <w:rPr>
            <w:rStyle w:val="Hyperlink"/>
          </w:rPr>
          <w:t>0</w:t>
        </w:r>
        <w:r w:rsidR="000B3DC1" w:rsidRPr="003551C0">
          <w:rPr>
            <w:rStyle w:val="Hyperlink"/>
          </w:rPr>
          <w:t>AI</w:t>
        </w:r>
        <w:r w:rsidR="000B3DC1" w:rsidRPr="003551C0">
          <w:rPr>
            <w:rStyle w:val="Hyperlink"/>
          </w:rPr>
          <w:t>%</w:t>
        </w:r>
        <w:r w:rsidR="000B3DC1" w:rsidRPr="003551C0">
          <w:rPr>
            <w:rStyle w:val="Hyperlink"/>
          </w:rPr>
          <w:t>20Race.pdf</w:t>
        </w:r>
      </w:hyperlink>
      <w:hyperlink r:id="rId33" w:history="1"/>
    </w:p>
  </w:footnote>
  <w:footnote w:id="21">
    <w:p w14:paraId="302E503E" w14:textId="32E6F25F" w:rsidR="008E2878" w:rsidRPr="00E875D4" w:rsidRDefault="008E2878" w:rsidP="00E875D4">
      <w:pPr>
        <w:pStyle w:val="FootnoteText"/>
      </w:pPr>
      <w:r w:rsidRPr="00926A8B">
        <w:rPr>
          <w:rStyle w:val="FootnoteReference"/>
        </w:rPr>
        <w:footnoteRef/>
      </w:r>
      <w:r w:rsidR="00C54264">
        <w:tab/>
      </w:r>
      <w:r w:rsidRPr="00E875D4">
        <w:t xml:space="preserve">Sharjah fait face à une attaque par drone contre le bâtiment "Thuraya" | Sharjah 24 | </w:t>
      </w:r>
      <w:hyperlink r:id="rId34" w:history="1">
        <w:r w:rsidRPr="00FE242C">
          <w:rPr>
            <w:rStyle w:val="Hyperlink"/>
          </w:rPr>
          <w:t>https://sharjah24.ae/en/Articles/202</w:t>
        </w:r>
        <w:r w:rsidRPr="00FE242C">
          <w:rPr>
            <w:rStyle w:val="Hyperlink"/>
          </w:rPr>
          <w:t>6</w:t>
        </w:r>
        <w:r w:rsidRPr="00FE242C">
          <w:rPr>
            <w:rStyle w:val="Hyperlink"/>
          </w:rPr>
          <w:t>/03/31/a32</w:t>
        </w:r>
      </w:hyperlink>
      <w:hyperlink r:id="rId35" w:history="1"/>
    </w:p>
  </w:footnote>
  <w:footnote w:id="22">
    <w:p w14:paraId="7BC91B2F" w14:textId="14754366" w:rsidR="008E2878" w:rsidRPr="00E77E94" w:rsidRDefault="008E2878" w:rsidP="00E875D4">
      <w:pPr>
        <w:pStyle w:val="FootnoteText"/>
        <w:rPr>
          <w:sz w:val="16"/>
          <w:szCs w:val="16"/>
        </w:rPr>
      </w:pPr>
      <w:r w:rsidRPr="00926A8B">
        <w:rPr>
          <w:rStyle w:val="FootnoteReference"/>
        </w:rPr>
        <w:footnoteRef/>
      </w:r>
      <w:r w:rsidR="00C54264">
        <w:tab/>
      </w:r>
      <w:r w:rsidRPr="00E875D4">
        <w:t xml:space="preserve">Les autorités de Fujairah interviennent à la suite d'un incident causé par le ciblage d'un bâtiment de télécommunication de la société "du" par un drone lancé depuis l'Iran | Agence de presse des Émirats (WAM) | </w:t>
      </w:r>
      <w:hyperlink r:id="rId36" w:history="1">
        <w:r w:rsidRPr="00FE242C">
          <w:rPr>
            <w:rStyle w:val="Hyperlink"/>
          </w:rPr>
          <w:t>https://www.wam.ae/en</w:t>
        </w:r>
        <w:r w:rsidRPr="00FE242C">
          <w:rPr>
            <w:rStyle w:val="Hyperlink"/>
          </w:rPr>
          <w:t>/</w:t>
        </w:r>
        <w:r w:rsidRPr="00FE242C">
          <w:rPr>
            <w:rStyle w:val="Hyperlink"/>
          </w:rPr>
          <w:t>article/175otv1-a</w:t>
        </w:r>
        <w:r w:rsidRPr="00FE242C">
          <w:rPr>
            <w:rStyle w:val="Hyperlink"/>
          </w:rPr>
          <w:t>u</w:t>
        </w:r>
        <w:r w:rsidRPr="00FE242C">
          <w:rPr>
            <w:rStyle w:val="Hyperlink"/>
          </w:rPr>
          <w:t>thorities-fujairah-respond-incident-targeting-du</w:t>
        </w:r>
      </w:hyperlink>
      <w:hyperlink r:id="rId37" w:history="1"/>
    </w:p>
  </w:footnote>
  <w:footnote w:id="23">
    <w:p w14:paraId="6D24D0E8" w14:textId="394FDEAC" w:rsidR="008E2878" w:rsidRPr="00FE242C" w:rsidRDefault="008E2878" w:rsidP="00FE242C">
      <w:pPr>
        <w:pStyle w:val="FootnoteText"/>
      </w:pPr>
      <w:r w:rsidRPr="00926A8B">
        <w:rPr>
          <w:rStyle w:val="FootnoteReference"/>
        </w:rPr>
        <w:footnoteRef/>
      </w:r>
      <w:r w:rsidR="00C54264">
        <w:tab/>
      </w:r>
      <w:r w:rsidRPr="00FE242C">
        <w:t xml:space="preserve">Rapport sur les incidences des brouillages causés au GNSS sur la sécurité | Royal Institute of Navigation | </w:t>
      </w:r>
      <w:hyperlink r:id="rId38" w:history="1">
        <w:r w:rsidRPr="00FE242C">
          <w:rPr>
            <w:rStyle w:val="Hyperlink"/>
          </w:rPr>
          <w:t>https://rin.org.uk/page/RI</w:t>
        </w:r>
        <w:r w:rsidRPr="00FE242C">
          <w:rPr>
            <w:rStyle w:val="Hyperlink"/>
          </w:rPr>
          <w:t>N</w:t>
        </w:r>
        <w:r w:rsidRPr="00FE242C">
          <w:rPr>
            <w:rStyle w:val="Hyperlink"/>
          </w:rPr>
          <w:t>_Maritim</w:t>
        </w:r>
        <w:r w:rsidRPr="00FE242C">
          <w:rPr>
            <w:rStyle w:val="Hyperlink"/>
          </w:rPr>
          <w:t>e</w:t>
        </w:r>
        <w:r w:rsidRPr="00FE242C">
          <w:rPr>
            <w:rStyle w:val="Hyperlink"/>
          </w:rPr>
          <w:t>_Report</w:t>
        </w:r>
      </w:hyperlink>
    </w:p>
  </w:footnote>
  <w:footnote w:id="24">
    <w:p w14:paraId="386F57C8" w14:textId="42C5CCD5" w:rsidR="008E2878" w:rsidRPr="00FE242C" w:rsidRDefault="008E2878" w:rsidP="00FE242C">
      <w:pPr>
        <w:pStyle w:val="FootnoteText"/>
      </w:pPr>
      <w:r w:rsidRPr="00926A8B">
        <w:rPr>
          <w:rStyle w:val="FootnoteReference"/>
        </w:rPr>
        <w:footnoteRef/>
      </w:r>
      <w:r w:rsidR="00FE242C">
        <w:tab/>
      </w:r>
      <w:r w:rsidRPr="00FE242C">
        <w:t xml:space="preserve">Évaluation des risques pour la sécurité liés aux brouillages radioélectriques causés au système mondial de navigation par satellite GNSS | IATA | </w:t>
      </w:r>
      <w:hyperlink r:id="rId39" w:history="1">
        <w:r w:rsidR="00FE242C" w:rsidRPr="00FE242C">
          <w:rPr>
            <w:rStyle w:val="Hyperlink"/>
          </w:rPr>
          <w:t>https://ic.iata.org/sites/default/files/iata_sih_docum</w:t>
        </w:r>
        <w:r w:rsidR="00FE242C" w:rsidRPr="00FE242C">
          <w:rPr>
            <w:rStyle w:val="Hyperlink"/>
          </w:rPr>
          <w:t>e</w:t>
        </w:r>
        <w:r w:rsidR="00FE242C" w:rsidRPr="00FE242C">
          <w:rPr>
            <w:rStyle w:val="Hyperlink"/>
          </w:rPr>
          <w:t>nt_attachment/IATA%20Safety%20Risk%20Assessment%20-%20GNSS%20Interferen</w:t>
        </w:r>
        <w:r w:rsidR="00FE242C" w:rsidRPr="00FE242C">
          <w:rPr>
            <w:rStyle w:val="Hyperlink"/>
          </w:rPr>
          <w:t>c</w:t>
        </w:r>
        <w:r w:rsidR="00FE242C" w:rsidRPr="00FE242C">
          <w:rPr>
            <w:rStyle w:val="Hyperlink"/>
          </w:rPr>
          <w:t>e%20V5.pdf</w:t>
        </w:r>
        <w:bookmarkStart w:id="12" w:name="OLE_LINK3"/>
        <w:bookmarkEnd w:id="12"/>
      </w:hyperlink>
    </w:p>
  </w:footnote>
  <w:footnote w:id="25">
    <w:p w14:paraId="2287651B" w14:textId="481E376A" w:rsidR="008E2878" w:rsidRPr="00FE242C" w:rsidRDefault="008E2878" w:rsidP="00FE242C">
      <w:pPr>
        <w:pStyle w:val="FootnoteText"/>
      </w:pPr>
      <w:r w:rsidRPr="00926A8B">
        <w:rPr>
          <w:rStyle w:val="FootnoteReference"/>
        </w:rPr>
        <w:footnoteRef/>
      </w:r>
      <w:r w:rsidR="00FE242C">
        <w:tab/>
      </w:r>
      <w:r w:rsidRPr="00FE242C">
        <w:t xml:space="preserve">Le brouillage du système est désormais une menace courante pour la navigation maritime: ce qui a changé entre 2025 et 2026 | </w:t>
      </w:r>
      <w:proofErr w:type="spellStart"/>
      <w:r w:rsidRPr="00FE242C">
        <w:t>Windward</w:t>
      </w:r>
      <w:proofErr w:type="spellEnd"/>
      <w:r w:rsidRPr="00FE242C">
        <w:t xml:space="preserve"> | </w:t>
      </w:r>
      <w:hyperlink r:id="rId40" w:history="1">
        <w:r w:rsidRPr="00FE242C">
          <w:rPr>
            <w:rStyle w:val="Hyperlink"/>
          </w:rPr>
          <w:t>https://windward.ai/blog/gp</w:t>
        </w:r>
        <w:r w:rsidRPr="00FE242C">
          <w:rPr>
            <w:rStyle w:val="Hyperlink"/>
          </w:rPr>
          <w:t>s</w:t>
        </w:r>
        <w:r w:rsidRPr="00FE242C">
          <w:rPr>
            <w:rStyle w:val="Hyperlink"/>
          </w:rPr>
          <w:t>-jamming-is-mainstream-changes-between-2025-and-2</w:t>
        </w:r>
        <w:r w:rsidRPr="00FE242C">
          <w:rPr>
            <w:rStyle w:val="Hyperlink"/>
          </w:rPr>
          <w:t>0</w:t>
        </w:r>
        <w:r w:rsidRPr="00FE242C">
          <w:rPr>
            <w:rStyle w:val="Hyperlink"/>
          </w:rPr>
          <w:t>26/</w:t>
        </w:r>
      </w:hyperlink>
      <w:hyperlink r:id="rId41" w:history="1"/>
    </w:p>
  </w:footnote>
  <w:footnote w:id="26">
    <w:p w14:paraId="3F3E814B" w14:textId="4A40A98F" w:rsidR="008E2878" w:rsidRPr="00FE242C" w:rsidRDefault="008E2878" w:rsidP="00FE242C">
      <w:pPr>
        <w:pStyle w:val="FootnoteText"/>
      </w:pPr>
      <w:r w:rsidRPr="00926A8B">
        <w:rPr>
          <w:rStyle w:val="FootnoteReference"/>
        </w:rPr>
        <w:footnoteRef/>
      </w:r>
      <w:r w:rsidR="00C54264">
        <w:tab/>
      </w:r>
      <w:r w:rsidRPr="00FE242C">
        <w:t xml:space="preserve">Le système GPS, nouveau champ de bataille: pourquoi vos cartes ne fonctionnent plus | </w:t>
      </w:r>
      <w:proofErr w:type="spellStart"/>
      <w:r w:rsidRPr="00FE242C">
        <w:t>Wired</w:t>
      </w:r>
      <w:proofErr w:type="spellEnd"/>
      <w:r w:rsidRPr="00FE242C">
        <w:t xml:space="preserve"> | </w:t>
      </w:r>
      <w:hyperlink r:id="rId42" w:history="1">
        <w:r w:rsidRPr="00FE242C">
          <w:rPr>
            <w:rStyle w:val="Hyperlink"/>
          </w:rPr>
          <w:t>https://www.wired.me/story/gps-is-the-new-battlefield</w:t>
        </w:r>
        <w:r w:rsidRPr="00FE242C">
          <w:rPr>
            <w:rStyle w:val="Hyperlink"/>
          </w:rPr>
          <w:t>-</w:t>
        </w:r>
        <w:r w:rsidRPr="00FE242C">
          <w:rPr>
            <w:rStyle w:val="Hyperlink"/>
          </w:rPr>
          <w:t>why-your-maps-arent-w</w:t>
        </w:r>
        <w:r w:rsidRPr="00FE242C">
          <w:rPr>
            <w:rStyle w:val="Hyperlink"/>
          </w:rPr>
          <w:t>o</w:t>
        </w:r>
        <w:r w:rsidRPr="00FE242C">
          <w:rPr>
            <w:rStyle w:val="Hyperlink"/>
          </w:rPr>
          <w:t>rking</w:t>
        </w:r>
      </w:hyperlink>
      <w:hyperlink r:id="rId43" w:history="1"/>
    </w:p>
  </w:footnote>
  <w:footnote w:id="27">
    <w:p w14:paraId="0D8E3269" w14:textId="272472AF" w:rsidR="00F97162" w:rsidRPr="00FE242C" w:rsidRDefault="008E2878" w:rsidP="00FE242C">
      <w:pPr>
        <w:pStyle w:val="FootnoteText"/>
      </w:pPr>
      <w:r w:rsidRPr="00926A8B">
        <w:rPr>
          <w:rStyle w:val="FootnoteReference"/>
        </w:rPr>
        <w:footnoteRef/>
      </w:r>
      <w:r w:rsidR="00C54264">
        <w:tab/>
      </w:r>
      <w:r w:rsidRPr="00FE242C">
        <w:t xml:space="preserve">Finlande – Les réseaux cellulaires également touchés par les brouillages | The </w:t>
      </w:r>
      <w:proofErr w:type="spellStart"/>
      <w:r w:rsidRPr="00FE242C">
        <w:t>Resilient</w:t>
      </w:r>
      <w:proofErr w:type="spellEnd"/>
      <w:r w:rsidRPr="00FE242C">
        <w:t xml:space="preserve"> Navigation &amp; Timing (RNT) </w:t>
      </w:r>
      <w:proofErr w:type="spellStart"/>
      <w:r w:rsidRPr="00FE242C">
        <w:t>Foundation</w:t>
      </w:r>
      <w:proofErr w:type="spellEnd"/>
      <w:r w:rsidRPr="00FE242C">
        <w:t xml:space="preserve"> | </w:t>
      </w:r>
      <w:hyperlink r:id="rId44" w:history="1">
        <w:r w:rsidR="00F97162" w:rsidRPr="003551C0">
          <w:rPr>
            <w:rStyle w:val="Hyperlink"/>
          </w:rPr>
          <w:t>https://rntfn</w:t>
        </w:r>
        <w:r w:rsidR="00F97162" w:rsidRPr="003551C0">
          <w:rPr>
            <w:rStyle w:val="Hyperlink"/>
          </w:rPr>
          <w:t>d</w:t>
        </w:r>
        <w:r w:rsidR="00F97162" w:rsidRPr="003551C0">
          <w:rPr>
            <w:rStyle w:val="Hyperlink"/>
          </w:rPr>
          <w:t>.org/2026/04/23/finland-cellular-also-impacted-by-interference/</w:t>
        </w:r>
      </w:hyperlink>
    </w:p>
  </w:footnote>
  <w:footnote w:id="28">
    <w:p w14:paraId="12A78060" w14:textId="2FCC1ADF" w:rsidR="008E2878" w:rsidRPr="00E77E94" w:rsidRDefault="008E2878" w:rsidP="00FE242C">
      <w:pPr>
        <w:pStyle w:val="FootnoteText"/>
      </w:pPr>
      <w:r w:rsidRPr="00926A8B">
        <w:rPr>
          <w:rStyle w:val="FootnoteReference"/>
        </w:rPr>
        <w:footnoteRef/>
      </w:r>
      <w:r w:rsidR="00C54264">
        <w:tab/>
      </w:r>
      <w:r w:rsidRPr="00FE242C">
        <w:t xml:space="preserve">Brouillages préjudiciables causés au service de radionavigation par satellite | UIT | </w:t>
      </w:r>
      <w:hyperlink r:id="rId45" w:anchor="/fr" w:history="1">
        <w:r w:rsidRPr="00B80AF2">
          <w:rPr>
            <w:rStyle w:val="Hyperlink"/>
          </w:rPr>
          <w:t>https://www.itu.int/harmful-interference-to</w:t>
        </w:r>
        <w:r w:rsidRPr="00B80AF2">
          <w:rPr>
            <w:rStyle w:val="Hyperlink"/>
          </w:rPr>
          <w:t>-</w:t>
        </w:r>
        <w:r w:rsidRPr="00B80AF2">
          <w:rPr>
            <w:rStyle w:val="Hyperlink"/>
          </w:rPr>
          <w:t>rnss/</w:t>
        </w:r>
        <w:r w:rsidRPr="00B80AF2">
          <w:rPr>
            <w:rStyle w:val="Hyperlink"/>
          </w:rPr>
          <w:t>#</w:t>
        </w:r>
        <w:r w:rsidRPr="00B80AF2">
          <w:rPr>
            <w:rStyle w:val="Hyperlink"/>
          </w:rPr>
          <w:t>102nd-rrb-meeting</w:t>
        </w:r>
      </w:hyperlink>
    </w:p>
  </w:footnote>
  <w:footnote w:id="29">
    <w:p w14:paraId="775D713F" w14:textId="2B8BE7C2" w:rsidR="00F97162" w:rsidRPr="00D448A4" w:rsidRDefault="008E2878" w:rsidP="00D448A4">
      <w:pPr>
        <w:pStyle w:val="FootnoteText"/>
      </w:pPr>
      <w:r w:rsidRPr="00926A8B">
        <w:rPr>
          <w:rStyle w:val="FootnoteReference"/>
        </w:rPr>
        <w:footnoteRef/>
      </w:r>
      <w:r w:rsidR="00C54264">
        <w:tab/>
      </w:r>
      <w:r w:rsidRPr="00D448A4">
        <w:t xml:space="preserve">Naviguer en eaux hostiles: les infrastructures de câbles sous-marins et le détroit d'Ormuz | </w:t>
      </w:r>
      <w:proofErr w:type="spellStart"/>
      <w:r w:rsidRPr="00D448A4">
        <w:t>TeleGeography</w:t>
      </w:r>
      <w:proofErr w:type="spellEnd"/>
      <w:r w:rsidRPr="00D448A4">
        <w:t xml:space="preserve"> | </w:t>
      </w:r>
      <w:hyperlink r:id="rId46" w:history="1">
        <w:r w:rsidR="00F97162" w:rsidRPr="003551C0">
          <w:rPr>
            <w:rStyle w:val="Hyperlink"/>
          </w:rPr>
          <w:t>https://resour</w:t>
        </w:r>
        <w:r w:rsidR="00F97162" w:rsidRPr="003551C0">
          <w:rPr>
            <w:rStyle w:val="Hyperlink"/>
          </w:rPr>
          <w:t>c</w:t>
        </w:r>
        <w:r w:rsidR="00F97162" w:rsidRPr="003551C0">
          <w:rPr>
            <w:rStyle w:val="Hyperlink"/>
          </w:rPr>
          <w:t>es.telegeography.com/submarine-cable-infrastructure-strait-hormuz</w:t>
        </w:r>
      </w:hyperlink>
    </w:p>
  </w:footnote>
  <w:footnote w:id="30">
    <w:p w14:paraId="47BA520F" w14:textId="26C98FA7" w:rsidR="008E2878" w:rsidRPr="004F7608" w:rsidRDefault="008E2878" w:rsidP="004F7608">
      <w:pPr>
        <w:pStyle w:val="FootnoteText"/>
      </w:pPr>
      <w:r w:rsidRPr="00926A8B">
        <w:rPr>
          <w:rStyle w:val="FootnoteReference"/>
        </w:rPr>
        <w:footnoteRef/>
      </w:r>
      <w:r w:rsidR="00C54264">
        <w:tab/>
      </w:r>
      <w:proofErr w:type="spellStart"/>
      <w:r w:rsidRPr="004F7608">
        <w:t>Cyberexercice</w:t>
      </w:r>
      <w:proofErr w:type="spellEnd"/>
      <w:r w:rsidRPr="004F7608">
        <w:t xml:space="preserve"> mondial de l'UIT; annulé | </w:t>
      </w:r>
      <w:hyperlink r:id="rId47" w:history="1">
        <w:r w:rsidR="00F97162" w:rsidRPr="003551C0">
          <w:rPr>
            <w:rStyle w:val="Hyperlink"/>
          </w:rPr>
          <w:t>https://www.itu.i</w:t>
        </w:r>
        <w:r w:rsidR="00F97162" w:rsidRPr="003551C0">
          <w:rPr>
            <w:rStyle w:val="Hyperlink"/>
          </w:rPr>
          <w:t>n</w:t>
        </w:r>
        <w:r w:rsidR="00F97162" w:rsidRPr="003551C0">
          <w:rPr>
            <w:rStyle w:val="Hyperlink"/>
          </w:rPr>
          <w:t>t/en/ITU-D/Cybersecurity/Pages/CyberDrill-2026/GlobalCyberDrill-26.aspx</w:t>
        </w:r>
      </w:hyperlink>
      <w:hyperlink r:id="rId48" w:history="1"/>
    </w:p>
  </w:footnote>
  <w:footnote w:id="31">
    <w:p w14:paraId="47860312" w14:textId="71DA3FEE" w:rsidR="000B3DC1" w:rsidRPr="004F7608" w:rsidRDefault="008E2878" w:rsidP="004F7608">
      <w:pPr>
        <w:pStyle w:val="FootnoteText"/>
      </w:pPr>
      <w:r w:rsidRPr="00926A8B">
        <w:rPr>
          <w:rStyle w:val="FootnoteReference"/>
        </w:rPr>
        <w:footnoteRef/>
      </w:r>
      <w:r w:rsidR="00C54264">
        <w:tab/>
      </w:r>
      <w:r w:rsidRPr="004F7608">
        <w:t xml:space="preserve">Forum régional sur le développement pour les États arabes (RDF26-ARB) – Report à 2027 | </w:t>
      </w:r>
      <w:hyperlink r:id="rId49" w:history="1">
        <w:r w:rsidR="000B3DC1" w:rsidRPr="003551C0">
          <w:rPr>
            <w:rStyle w:val="Hyperlink"/>
          </w:rPr>
          <w:t>https://www.itu.int/dms_pu</w:t>
        </w:r>
        <w:r w:rsidR="000B3DC1" w:rsidRPr="003551C0">
          <w:rPr>
            <w:rStyle w:val="Hyperlink"/>
          </w:rPr>
          <w:t>b</w:t>
        </w:r>
        <w:r w:rsidR="000B3DC1" w:rsidRPr="003551C0">
          <w:rPr>
            <w:rStyle w:val="Hyperlink"/>
          </w:rPr>
          <w:t>/itu-d/md/26/dm/cir/</w:t>
        </w:r>
        <w:r w:rsidR="000B3DC1" w:rsidRPr="003551C0">
          <w:rPr>
            <w:rStyle w:val="Hyperlink"/>
          </w:rPr>
          <w:t>D</w:t>
        </w:r>
        <w:r w:rsidR="000B3DC1" w:rsidRPr="003551C0">
          <w:rPr>
            <w:rStyle w:val="Hyperlink"/>
          </w:rPr>
          <w:t>26-DM-CIR-0027!!PDF-E.pdf</w:t>
        </w:r>
      </w:hyperlink>
    </w:p>
  </w:footnote>
  <w:footnote w:id="32">
    <w:p w14:paraId="69C81AD7" w14:textId="5F0B95CB" w:rsidR="000B3DC1" w:rsidRPr="004F7608" w:rsidRDefault="008E2878" w:rsidP="004F7608">
      <w:pPr>
        <w:pStyle w:val="FootnoteText"/>
      </w:pPr>
      <w:r w:rsidRPr="00926A8B">
        <w:rPr>
          <w:rStyle w:val="FootnoteReference"/>
        </w:rPr>
        <w:footnoteRef/>
      </w:r>
      <w:r w:rsidR="00C54264">
        <w:tab/>
      </w:r>
      <w:r w:rsidRPr="004F7608">
        <w:t xml:space="preserve">Manifestations de l'UIT pour l'année 2026 | </w:t>
      </w:r>
      <w:hyperlink r:id="rId50" w:history="1">
        <w:r w:rsidR="00F97162">
          <w:rPr>
            <w:rStyle w:val="Hyperlink"/>
          </w:rPr>
          <w:t>https://www.itu.i</w:t>
        </w:r>
        <w:r w:rsidR="00F97162">
          <w:rPr>
            <w:rStyle w:val="Hyperlink"/>
          </w:rPr>
          <w:t>n</w:t>
        </w:r>
        <w:r w:rsidR="00F97162">
          <w:rPr>
            <w:rStyle w:val="Hyperlink"/>
          </w:rPr>
          <w:t>t/en/ITU-D/Regional-Presence/ArabStates/Pages/events.aspx</w:t>
        </w:r>
      </w:hyperlink>
    </w:p>
  </w:footnote>
  <w:footnote w:id="33">
    <w:p w14:paraId="331C3FF1" w14:textId="706FB97B" w:rsidR="008E2878" w:rsidRPr="004F7608" w:rsidRDefault="008E2878" w:rsidP="004F7608">
      <w:pPr>
        <w:pStyle w:val="FootnoteText"/>
      </w:pPr>
      <w:r w:rsidRPr="00926A8B">
        <w:rPr>
          <w:rStyle w:val="FootnoteReference"/>
        </w:rPr>
        <w:footnoteRef/>
      </w:r>
      <w:r w:rsidR="00C54264">
        <w:tab/>
      </w:r>
      <w:r w:rsidRPr="004F7608">
        <w:t xml:space="preserve">Évaluation des besoins après une catastrophe | PNUD | </w:t>
      </w:r>
      <w:hyperlink r:id="rId51" w:history="1">
        <w:r w:rsidR="00F97162">
          <w:rPr>
            <w:rStyle w:val="Hyperlink"/>
          </w:rPr>
          <w:t>https://www.undp.org/publications/post-disaster-needs-assessment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ED6A7"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650D8FD2" w14:textId="07813431" w:rsidR="00BD1614" w:rsidRDefault="00BD1614" w:rsidP="001E2226">
    <w:pPr>
      <w:pStyle w:val="Header"/>
    </w:pPr>
    <w:r>
      <w:t>PP</w:t>
    </w:r>
    <w:r w:rsidR="002A7A1D">
      <w:t>2</w:t>
    </w:r>
    <w:r w:rsidR="008407A7">
      <w:t>6</w:t>
    </w:r>
    <w:r>
      <w:t>/</w:t>
    </w:r>
    <w:r w:rsidR="002C28F7">
      <w:t>70</w:t>
    </w:r>
    <w:r w:rsidR="00801154">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01CB"/>
    <w:rsid w:val="000054D8"/>
    <w:rsid w:val="00026CB5"/>
    <w:rsid w:val="00030DFA"/>
    <w:rsid w:val="00060D74"/>
    <w:rsid w:val="000613A2"/>
    <w:rsid w:val="00071E1D"/>
    <w:rsid w:val="00072D5C"/>
    <w:rsid w:val="0008398C"/>
    <w:rsid w:val="00084308"/>
    <w:rsid w:val="000B14B6"/>
    <w:rsid w:val="000B3DC1"/>
    <w:rsid w:val="000C467B"/>
    <w:rsid w:val="000C7AF4"/>
    <w:rsid w:val="000D15FB"/>
    <w:rsid w:val="000F58F7"/>
    <w:rsid w:val="001051E4"/>
    <w:rsid w:val="001354EA"/>
    <w:rsid w:val="00136FCE"/>
    <w:rsid w:val="00145526"/>
    <w:rsid w:val="00153BA4"/>
    <w:rsid w:val="001573A7"/>
    <w:rsid w:val="00160E25"/>
    <w:rsid w:val="00180F9F"/>
    <w:rsid w:val="001941AD"/>
    <w:rsid w:val="0019732C"/>
    <w:rsid w:val="001A0682"/>
    <w:rsid w:val="001A6C46"/>
    <w:rsid w:val="001B3B7D"/>
    <w:rsid w:val="001B4D8D"/>
    <w:rsid w:val="001C3790"/>
    <w:rsid w:val="001D31B2"/>
    <w:rsid w:val="001E1B9B"/>
    <w:rsid w:val="001E2226"/>
    <w:rsid w:val="001F0B24"/>
    <w:rsid w:val="001F6233"/>
    <w:rsid w:val="001F7ACE"/>
    <w:rsid w:val="00223DD9"/>
    <w:rsid w:val="002355CD"/>
    <w:rsid w:val="0025173A"/>
    <w:rsid w:val="00270B2F"/>
    <w:rsid w:val="002712F9"/>
    <w:rsid w:val="00294054"/>
    <w:rsid w:val="002A0E1B"/>
    <w:rsid w:val="002A7A1D"/>
    <w:rsid w:val="002C1059"/>
    <w:rsid w:val="002C28F7"/>
    <w:rsid w:val="002C2F9C"/>
    <w:rsid w:val="002D1116"/>
    <w:rsid w:val="002E1AF7"/>
    <w:rsid w:val="0031698B"/>
    <w:rsid w:val="00322DEA"/>
    <w:rsid w:val="00355FBD"/>
    <w:rsid w:val="003608E4"/>
    <w:rsid w:val="00371863"/>
    <w:rsid w:val="00381461"/>
    <w:rsid w:val="00391C12"/>
    <w:rsid w:val="003A0B7D"/>
    <w:rsid w:val="003A45C2"/>
    <w:rsid w:val="003B7A11"/>
    <w:rsid w:val="003C4BE2"/>
    <w:rsid w:val="003D147D"/>
    <w:rsid w:val="003D1AD1"/>
    <w:rsid w:val="003D637A"/>
    <w:rsid w:val="00413CB9"/>
    <w:rsid w:val="00421573"/>
    <w:rsid w:val="00430015"/>
    <w:rsid w:val="00454BE1"/>
    <w:rsid w:val="004678D0"/>
    <w:rsid w:val="00482954"/>
    <w:rsid w:val="004951C0"/>
    <w:rsid w:val="004B27C2"/>
    <w:rsid w:val="004B3CD3"/>
    <w:rsid w:val="004C7646"/>
    <w:rsid w:val="004F7608"/>
    <w:rsid w:val="0050324C"/>
    <w:rsid w:val="005224E6"/>
    <w:rsid w:val="00524001"/>
    <w:rsid w:val="00546078"/>
    <w:rsid w:val="00563698"/>
    <w:rsid w:val="00564B63"/>
    <w:rsid w:val="00575DC7"/>
    <w:rsid w:val="005836C2"/>
    <w:rsid w:val="005A4EFD"/>
    <w:rsid w:val="005A5ABE"/>
    <w:rsid w:val="005C2ECC"/>
    <w:rsid w:val="005C6744"/>
    <w:rsid w:val="005E380B"/>
    <w:rsid w:val="005E419E"/>
    <w:rsid w:val="005F63BD"/>
    <w:rsid w:val="006067B0"/>
    <w:rsid w:val="00611CF1"/>
    <w:rsid w:val="006201D9"/>
    <w:rsid w:val="006277DB"/>
    <w:rsid w:val="00635B7B"/>
    <w:rsid w:val="00655B98"/>
    <w:rsid w:val="0065715E"/>
    <w:rsid w:val="00657ED0"/>
    <w:rsid w:val="006710E6"/>
    <w:rsid w:val="00686973"/>
    <w:rsid w:val="00696B2D"/>
    <w:rsid w:val="006A2656"/>
    <w:rsid w:val="006A3475"/>
    <w:rsid w:val="006A6342"/>
    <w:rsid w:val="006B327B"/>
    <w:rsid w:val="006B4E7C"/>
    <w:rsid w:val="006B6C9C"/>
    <w:rsid w:val="006C0704"/>
    <w:rsid w:val="006C7AE3"/>
    <w:rsid w:val="006D55E8"/>
    <w:rsid w:val="006E0BCA"/>
    <w:rsid w:val="006E1921"/>
    <w:rsid w:val="006F36F9"/>
    <w:rsid w:val="0070576B"/>
    <w:rsid w:val="00713335"/>
    <w:rsid w:val="00727C2F"/>
    <w:rsid w:val="00735F13"/>
    <w:rsid w:val="007575CC"/>
    <w:rsid w:val="007717F2"/>
    <w:rsid w:val="00772E3B"/>
    <w:rsid w:val="0078134C"/>
    <w:rsid w:val="0079503B"/>
    <w:rsid w:val="00797858"/>
    <w:rsid w:val="007A47E9"/>
    <w:rsid w:val="007A5830"/>
    <w:rsid w:val="007D21FB"/>
    <w:rsid w:val="00801154"/>
    <w:rsid w:val="00801256"/>
    <w:rsid w:val="008264FC"/>
    <w:rsid w:val="00833255"/>
    <w:rsid w:val="00833751"/>
    <w:rsid w:val="008407A7"/>
    <w:rsid w:val="00856837"/>
    <w:rsid w:val="00864605"/>
    <w:rsid w:val="008703CB"/>
    <w:rsid w:val="008B61AF"/>
    <w:rsid w:val="008C33C2"/>
    <w:rsid w:val="008C6137"/>
    <w:rsid w:val="008E2878"/>
    <w:rsid w:val="008E2DB4"/>
    <w:rsid w:val="00901DD5"/>
    <w:rsid w:val="00901E77"/>
    <w:rsid w:val="0090735B"/>
    <w:rsid w:val="00912D5E"/>
    <w:rsid w:val="00926A8B"/>
    <w:rsid w:val="00931926"/>
    <w:rsid w:val="00934340"/>
    <w:rsid w:val="00956DC7"/>
    <w:rsid w:val="00964701"/>
    <w:rsid w:val="00966CD3"/>
    <w:rsid w:val="00987A20"/>
    <w:rsid w:val="009A0E15"/>
    <w:rsid w:val="009A398A"/>
    <w:rsid w:val="009D4037"/>
    <w:rsid w:val="009F0592"/>
    <w:rsid w:val="009F73EC"/>
    <w:rsid w:val="00A03315"/>
    <w:rsid w:val="00A20E72"/>
    <w:rsid w:val="00A246DC"/>
    <w:rsid w:val="00A47BAF"/>
    <w:rsid w:val="00A542D3"/>
    <w:rsid w:val="00A5784F"/>
    <w:rsid w:val="00A82B2F"/>
    <w:rsid w:val="00A8436E"/>
    <w:rsid w:val="00A86402"/>
    <w:rsid w:val="00A95B66"/>
    <w:rsid w:val="00AB190D"/>
    <w:rsid w:val="00AE0667"/>
    <w:rsid w:val="00AE3D60"/>
    <w:rsid w:val="00AF179E"/>
    <w:rsid w:val="00B063E7"/>
    <w:rsid w:val="00B122FE"/>
    <w:rsid w:val="00B23CD4"/>
    <w:rsid w:val="00B26C3D"/>
    <w:rsid w:val="00B41E0A"/>
    <w:rsid w:val="00B56DE0"/>
    <w:rsid w:val="00B71F12"/>
    <w:rsid w:val="00B76FEC"/>
    <w:rsid w:val="00B80AF2"/>
    <w:rsid w:val="00B838DB"/>
    <w:rsid w:val="00B96B1E"/>
    <w:rsid w:val="00BB2A6F"/>
    <w:rsid w:val="00BD1614"/>
    <w:rsid w:val="00BD382C"/>
    <w:rsid w:val="00BD5C12"/>
    <w:rsid w:val="00BD5DA6"/>
    <w:rsid w:val="00BE5A56"/>
    <w:rsid w:val="00BF7D25"/>
    <w:rsid w:val="00C010C0"/>
    <w:rsid w:val="00C0405F"/>
    <w:rsid w:val="00C04DF2"/>
    <w:rsid w:val="00C13AE8"/>
    <w:rsid w:val="00C40CB5"/>
    <w:rsid w:val="00C45DA0"/>
    <w:rsid w:val="00C54264"/>
    <w:rsid w:val="00C54CE6"/>
    <w:rsid w:val="00C575E2"/>
    <w:rsid w:val="00C7368B"/>
    <w:rsid w:val="00C80136"/>
    <w:rsid w:val="00C92746"/>
    <w:rsid w:val="00CB41D4"/>
    <w:rsid w:val="00CC4DC5"/>
    <w:rsid w:val="00CE1A7C"/>
    <w:rsid w:val="00CE496F"/>
    <w:rsid w:val="00CE7B15"/>
    <w:rsid w:val="00D0464B"/>
    <w:rsid w:val="00D12C74"/>
    <w:rsid w:val="00D2263F"/>
    <w:rsid w:val="00D448A4"/>
    <w:rsid w:val="00D56483"/>
    <w:rsid w:val="00D5658F"/>
    <w:rsid w:val="00D56AD6"/>
    <w:rsid w:val="00D70019"/>
    <w:rsid w:val="00D74B58"/>
    <w:rsid w:val="00D82ABE"/>
    <w:rsid w:val="00DA4ABA"/>
    <w:rsid w:val="00DA685B"/>
    <w:rsid w:val="00DA742B"/>
    <w:rsid w:val="00DF25C1"/>
    <w:rsid w:val="00DF3BE9"/>
    <w:rsid w:val="00DF48F7"/>
    <w:rsid w:val="00DF4964"/>
    <w:rsid w:val="00DF4D73"/>
    <w:rsid w:val="00DF79B0"/>
    <w:rsid w:val="00E1047D"/>
    <w:rsid w:val="00E11085"/>
    <w:rsid w:val="00E12AAE"/>
    <w:rsid w:val="00E4050B"/>
    <w:rsid w:val="00E443FA"/>
    <w:rsid w:val="00E54FCE"/>
    <w:rsid w:val="00E60DA1"/>
    <w:rsid w:val="00E82733"/>
    <w:rsid w:val="00E875D4"/>
    <w:rsid w:val="00E921A2"/>
    <w:rsid w:val="00E93D35"/>
    <w:rsid w:val="00EA45DB"/>
    <w:rsid w:val="00EA70BB"/>
    <w:rsid w:val="00EC1877"/>
    <w:rsid w:val="00ED2CD9"/>
    <w:rsid w:val="00ED3A5E"/>
    <w:rsid w:val="00F07DA7"/>
    <w:rsid w:val="00F3254F"/>
    <w:rsid w:val="00F40C92"/>
    <w:rsid w:val="00F42491"/>
    <w:rsid w:val="00F564C1"/>
    <w:rsid w:val="00F77FA2"/>
    <w:rsid w:val="00F8357A"/>
    <w:rsid w:val="00F97162"/>
    <w:rsid w:val="00FA1B77"/>
    <w:rsid w:val="00FB4B65"/>
    <w:rsid w:val="00FB74B8"/>
    <w:rsid w:val="00FC49E0"/>
    <w:rsid w:val="00FE242C"/>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7E724"/>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uiPriority w:val="99"/>
    <w:rsid w:val="005A4EFD"/>
    <w:rPr>
      <w:rFonts w:ascii="Calibri" w:hAnsi="Calibri"/>
      <w:position w:val="6"/>
      <w:sz w:val="16"/>
    </w:rPr>
  </w:style>
  <w:style w:type="paragraph" w:styleId="FootnoteText">
    <w:name w:val="footnote text"/>
    <w:basedOn w:val="Normal"/>
    <w:link w:val="FootnoteTextChar"/>
    <w:uiPriority w:val="99"/>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table" w:styleId="TableGrid">
    <w:name w:val="Table Grid"/>
    <w:basedOn w:val="TableNormal"/>
    <w:uiPriority w:val="39"/>
    <w:rsid w:val="002C28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2878"/>
    <w:pPr>
      <w:tabs>
        <w:tab w:val="clear" w:pos="567"/>
        <w:tab w:val="clear" w:pos="1134"/>
        <w:tab w:val="clear" w:pos="1701"/>
        <w:tab w:val="clear" w:pos="2268"/>
        <w:tab w:val="clear" w:pos="2835"/>
      </w:tabs>
      <w:overflowPunct/>
      <w:autoSpaceDE/>
      <w:autoSpaceDN/>
      <w:adjustRightInd/>
      <w:spacing w:before="0" w:after="160" w:line="278" w:lineRule="auto"/>
      <w:ind w:left="720"/>
      <w:contextualSpacing/>
      <w:textAlignment w:val="auto"/>
    </w:pPr>
    <w:rPr>
      <w:rFonts w:asciiTheme="minorHAnsi" w:eastAsiaTheme="minorHAnsi" w:hAnsiTheme="minorHAnsi" w:cstheme="minorBidi"/>
      <w:kern w:val="2"/>
      <w:szCs w:val="24"/>
      <w:lang w:val="en-US"/>
      <w14:ligatures w14:val="standardContextual"/>
    </w:rPr>
  </w:style>
  <w:style w:type="character" w:customStyle="1" w:styleId="FootnoteTextChar">
    <w:name w:val="Footnote Text Char"/>
    <w:basedOn w:val="DefaultParagraphFont"/>
    <w:link w:val="FootnoteText"/>
    <w:uiPriority w:val="99"/>
    <w:rsid w:val="008E2878"/>
    <w:rPr>
      <w:rFonts w:ascii="Calibri" w:hAnsi="Calibri"/>
      <w:sz w:val="24"/>
      <w:lang w:val="fr-FR" w:eastAsia="en-US"/>
    </w:rPr>
  </w:style>
  <w:style w:type="paragraph" w:styleId="Caption">
    <w:name w:val="caption"/>
    <w:basedOn w:val="Normal"/>
    <w:next w:val="Normal"/>
    <w:uiPriority w:val="35"/>
    <w:unhideWhenUsed/>
    <w:qFormat/>
    <w:rsid w:val="008E2878"/>
    <w:pPr>
      <w:tabs>
        <w:tab w:val="clear" w:pos="567"/>
        <w:tab w:val="clear" w:pos="1134"/>
        <w:tab w:val="clear" w:pos="1701"/>
        <w:tab w:val="clear" w:pos="2268"/>
        <w:tab w:val="clear" w:pos="2835"/>
      </w:tabs>
      <w:overflowPunct/>
      <w:autoSpaceDE/>
      <w:autoSpaceDN/>
      <w:adjustRightInd/>
      <w:spacing w:before="0" w:after="200"/>
      <w:textAlignment w:val="auto"/>
    </w:pPr>
    <w:rPr>
      <w:rFonts w:asciiTheme="minorHAnsi" w:eastAsiaTheme="minorHAnsi" w:hAnsiTheme="minorHAnsi" w:cstheme="minorBidi"/>
      <w:i/>
      <w:iCs/>
      <w:color w:val="1F497D" w:themeColor="text2"/>
      <w:kern w:val="2"/>
      <w:sz w:val="18"/>
      <w:szCs w:val="18"/>
      <w:lang w:val="en-US"/>
      <w14:ligatures w14:val="standardContextual"/>
    </w:rPr>
  </w:style>
  <w:style w:type="table" w:styleId="TableGridLight">
    <w:name w:val="Grid Table Light"/>
    <w:basedOn w:val="TableNormal"/>
    <w:uiPriority w:val="40"/>
    <w:rsid w:val="008E287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ootnoteReference12pt">
    <w:name w:val="Footnote Reference + 12 pt"/>
    <w:aliases w:val="Not Raised by / Lowered by"/>
    <w:basedOn w:val="FootnoteText"/>
    <w:rsid w:val="00926A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https://www.itu.int/md/S26-CL-C-0130/en"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itu.int/md/S26-CL-C-0130/fr"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fr/"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nasdaq.com/press-release/aws-launches-region-in-the-united-arab-emirates-2022-08-30" TargetMode="External"/><Relationship Id="rId18" Type="http://schemas.openxmlformats.org/officeDocument/2006/relationships/hyperlink" Target="https://www.iga.gov.bh/en/article/85-of-government-data-transfer-to-amazon-more-than-300-sites-connected-to-the-government-data-network" TargetMode="External"/><Relationship Id="rId26" Type="http://schemas.openxmlformats.org/officeDocument/2006/relationships/hyperlink" Target="https://www.thebanker.com/content/fd078db2-7f55-436d-9d2e-62a0a742ad02" TargetMode="External"/><Relationship Id="rId39" Type="http://schemas.openxmlformats.org/officeDocument/2006/relationships/hyperlink" Target="https://ic.iata.org/sites/default/files/iata_sih_document_attachment/IATA%20Safety%20Risk%20Assessment%20-%20GNSS%20Interference%20V5.pdf" TargetMode="External"/><Relationship Id="rId21" Type="http://schemas.openxmlformats.org/officeDocument/2006/relationships/hyperlink" Target="https://rulebook.centralbank.ae/en/rulebook/consumer-protection-standards" TargetMode="External"/><Relationship Id="rId34" Type="http://schemas.openxmlformats.org/officeDocument/2006/relationships/hyperlink" Target="https://sharjah24.ae/en/Articles/2026/03/31/a32" TargetMode="External"/><Relationship Id="rId42" Type="http://schemas.openxmlformats.org/officeDocument/2006/relationships/hyperlink" Target="https://www.wired.me/story/gps-is-the-new-battlefield-why-your-maps-arent-working" TargetMode="External"/><Relationship Id="rId47" Type="http://schemas.openxmlformats.org/officeDocument/2006/relationships/hyperlink" Target="https://www.itu.int/en/ITU-D/Cybersecurity/Pages/CyberDrill-2026/GlobalCyberDrill-26.aspx" TargetMode="External"/><Relationship Id="rId50" Type="http://schemas.openxmlformats.org/officeDocument/2006/relationships/hyperlink" Target="https://www.itu.int/en/ITU-D/Regional-Presence/ArabStates/Pages/events.aspx" TargetMode="External"/><Relationship Id="rId7" Type="http://schemas.openxmlformats.org/officeDocument/2006/relationships/hyperlink" Target="https://health.aws.amazon.com/health/status?eventID=arn:aws:health:me-south-1::event/MULTIPLE_SERVICES/AWS_MULTIPLE_SERVICES_OPERATIONAL_ISSUE/AWS_MULTIPLE_SERVICES_OPERATIONAL_ISSUE_E6426_01AD72B4E1E" TargetMode="External"/><Relationship Id="rId2" Type="http://schemas.openxmlformats.org/officeDocument/2006/relationships/hyperlink" Target="https://aws.amazon.com/fr/about-aws/global-infrastructure/regions_az/" TargetMode="External"/><Relationship Id="rId16" Type="http://schemas.openxmlformats.org/officeDocument/2006/relationships/hyperlink" Target="https://aws.amazon.com/fr/blogs/publicsector/bahrains-cloud-first-success-story/" TargetMode="External"/><Relationship Id="rId29" Type="http://schemas.openxmlformats.org/officeDocument/2006/relationships/hyperlink" Target="https://www.csis.org/analysis/what-iran-war-costing-joint-gulf-us-ambitions-ai" TargetMode="External"/><Relationship Id="rId11" Type="http://schemas.openxmlformats.org/officeDocument/2006/relationships/hyperlink" Target="https://radar.cloudflare.com/explorer?dataSet=origins&amp;filters=origin%253Damazon%252Cregion%253Dme-south-1&amp;metric=requests&amp;dt=2026-02-01_2026-09-17" TargetMode="External"/><Relationship Id="rId24" Type="http://schemas.openxmlformats.org/officeDocument/2006/relationships/hyperlink" Target="https://www.youtube.com/watch?v=hlHmhz7PvH0" TargetMode="External"/><Relationship Id="rId32" Type="http://schemas.openxmlformats.org/officeDocument/2006/relationships/hyperlink" Target="https://www.bakerinstitute.org/sites/default/files/2026-04/20260410_Global%20AI%20Race.pdf" TargetMode="External"/><Relationship Id="rId37" Type="http://schemas.openxmlformats.org/officeDocument/2006/relationships/hyperlink" Target="https://www.wam.ae/en/article/175otv1-authorities-fujairah-respond-incident-targeting-du" TargetMode="External"/><Relationship Id="rId40" Type="http://schemas.openxmlformats.org/officeDocument/2006/relationships/hyperlink" Target="https://windward.ai/blog/gps-jamming-is-mainstream-changes-between-2025-and-2026/" TargetMode="External"/><Relationship Id="rId45" Type="http://schemas.openxmlformats.org/officeDocument/2006/relationships/hyperlink" Target="https://www.itu.int/harmful-interference-to-rnss/" TargetMode="External"/><Relationship Id="rId5" Type="http://schemas.openxmlformats.org/officeDocument/2006/relationships/hyperlink" Target="https://health.aws.amazon.com/health/status?eventID=arn:aws:health:me-central-1::event/MULTIPLE_SERVICES/AWS_MULTIPLE_SERVICES_OPERATIONAL_ISSUE/AWS_MULTIPLE_SERVICES_OPERATIONAL_ISSUE_5E6B8_EF2498889B5" TargetMode="External"/><Relationship Id="rId15" Type="http://schemas.openxmlformats.org/officeDocument/2006/relationships/hyperlink" Target="https://press.aboutamazon.com/2019/7/aws-launches-region-in-the-middle-east" TargetMode="External"/><Relationship Id="rId23" Type="http://schemas.openxmlformats.org/officeDocument/2006/relationships/hyperlink" Target="https://www.youtube.com/watch?v=hlHmhz7PvH0" TargetMode="External"/><Relationship Id="rId28" Type="http://schemas.openxmlformats.org/officeDocument/2006/relationships/hyperlink" Target="https://www.csis.org/analysis/what-iran-war-costing-joint-gulf-us-ambitions-ai" TargetMode="External"/><Relationship Id="rId36" Type="http://schemas.openxmlformats.org/officeDocument/2006/relationships/hyperlink" Target="https://www.wam.ae/fr/article/175oz9g-drone-lanc%C3%A9-depuis-l%E2%80%99iran-vise-b%C3%A2timent" TargetMode="External"/><Relationship Id="rId49" Type="http://schemas.openxmlformats.org/officeDocument/2006/relationships/hyperlink" Target="https://www.itu.int/dms_pub/itu-d/md/26/dm/cir/D26-DM-CIR-0027!!PDF-F.pdf" TargetMode="External"/><Relationship Id="rId10" Type="http://schemas.openxmlformats.org/officeDocument/2006/relationships/hyperlink" Target="https://radar.cloudflare.com/fr-fr/explorer?dataSet=origins&amp;filters=origin%253Damazon%252Cregion%253Dme-south-1&amp;metric=requests&amp;dateStart=2026-02-01&amp;dateEnd=2026-09-17" TargetMode="External"/><Relationship Id="rId19" Type="http://schemas.openxmlformats.org/officeDocument/2006/relationships/hyperlink" Target="https://uaelegislation.gov.ae/en/legislations/1209/download" TargetMode="External"/><Relationship Id="rId31" Type="http://schemas.openxmlformats.org/officeDocument/2006/relationships/hyperlink" Target="https://health.aws.amazon.com/health/status?_sp=d6244f1c-0cb2-498b-b35e-cd0e2a94502e&amp;tag=itechguides04-20" TargetMode="External"/><Relationship Id="rId44" Type="http://schemas.openxmlformats.org/officeDocument/2006/relationships/hyperlink" Target="https://rntfnd.org/2026/04/23/finland-cellular-also-impacted-by-interference/" TargetMode="External"/><Relationship Id="rId4" Type="http://schemas.openxmlformats.org/officeDocument/2006/relationships/hyperlink" Target="https://health.aws.amazon.com/health/status?eventID=arn:aws:health:me-south-1::event/MULTIPLE_SERVICES/AWS_MULTIPLE_SERVICES_OPERATIONAL_ISSUE/AWS_MULTIPLE_SERVICES_OPERATIONAL_ISSUE_E6426_01AD72B4E1E" TargetMode="External"/><Relationship Id="rId9" Type="http://schemas.openxmlformats.org/officeDocument/2006/relationships/hyperlink" Target="https://radar.cloudflare.com/explorer?dataSet=origins&amp;filters=origin%253Damazon%252Cregion%253Dme-central-1&amp;metric=requests&amp;dt=2026-02-01_2026-09-17" TargetMode="External"/><Relationship Id="rId14" Type="http://schemas.openxmlformats.org/officeDocument/2006/relationships/hyperlink" Target="https://press.aboutamazon.com/2019/7/aws-launches-region-in-the-middle-east" TargetMode="External"/><Relationship Id="rId22" Type="http://schemas.openxmlformats.org/officeDocument/2006/relationships/hyperlink" Target="https://rulebook.centralbank.ae/en/rulebook/consumer-protection-standards" TargetMode="External"/><Relationship Id="rId27" Type="http://schemas.openxmlformats.org/officeDocument/2006/relationships/hyperlink" Target="https://www.thebanker.com/content/fd078db2-7f55-436d-9d2e-62a0a742ad02" TargetMode="External"/><Relationship Id="rId30" Type="http://schemas.openxmlformats.org/officeDocument/2006/relationships/hyperlink" Target="https://health.aws.amazon.com/health/status?_sp=d6244f1c-0cb2-498b-b35e-cd0e2a94502e&amp;tag=itechguides04-20" TargetMode="External"/><Relationship Id="rId35" Type="http://schemas.openxmlformats.org/officeDocument/2006/relationships/hyperlink" Target="https://sharjah24.ae/en/Articles/2026/03/31/a32" TargetMode="External"/><Relationship Id="rId43" Type="http://schemas.openxmlformats.org/officeDocument/2006/relationships/hyperlink" Target="https://www.wired.me/story/gps-is-the-new-battlefield-why-your-maps-arent-working" TargetMode="External"/><Relationship Id="rId48" Type="http://schemas.openxmlformats.org/officeDocument/2006/relationships/hyperlink" Target="https://www.itu.int/en/ITU-D/Cybersecurity/Pages/CyberDrill-2026/GlobalCyberDrill-26.aspx" TargetMode="External"/><Relationship Id="rId8" Type="http://schemas.openxmlformats.org/officeDocument/2006/relationships/hyperlink" Target="https://radar.cloudflare.com/fr-fr/explorer?dataSet=origins&amp;filters=origin%253Damazon%252Cregion%253Dme-central-1&amp;metric=requests&amp;dateStart=2026-02-01&amp;dateEnd=2026-09-17" TargetMode="External"/><Relationship Id="rId51" Type="http://schemas.openxmlformats.org/officeDocument/2006/relationships/hyperlink" Target="https://www.undp.org/publications/post-disaster-needs-assessment" TargetMode="External"/><Relationship Id="rId3" Type="http://schemas.openxmlformats.org/officeDocument/2006/relationships/hyperlink" Target="https://aws.amazon.com/about-aws/global-infrastructure/regions_az/" TargetMode="External"/><Relationship Id="rId12" Type="http://schemas.openxmlformats.org/officeDocument/2006/relationships/hyperlink" Target="https://www.nasdaq.com/press-release/aws-launches-region-in-the-united-arab-emirates-2022-08-30" TargetMode="External"/><Relationship Id="rId17" Type="http://schemas.openxmlformats.org/officeDocument/2006/relationships/hyperlink" Target="https://aws.amazon.com/blogs/publicsector/bahrains-cloud-first-success-story/" TargetMode="External"/><Relationship Id="rId25" Type="http://schemas.openxmlformats.org/officeDocument/2006/relationships/hyperlink" Target="https://www.adcb.com/en/about-us/media-centre/news/2026/march/adcb-confirms-restoration-of-retail-mobile-banking-services" TargetMode="External"/><Relationship Id="rId33" Type="http://schemas.openxmlformats.org/officeDocument/2006/relationships/hyperlink" Target="https://www.bakerinstitute.org/sites/default/files/2026-04/20260410_Global%20AI%20Race.pdf" TargetMode="External"/><Relationship Id="rId38" Type="http://schemas.openxmlformats.org/officeDocument/2006/relationships/hyperlink" Target="https://rin.org.uk/page/RIN_Maritime_Report" TargetMode="External"/><Relationship Id="rId46" Type="http://schemas.openxmlformats.org/officeDocument/2006/relationships/hyperlink" Target="https://resources.telegeography.com/submarine-cable-infrastructure-strait-hormuz" TargetMode="External"/><Relationship Id="rId20" Type="http://schemas.openxmlformats.org/officeDocument/2006/relationships/hyperlink" Target="https://uaelegislation.gov.ae/en/legislations/1209/download" TargetMode="External"/><Relationship Id="rId41" Type="http://schemas.openxmlformats.org/officeDocument/2006/relationships/hyperlink" Target="https://windward.ai/blog/gps-jamming-is-mainstream-changes-between-2025-and-2026/" TargetMode="External"/><Relationship Id="rId1" Type="http://schemas.openxmlformats.org/officeDocument/2006/relationships/hyperlink" Target="https://www.itu.int/md/S26-CL-C-0130/fr" TargetMode="External"/><Relationship Id="rId6" Type="http://schemas.openxmlformats.org/officeDocument/2006/relationships/hyperlink" Target="https://health.aws.amazon.com/health/status?eventID=arn:aws:health:me-central-1::event/MULTIPLE_SERVICES/AWS_MULTIPLE_SERVICES_OPERATIONAL_ISSUE/AWS_MULTIPLE_SERVICES_OPERATIONAL_ISSUE_5E6B8_EF2498889B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EDB64F-312E-4E14-9124-70B972C20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10</Pages>
  <Words>3362</Words>
  <Characters>18494</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21813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ITU Plenipotentiary Conference (PP-26)</dc:subject>
  <dc:creator>GBS</dc:creator>
  <cp:keywords>PP-26, PP26, ITU</cp:keywords>
  <dc:description/>
  <cp:lastModifiedBy>Grand, Roxanne</cp:lastModifiedBy>
  <cp:revision>60</cp:revision>
  <dcterms:created xsi:type="dcterms:W3CDTF">2026-10-16T14:11:00Z</dcterms:created>
  <dcterms:modified xsi:type="dcterms:W3CDTF">2026-10-19T12:44:00Z</dcterms:modified>
  <cp:category>Conference document</cp:category>
</cp:coreProperties>
</file>