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1A16ED" w:rsidRPr="00C324A8" w14:paraId="6920008F" w14:textId="77777777" w:rsidTr="004D7CC5">
        <w:trPr>
          <w:cantSplit/>
          <w:trHeight w:val="23"/>
        </w:trPr>
        <w:tc>
          <w:tcPr>
            <w:tcW w:w="7230" w:type="dxa"/>
          </w:tcPr>
          <w:p w14:paraId="0A942D94" w14:textId="60E6739D" w:rsidR="001A16ED" w:rsidRPr="00D96B4B" w:rsidRDefault="0044665A" w:rsidP="003038E3">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5961CC28" w:rsidR="001A16ED" w:rsidRPr="00F44B1A" w:rsidRDefault="0044665A" w:rsidP="003038E3">
            <w:pPr>
              <w:tabs>
                <w:tab w:val="left" w:pos="851"/>
              </w:tabs>
              <w:spacing w:before="0"/>
              <w:rPr>
                <w:rFonts w:cstheme="minorHAnsi"/>
                <w:b/>
                <w:szCs w:val="24"/>
              </w:rPr>
            </w:pPr>
            <w:r>
              <w:rPr>
                <w:rFonts w:cstheme="minorHAnsi"/>
                <w:b/>
                <w:szCs w:val="24"/>
              </w:rPr>
              <w:t xml:space="preserve">Document </w:t>
            </w:r>
            <w:r w:rsidR="00D62482">
              <w:rPr>
                <w:rFonts w:cstheme="minorHAnsi"/>
                <w:b/>
                <w:szCs w:val="24"/>
              </w:rPr>
              <w:t>69</w:t>
            </w:r>
            <w:r>
              <w:rPr>
                <w:rFonts w:cstheme="minorHAnsi"/>
                <w:b/>
                <w:szCs w:val="24"/>
              </w:rPr>
              <w:t>-E</w:t>
            </w:r>
          </w:p>
        </w:tc>
      </w:tr>
      <w:tr w:rsidR="001A16ED" w:rsidRPr="00C324A8" w14:paraId="6C3056EA" w14:textId="77777777" w:rsidTr="004D7CC5">
        <w:trPr>
          <w:cantSplit/>
          <w:trHeight w:val="23"/>
        </w:trPr>
        <w:tc>
          <w:tcPr>
            <w:tcW w:w="7230" w:type="dxa"/>
          </w:tcPr>
          <w:p w14:paraId="0BC25115" w14:textId="03EE2E52" w:rsidR="001A16ED" w:rsidRPr="00841AB4"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16CD28FE" w:rsidR="001A16ED" w:rsidRPr="00D96B4B" w:rsidRDefault="00D62482" w:rsidP="003038E3">
            <w:pPr>
              <w:spacing w:before="0"/>
              <w:rPr>
                <w:rFonts w:cstheme="minorHAnsi"/>
                <w:szCs w:val="24"/>
              </w:rPr>
            </w:pPr>
            <w:r>
              <w:rPr>
                <w:rFonts w:cstheme="minorHAnsi"/>
                <w:b/>
                <w:szCs w:val="24"/>
              </w:rPr>
              <w:t>5</w:t>
            </w:r>
            <w:r w:rsidR="0044665A">
              <w:rPr>
                <w:rFonts w:cstheme="minorHAnsi"/>
                <w:b/>
                <w:szCs w:val="24"/>
              </w:rPr>
              <w:t xml:space="preserve"> </w:t>
            </w:r>
            <w:r>
              <w:rPr>
                <w:rFonts w:cstheme="minorHAnsi"/>
                <w:b/>
                <w:szCs w:val="24"/>
              </w:rPr>
              <w:t>October</w:t>
            </w:r>
            <w:r w:rsidR="0044665A">
              <w:rPr>
                <w:rFonts w:cstheme="minorHAnsi"/>
                <w:b/>
                <w:szCs w:val="24"/>
              </w:rPr>
              <w:t xml:space="preserve"> </w:t>
            </w:r>
            <w:r>
              <w:rPr>
                <w:rFonts w:cstheme="minorHAnsi"/>
                <w:b/>
                <w:szCs w:val="24"/>
              </w:rPr>
              <w:t>2026</w:t>
            </w:r>
          </w:p>
        </w:tc>
      </w:tr>
      <w:tr w:rsidR="001A16ED" w:rsidRPr="00C324A8" w14:paraId="13C52B6A" w14:textId="77777777" w:rsidTr="004D7CC5">
        <w:trPr>
          <w:cantSplit/>
          <w:trHeight w:val="23"/>
        </w:trPr>
        <w:tc>
          <w:tcPr>
            <w:tcW w:w="7230" w:type="dxa"/>
          </w:tcPr>
          <w:p w14:paraId="15834BB1"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D96B4B" w:rsidRDefault="0044665A" w:rsidP="003038E3">
            <w:pPr>
              <w:tabs>
                <w:tab w:val="left" w:pos="993"/>
              </w:tabs>
              <w:spacing w:before="0"/>
              <w:rPr>
                <w:rFonts w:cstheme="minorHAnsi"/>
                <w:b/>
                <w:szCs w:val="24"/>
              </w:rPr>
            </w:pPr>
            <w:r>
              <w:rPr>
                <w:rFonts w:cstheme="minorHAnsi"/>
                <w:b/>
                <w:szCs w:val="24"/>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p>
        </w:tc>
      </w:tr>
      <w:tr w:rsidR="001A16ED" w:rsidRPr="00C324A8" w14:paraId="0C405D43" w14:textId="77777777" w:rsidTr="004D7CC5">
        <w:trPr>
          <w:cantSplit/>
          <w:trHeight w:val="23"/>
        </w:trPr>
        <w:tc>
          <w:tcPr>
            <w:tcW w:w="10031" w:type="dxa"/>
            <w:gridSpan w:val="2"/>
          </w:tcPr>
          <w:p w14:paraId="7805A964" w14:textId="686D9E22" w:rsidR="001A16ED" w:rsidRDefault="00B639AE" w:rsidP="003038E3">
            <w:pPr>
              <w:pStyle w:val="Source"/>
            </w:pPr>
            <w:r w:rsidRPr="00B639AE">
              <w:t>Report by the Secretary General</w:t>
            </w:r>
          </w:p>
        </w:tc>
      </w:tr>
      <w:tr w:rsidR="001A16ED" w:rsidRPr="00C324A8" w14:paraId="5B32B4A1" w14:textId="77777777" w:rsidTr="004D7CC5">
        <w:trPr>
          <w:cantSplit/>
          <w:trHeight w:val="23"/>
        </w:trPr>
        <w:tc>
          <w:tcPr>
            <w:tcW w:w="10031" w:type="dxa"/>
            <w:gridSpan w:val="2"/>
          </w:tcPr>
          <w:p w14:paraId="1C46979A" w14:textId="257857E2" w:rsidR="001A16ED" w:rsidRDefault="00C06792" w:rsidP="003038E3">
            <w:pPr>
              <w:pStyle w:val="Title1"/>
            </w:pPr>
            <w:r w:rsidRPr="00C06792">
              <w:t>STATUS REPORT ON ASSISTANCE AND SUPPORT TO PALESTINE</w:t>
            </w:r>
          </w:p>
        </w:tc>
      </w:tr>
      <w:bookmarkEnd w:id="6"/>
      <w:bookmarkEnd w:id="7"/>
    </w:tbl>
    <w:p w14:paraId="04FD2542" w14:textId="77777777" w:rsidR="001A16ED" w:rsidRDefault="001A16ED" w:rsidP="003F5E95">
      <w:pPr>
        <w:jc w:val="center"/>
      </w:pPr>
    </w:p>
    <w:tbl>
      <w:tblPr>
        <w:tblStyle w:val="TableGrid"/>
        <w:tblW w:w="0" w:type="auto"/>
        <w:jc w:val="center"/>
        <w:tblLook w:val="04A0" w:firstRow="1" w:lastRow="0" w:firstColumn="1" w:lastColumn="0" w:noHBand="0" w:noVBand="1"/>
      </w:tblPr>
      <w:tblGrid>
        <w:gridCol w:w="9288"/>
      </w:tblGrid>
      <w:tr w:rsidR="003F5E95" w14:paraId="72648790" w14:textId="77777777" w:rsidTr="00DF77C6">
        <w:trPr>
          <w:trHeight w:val="3433"/>
          <w:jc w:val="center"/>
        </w:trPr>
        <w:tc>
          <w:tcPr>
            <w:tcW w:w="9288" w:type="dxa"/>
          </w:tcPr>
          <w:p w14:paraId="72969D02" w14:textId="77777777" w:rsidR="003F5E95" w:rsidRPr="00173340" w:rsidRDefault="003F5E95" w:rsidP="00DF77C6">
            <w:pPr>
              <w:pStyle w:val="Headingb"/>
            </w:pPr>
            <w:r w:rsidRPr="00173340">
              <w:t>Summary</w:t>
            </w:r>
          </w:p>
          <w:p w14:paraId="17124E10" w14:textId="77777777" w:rsidR="003F5E95" w:rsidRPr="00F30EBA" w:rsidRDefault="003F5E95" w:rsidP="00DF77C6">
            <w:pPr>
              <w:pStyle w:val="Headingb"/>
              <w:rPr>
                <w:b w:val="0"/>
                <w:bCs/>
                <w:spacing w:val="-2"/>
              </w:rPr>
            </w:pPr>
            <w:r w:rsidRPr="00F30EBA">
              <w:rPr>
                <w:b w:val="0"/>
                <w:bCs/>
                <w:spacing w:val="-2"/>
              </w:rPr>
              <w:t>This document reports on the implementation of Resolution 1424 of the Council.</w:t>
            </w:r>
          </w:p>
          <w:p w14:paraId="34498ADD" w14:textId="77777777" w:rsidR="003F5E95" w:rsidRPr="00B64995" w:rsidRDefault="003F5E95" w:rsidP="00DF77C6">
            <w:pPr>
              <w:pStyle w:val="Headingb"/>
            </w:pPr>
            <w:r w:rsidRPr="00B64995">
              <w:t>Action required</w:t>
            </w:r>
          </w:p>
          <w:p w14:paraId="04610BF7" w14:textId="77777777" w:rsidR="003F5E95" w:rsidRPr="00DF77C6" w:rsidRDefault="003F5E95" w:rsidP="00DF77C6">
            <w:pPr>
              <w:rPr>
                <w:sz w:val="32"/>
                <w:szCs w:val="32"/>
              </w:rPr>
            </w:pPr>
            <w:r w:rsidRPr="00DF77C6">
              <w:rPr>
                <w:szCs w:val="32"/>
              </w:rPr>
              <w:t xml:space="preserve">The Plenipotentiary is invited to </w:t>
            </w:r>
            <w:r w:rsidRPr="00DF77C6">
              <w:rPr>
                <w:b/>
                <w:bCs/>
                <w:szCs w:val="32"/>
              </w:rPr>
              <w:t>note</w:t>
            </w:r>
            <w:r w:rsidRPr="00DF77C6">
              <w:rPr>
                <w:szCs w:val="32"/>
              </w:rPr>
              <w:t xml:space="preserve"> this report.</w:t>
            </w:r>
          </w:p>
          <w:p w14:paraId="1A14C7BE" w14:textId="77777777" w:rsidR="003F5E95" w:rsidRPr="00DF77C6" w:rsidRDefault="003F5E95" w:rsidP="00DF77C6">
            <w:pPr>
              <w:pStyle w:val="Headingb"/>
              <w:rPr>
                <w:b w:val="0"/>
              </w:rPr>
            </w:pPr>
            <w:r w:rsidRPr="00DF77C6">
              <w:t>Financial implications</w:t>
            </w:r>
          </w:p>
          <w:p w14:paraId="2A3F82AA" w14:textId="77777777" w:rsidR="003F5E95" w:rsidRPr="00DF77C6" w:rsidRDefault="003F5E95" w:rsidP="00DF77C6">
            <w:pPr>
              <w:spacing w:before="160"/>
              <w:rPr>
                <w:sz w:val="32"/>
                <w:szCs w:val="32"/>
              </w:rPr>
            </w:pPr>
            <w:r w:rsidRPr="00DF77C6">
              <w:rPr>
                <w:szCs w:val="32"/>
              </w:rPr>
              <w:t>Within the allocated budgets 2024-2025 and 2026-2027.</w:t>
            </w:r>
          </w:p>
          <w:p w14:paraId="618487E7" w14:textId="77777777" w:rsidR="003F5E95" w:rsidRDefault="003F5E95" w:rsidP="00DF77C6">
            <w:pPr>
              <w:jc w:val="center"/>
            </w:pPr>
            <w:r>
              <w:t>______________</w:t>
            </w:r>
          </w:p>
          <w:p w14:paraId="345E8215" w14:textId="77777777" w:rsidR="003F5E95" w:rsidRPr="00173340" w:rsidRDefault="003F5E95" w:rsidP="00DF77C6">
            <w:pPr>
              <w:pStyle w:val="Headingb"/>
            </w:pPr>
            <w:r w:rsidRPr="00173340">
              <w:t>References</w:t>
            </w:r>
          </w:p>
          <w:p w14:paraId="28B13F50" w14:textId="2B269573" w:rsidR="003F5E95" w:rsidRPr="00D74A45" w:rsidRDefault="003F5E95" w:rsidP="00DF77C6">
            <w:pPr>
              <w:spacing w:after="120"/>
              <w:rPr>
                <w:rFonts w:eastAsia="Calibri" w:cs="Calibri"/>
                <w:sz w:val="22"/>
                <w:szCs w:val="22"/>
              </w:rPr>
            </w:pPr>
            <w:r w:rsidRPr="19F7A816">
              <w:rPr>
                <w:rFonts w:eastAsia="Calibri" w:cs="Calibri"/>
                <w:i/>
                <w:iCs/>
                <w:color w:val="000000" w:themeColor="text1"/>
                <w:sz w:val="22"/>
                <w:szCs w:val="22"/>
              </w:rPr>
              <w:t xml:space="preserve">Resolutions </w:t>
            </w:r>
            <w:hyperlink r:id="rId12">
              <w:r w:rsidRPr="19F7A816">
                <w:rPr>
                  <w:rStyle w:val="Hyperlink"/>
                  <w:i/>
                  <w:iCs/>
                  <w:sz w:val="22"/>
                  <w:szCs w:val="22"/>
                </w:rPr>
                <w:t>34 (Rev. Dubai, 2018)</w:t>
              </w:r>
            </w:hyperlink>
            <w:r w:rsidRPr="19F7A816">
              <w:rPr>
                <w:rFonts w:eastAsia="Calibri" w:cs="Calibri"/>
                <w:i/>
                <w:iCs/>
                <w:color w:val="000000" w:themeColor="text1"/>
                <w:sz w:val="22"/>
                <w:szCs w:val="22"/>
              </w:rPr>
              <w:t xml:space="preserve">, </w:t>
            </w:r>
            <w:hyperlink r:id="rId13">
              <w:r w:rsidRPr="19F7A816">
                <w:rPr>
                  <w:rStyle w:val="Hyperlink"/>
                  <w:i/>
                  <w:iCs/>
                  <w:sz w:val="22"/>
                  <w:szCs w:val="22"/>
                </w:rPr>
                <w:t>99 (Rev. Dubai, 2018)</w:t>
              </w:r>
            </w:hyperlink>
            <w:r w:rsidRPr="19F7A816">
              <w:rPr>
                <w:rFonts w:eastAsia="Calibri" w:cs="Calibri"/>
                <w:i/>
                <w:iCs/>
                <w:color w:val="000000" w:themeColor="text1"/>
                <w:sz w:val="22"/>
                <w:szCs w:val="22"/>
              </w:rPr>
              <w:t xml:space="preserve">, </w:t>
            </w:r>
            <w:hyperlink r:id="rId14">
              <w:r w:rsidRPr="19F7A816">
                <w:rPr>
                  <w:rStyle w:val="Hyperlink"/>
                  <w:i/>
                  <w:iCs/>
                  <w:sz w:val="22"/>
                  <w:szCs w:val="22"/>
                </w:rPr>
                <w:t>125 (Rev. Bucharest, 2022)</w:t>
              </w:r>
            </w:hyperlink>
            <w:r w:rsidRPr="19F7A816">
              <w:rPr>
                <w:rFonts w:eastAsia="Calibri" w:cs="Calibri"/>
                <w:i/>
                <w:iCs/>
                <w:color w:val="000000" w:themeColor="text1"/>
                <w:sz w:val="22"/>
                <w:szCs w:val="22"/>
              </w:rPr>
              <w:t xml:space="preserve"> and </w:t>
            </w:r>
            <w:hyperlink r:id="rId15">
              <w:r w:rsidRPr="19F7A816">
                <w:rPr>
                  <w:rStyle w:val="Hyperlink"/>
                  <w:i/>
                  <w:iCs/>
                  <w:sz w:val="22"/>
                  <w:szCs w:val="22"/>
                </w:rPr>
                <w:t>137 (Rev. Bucharest, 2022)</w:t>
              </w:r>
            </w:hyperlink>
            <w:r w:rsidRPr="19F7A816">
              <w:rPr>
                <w:rFonts w:eastAsia="Calibri" w:cs="Calibri"/>
                <w:i/>
                <w:iCs/>
                <w:color w:val="000000" w:themeColor="text1"/>
                <w:sz w:val="22"/>
                <w:szCs w:val="22"/>
              </w:rPr>
              <w:t xml:space="preserve"> of the Plenipotentiary Conference; Resolution </w:t>
            </w:r>
            <w:hyperlink r:id="rId16">
              <w:r w:rsidRPr="19F7A816">
                <w:rPr>
                  <w:rStyle w:val="Hyperlink"/>
                  <w:i/>
                  <w:iCs/>
                  <w:sz w:val="22"/>
                  <w:szCs w:val="22"/>
                </w:rPr>
                <w:t>1424 (C24)</w:t>
              </w:r>
            </w:hyperlink>
            <w:r w:rsidRPr="19F7A816">
              <w:rPr>
                <w:rFonts w:eastAsia="Calibri" w:cs="Calibri"/>
                <w:i/>
                <w:iCs/>
                <w:color w:val="000000" w:themeColor="text1"/>
                <w:sz w:val="22"/>
                <w:szCs w:val="22"/>
              </w:rPr>
              <w:t xml:space="preserve"> of the Council; Resolution </w:t>
            </w:r>
            <w:hyperlink r:id="rId17">
              <w:r w:rsidR="00DE783B">
                <w:rPr>
                  <w:rStyle w:val="Hyperlink"/>
                  <w:i/>
                  <w:iCs/>
                  <w:sz w:val="22"/>
                  <w:szCs w:val="22"/>
                </w:rPr>
                <w:t>18 (Rev. Baku, 2025)</w:t>
              </w:r>
            </w:hyperlink>
            <w:r w:rsidRPr="19F7A816">
              <w:rPr>
                <w:rFonts w:eastAsia="Calibri" w:cs="Calibri"/>
                <w:i/>
                <w:iCs/>
                <w:color w:val="000000" w:themeColor="text1"/>
                <w:sz w:val="22"/>
                <w:szCs w:val="22"/>
              </w:rPr>
              <w:t xml:space="preserve"> of the World Telecommunication Development Conference</w:t>
            </w:r>
          </w:p>
          <w:p w14:paraId="32D6B82E" w14:textId="77777777" w:rsidR="003F5E95" w:rsidRPr="00D74A45" w:rsidRDefault="003F5E95" w:rsidP="00DF77C6">
            <w:pPr>
              <w:spacing w:after="120"/>
              <w:rPr>
                <w:i/>
                <w:sz w:val="22"/>
                <w:szCs w:val="22"/>
              </w:rPr>
            </w:pPr>
          </w:p>
        </w:tc>
      </w:tr>
    </w:tbl>
    <w:p w14:paraId="0EA888D9" w14:textId="77777777" w:rsidR="003F5E95" w:rsidRDefault="003F5E95" w:rsidP="003F5E95">
      <w:pPr>
        <w:jc w:val="center"/>
      </w:pPr>
    </w:p>
    <w:p w14:paraId="11833A74" w14:textId="77777777" w:rsidR="002D559C" w:rsidRPr="002D559C" w:rsidRDefault="001A16ED" w:rsidP="002D559C">
      <w:pPr>
        <w:pStyle w:val="Heading1"/>
      </w:pPr>
      <w:r>
        <w:br w:type="page"/>
      </w:r>
      <w:r w:rsidR="002D559C" w:rsidRPr="002D559C">
        <w:lastRenderedPageBreak/>
        <w:t>Background</w:t>
      </w:r>
    </w:p>
    <w:p w14:paraId="726624FE" w14:textId="77777777" w:rsidR="002D559C" w:rsidRPr="002D559C" w:rsidRDefault="002D559C" w:rsidP="002D559C">
      <w:pPr>
        <w:jc w:val="both"/>
      </w:pPr>
      <w:r w:rsidRPr="002D559C">
        <w:t xml:space="preserve">This document reports on the implementation of Resolution </w:t>
      </w:r>
      <w:hyperlink r:id="rId18" w:history="1">
        <w:r w:rsidRPr="002D559C">
          <w:rPr>
            <w:color w:val="0000FF"/>
            <w:u w:val="single"/>
          </w:rPr>
          <w:t>1424 (C24)</w:t>
        </w:r>
      </w:hyperlink>
      <w:r w:rsidRPr="002D559C">
        <w:t xml:space="preserve"> of the ITU Council, which called for the Secretary-General to coordinate the activities of the three Sectors of the Union and to provide a report on the matter to the 2026 Plenipotentiary Conference.</w:t>
      </w:r>
    </w:p>
    <w:p w14:paraId="53A60E99" w14:textId="77777777" w:rsidR="002D559C" w:rsidRPr="002D559C" w:rsidRDefault="002D559C" w:rsidP="002D559C">
      <w:pPr>
        <w:pStyle w:val="Heading1"/>
      </w:pPr>
      <w:r w:rsidRPr="002D559C">
        <w:t>The Context</w:t>
      </w:r>
    </w:p>
    <w:p w14:paraId="248AD3D5" w14:textId="3960DB55" w:rsidR="002D559C" w:rsidRPr="002D559C" w:rsidRDefault="002D559C" w:rsidP="002D559C">
      <w:pPr>
        <w:jc w:val="both"/>
      </w:pPr>
      <w:r w:rsidRPr="002D559C">
        <w:t>As per the updates of the Emergency Telecommunications Cluster</w:t>
      </w:r>
      <w:r w:rsidRPr="002D559C">
        <w:rPr>
          <w:position w:val="6"/>
          <w:sz w:val="16"/>
        </w:rPr>
        <w:footnoteReference w:id="1"/>
      </w:r>
      <w:r w:rsidRPr="002D559C">
        <w:t>, the ICT sector in Gaza continues to face significant developmental and infrastructural challenges, with mobile broadband particularly affected; connectivity levels remain critically low due to fuel shortages, infrastructure damage, equipment gaps and access constraints.</w:t>
      </w:r>
    </w:p>
    <w:p w14:paraId="7CED5A75" w14:textId="77777777" w:rsidR="002D559C" w:rsidRPr="002D559C" w:rsidRDefault="002D559C" w:rsidP="002D559C">
      <w:pPr>
        <w:jc w:val="both"/>
      </w:pPr>
      <w:r w:rsidRPr="002D559C">
        <w:t>The April 2026 Gaza Strip Rapid Damage and Needs Assessment, jointly conducted by the World Bank, United Nations and European Union, estimates ICT-sector damage at USD 200.7 million, with 81 per cent of assets destroyed, 12 per cent partially damaged and 7 per cent minimally damaged. The damage affects mobile towers, fixed-access nodes, the fibre-optic backbone, data centres and other major telecommunications facilities. Recovery and reconstruction needs for the ICT sector are estimated at USD 500.5 million over five years. The assessment identifies secure site access, debris clearance, removal of unexploded ordnance, reliable power supply and the importation of spare parts as key constraints to restoration.</w:t>
      </w:r>
      <w:r w:rsidRPr="002D559C">
        <w:rPr>
          <w:position w:val="6"/>
          <w:sz w:val="16"/>
        </w:rPr>
        <w:footnoteReference w:id="2"/>
      </w:r>
    </w:p>
    <w:p w14:paraId="38B430AB" w14:textId="77777777" w:rsidR="002D559C" w:rsidRPr="002D559C" w:rsidRDefault="002D559C" w:rsidP="002D559C">
      <w:pPr>
        <w:jc w:val="both"/>
      </w:pPr>
      <w:r w:rsidRPr="002D559C">
        <w:rPr>
          <w:spacing w:val="-2"/>
        </w:rPr>
        <w:t>Council 2025 mandated the Secretary-General to develop a concrete implementation plan and timeline for the resolution and to report on progress to the Council. Palestine has also submitted several requests for support.</w:t>
      </w:r>
    </w:p>
    <w:p w14:paraId="73BBD4D4" w14:textId="77777777" w:rsidR="002D559C" w:rsidRPr="002D559C" w:rsidRDefault="002D559C" w:rsidP="002D559C">
      <w:pPr>
        <w:pStyle w:val="Heading1"/>
      </w:pPr>
      <w:r w:rsidRPr="002D559C">
        <w:t>Actions taken by ITU</w:t>
      </w:r>
    </w:p>
    <w:p w14:paraId="07E0B883" w14:textId="77777777" w:rsidR="002D559C" w:rsidRPr="002D559C" w:rsidRDefault="002D559C" w:rsidP="002D559C">
      <w:pPr>
        <w:jc w:val="both"/>
      </w:pPr>
      <w:r w:rsidRPr="002D559C">
        <w:t>ITU has continued its efforts over the past year to advance the implementation of the resolution, achieving progress in the following areas:</w:t>
      </w:r>
    </w:p>
    <w:p w14:paraId="531337DB" w14:textId="77777777" w:rsidR="002D559C" w:rsidRPr="002D559C" w:rsidRDefault="002D559C" w:rsidP="002D559C">
      <w:pPr>
        <w:pStyle w:val="Headingb"/>
      </w:pPr>
      <w:r w:rsidRPr="002D559C">
        <w:rPr>
          <w:rFonts w:eastAsia="Aptos"/>
        </w:rPr>
        <w:t>1</w:t>
      </w:r>
      <w:r w:rsidRPr="002D559C">
        <w:rPr>
          <w:rFonts w:eastAsia="Aptos"/>
        </w:rPr>
        <w:tab/>
      </w:r>
      <w:r w:rsidRPr="002D559C">
        <w:t>Coordination</w:t>
      </w:r>
    </w:p>
    <w:p w14:paraId="2352A43A" w14:textId="77777777" w:rsidR="002D559C" w:rsidRPr="002D559C" w:rsidRDefault="002D559C" w:rsidP="002D559C">
      <w:pPr>
        <w:spacing w:before="86"/>
        <w:ind w:left="567" w:hanging="567"/>
        <w:jc w:val="both"/>
      </w:pPr>
      <w:r w:rsidRPr="002D559C">
        <w:tab/>
        <w:t>An Inter-Sectoral Task Force, chaired by the Deputy Secretary-General (DSG) and comprising the Regional Director of the ITU Regional Office for the Arab States and representatives of each Sector, continues to coordinate the implementation of Resolution 1424, covering impact assessment, resource mobilization, and tracking of progress across the Union.</w:t>
      </w:r>
    </w:p>
    <w:p w14:paraId="34730C7A" w14:textId="77777777" w:rsidR="002D559C" w:rsidRPr="002D559C" w:rsidRDefault="002D559C" w:rsidP="002D559C">
      <w:pPr>
        <w:pStyle w:val="Headingb"/>
        <w:rPr>
          <w:rFonts w:eastAsia="Aptos"/>
        </w:rPr>
      </w:pPr>
      <w:r w:rsidRPr="002D559C">
        <w:rPr>
          <w:rFonts w:eastAsia="Aptos"/>
        </w:rPr>
        <w:t>2</w:t>
      </w:r>
      <w:r w:rsidRPr="002D559C">
        <w:rPr>
          <w:rFonts w:eastAsia="Aptos"/>
        </w:rPr>
        <w:tab/>
        <w:t>Implementation Plan</w:t>
      </w:r>
    </w:p>
    <w:p w14:paraId="3CB28222" w14:textId="77777777" w:rsidR="002D559C" w:rsidRPr="002D559C" w:rsidRDefault="002D559C" w:rsidP="002D559C">
      <w:pPr>
        <w:spacing w:before="86"/>
        <w:ind w:left="567" w:hanging="567"/>
        <w:jc w:val="both"/>
      </w:pPr>
      <w:r w:rsidRPr="002D559C">
        <w:tab/>
      </w:r>
      <w:r w:rsidR="02E4B87E" w:rsidRPr="002D559C">
        <w:t xml:space="preserve">In implementation of Resolution 1424, the ITU, in close collaboration with the Ministry of Telecommunications and Digital Economy, has developed a structured Implementation Plan comprising </w:t>
      </w:r>
      <w:r w:rsidR="02E4B87E">
        <w:t>25 activities, including 29 embedded capacity-building interventions, organized across four priority areas and sequenced through a building-block approach.</w:t>
      </w:r>
    </w:p>
    <w:p w14:paraId="273715B7" w14:textId="77777777" w:rsidR="002D559C" w:rsidRPr="002D559C" w:rsidRDefault="002D559C" w:rsidP="002D559C">
      <w:pPr>
        <w:spacing w:before="86"/>
        <w:ind w:left="567" w:hanging="567"/>
        <w:jc w:val="both"/>
      </w:pPr>
      <w:r w:rsidRPr="002D559C">
        <w:rPr>
          <w:rFonts w:eastAsia="Yu Mincho"/>
        </w:rPr>
        <w:lastRenderedPageBreak/>
        <w:tab/>
        <w:t>Following sustained technical support from the ITU, the Ministry of Telecommunications and Digital Economy submitted completed project concept notes for priority activities under the Implementation Plan of Resolution 1424 in July 2026. The ITU is reviewing these concept notes to inform possible resource mobilization and to ensure alignment with the Ministry’s proposed priorities under its 2027 Work Plan.</w:t>
      </w:r>
    </w:p>
    <w:p w14:paraId="0748CC46" w14:textId="77777777" w:rsidR="002D559C" w:rsidRPr="002D559C" w:rsidRDefault="002D559C" w:rsidP="002D559C">
      <w:pPr>
        <w:pStyle w:val="Headingb"/>
        <w:rPr>
          <w:rFonts w:eastAsia="Aptos"/>
        </w:rPr>
      </w:pPr>
      <w:r w:rsidRPr="002D559C">
        <w:rPr>
          <w:rFonts w:eastAsia="Aptos"/>
        </w:rPr>
        <w:t>3</w:t>
      </w:r>
      <w:r w:rsidRPr="002D559C">
        <w:rPr>
          <w:rFonts w:eastAsia="Aptos"/>
        </w:rPr>
        <w:tab/>
        <w:t xml:space="preserve">Pledging </w:t>
      </w:r>
      <w:proofErr w:type="gramStart"/>
      <w:r w:rsidRPr="002D559C">
        <w:rPr>
          <w:rFonts w:eastAsia="Aptos"/>
        </w:rPr>
        <w:t>roundtable</w:t>
      </w:r>
      <w:proofErr w:type="gramEnd"/>
    </w:p>
    <w:p w14:paraId="0FBC63BB" w14:textId="1F76F8EF" w:rsidR="002D559C" w:rsidRPr="002D559C" w:rsidRDefault="02E4B87E" w:rsidP="00F672A1">
      <w:pPr>
        <w:spacing w:before="86" w:line="259" w:lineRule="auto"/>
        <w:ind w:left="567"/>
        <w:jc w:val="both"/>
      </w:pPr>
      <w:r w:rsidRPr="002D559C">
        <w:t>In coordination with the Inter-Sectoral Task Force and the Office of the DSG, the Telecommunication Development Bureau (BDT) had planned a two-day pledging round table in Geneva on 13–14 April 2026 to bring together prospective donors with Palestinian officials and match each identified need in the Implementation Plan with a pledge to the Trust Fund</w:t>
      </w:r>
      <w:r>
        <w:t>. Due to the situation in the region, the round table has been postponed to a later date.</w:t>
      </w:r>
      <w:r w:rsidR="00F672A1">
        <w:t xml:space="preserve"> </w:t>
      </w:r>
      <w:r w:rsidR="01B1ACF8" w:rsidRPr="6D81413A">
        <w:rPr>
          <w:rFonts w:eastAsia="Yu Mincho"/>
        </w:rPr>
        <w:t>T</w:t>
      </w:r>
      <w:r w:rsidRPr="6D81413A">
        <w:rPr>
          <w:rFonts w:eastAsia="Yu Mincho"/>
        </w:rPr>
        <w:t>he ITU is organizing an introductory session to formally present the Partner2Connect (P2C) Digital Coalition to Palestine, following the country’s participation in the P2C Matchmaking Roundtable at the Regional Development Forum for Asia-Pacific in July 2026, where the Ministry of Telecommunications and Digital Economy (MTDE) delivered an intervention through Eng. Yasser Al-Wahidi. The session, to be held online and recorded, is being coordinated with the relevant focal points at ITU Headquarters and is planned for the first week of October 2026, with a view to preparing the Ministry for further engagement, including the anticipated Pledging Roundtable.</w:t>
      </w:r>
      <w:r w:rsidR="2A7F2A98" w:rsidRPr="6D81413A">
        <w:rPr>
          <w:rFonts w:eastAsia="Yu Mincho"/>
        </w:rPr>
        <w:t xml:space="preserve"> T</w:t>
      </w:r>
      <w:r w:rsidR="2A7F2A98">
        <w:t>he P2C Initiative has so far garnered 8 pledges of assistance.</w:t>
      </w:r>
    </w:p>
    <w:p w14:paraId="494AB701" w14:textId="77777777" w:rsidR="002D559C" w:rsidRPr="002D559C" w:rsidRDefault="002D559C" w:rsidP="002D559C">
      <w:pPr>
        <w:pStyle w:val="Headingb"/>
        <w:rPr>
          <w:rFonts w:eastAsia="Aptos"/>
        </w:rPr>
      </w:pPr>
      <w:r w:rsidRPr="002D559C">
        <w:rPr>
          <w:rFonts w:eastAsia="Aptos"/>
        </w:rPr>
        <w:t>4</w:t>
      </w:r>
      <w:r w:rsidRPr="002D559C">
        <w:rPr>
          <w:rFonts w:eastAsia="Aptos"/>
        </w:rPr>
        <w:tab/>
        <w:t>Emergency Telecommunications Cluster activities</w:t>
      </w:r>
    </w:p>
    <w:p w14:paraId="525B726F" w14:textId="7B6F5E3E" w:rsidR="002D559C" w:rsidRPr="002D559C" w:rsidRDefault="002D559C" w:rsidP="002D559C">
      <w:pPr>
        <w:spacing w:before="86"/>
        <w:ind w:left="567" w:hanging="567"/>
        <w:jc w:val="both"/>
      </w:pPr>
      <w:r w:rsidRPr="002D559C">
        <w:rPr>
          <w:spacing w:val="-2"/>
        </w:rPr>
        <w:tab/>
      </w:r>
      <w:r w:rsidR="044FA2D9">
        <w:t>In coordination with the UN</w:t>
      </w:r>
      <w:r w:rsidR="6CFE05C9">
        <w:t xml:space="preserve"> Logistics and Telecommunication Cluster (LTC)</w:t>
      </w:r>
      <w:r w:rsidR="044FA2D9">
        <w:t xml:space="preserve">, led by the World Food Programme, ITU has facilitated the delivery of satellite phones to Gaza. Twenty devices arrived in Jerusalem in November 2025 and are awaiting the necessary approvals for transfer into Gaza. </w:t>
      </w:r>
    </w:p>
    <w:p w14:paraId="1941FAB2" w14:textId="77777777" w:rsidR="002D559C" w:rsidRPr="002D559C" w:rsidRDefault="002D559C" w:rsidP="002D559C">
      <w:pPr>
        <w:pStyle w:val="Headingb"/>
      </w:pPr>
      <w:r w:rsidRPr="002D559C">
        <w:rPr>
          <w:rFonts w:eastAsia="Aptos"/>
        </w:rPr>
        <w:t>5</w:t>
      </w:r>
      <w:r w:rsidRPr="002D559C">
        <w:rPr>
          <w:rFonts w:eastAsia="Aptos"/>
        </w:rPr>
        <w:tab/>
        <w:t>Revision of WTDC Resolution 18</w:t>
      </w:r>
    </w:p>
    <w:p w14:paraId="133B477F" w14:textId="77777777" w:rsidR="002D559C" w:rsidRPr="002D559C" w:rsidRDefault="002D559C" w:rsidP="002D559C">
      <w:pPr>
        <w:spacing w:before="86" w:line="259" w:lineRule="auto"/>
        <w:ind w:left="567" w:hanging="567"/>
        <w:jc w:val="both"/>
      </w:pPr>
      <w:r w:rsidRPr="002D559C">
        <w:tab/>
        <w:t xml:space="preserve">The updates address the repercussions of war on the digital economy and the information and communications technology sector, specifically recognizing its severe impact on infrastructure in the Gaza Strip. The Baku revision highlights the urgent necessity to ease restrictions on telecommunication networks operating on 2G technology, address mobile service inconsistencies, and enable the immediate management of spectrum to operate 4G, 5G, and satellite communication services. </w:t>
      </w:r>
    </w:p>
    <w:p w14:paraId="64329BE4" w14:textId="77777777" w:rsidR="002D559C" w:rsidRPr="002D559C" w:rsidRDefault="002D559C" w:rsidP="002D559C">
      <w:pPr>
        <w:spacing w:before="86" w:line="259" w:lineRule="auto"/>
        <w:ind w:left="567" w:hanging="567"/>
        <w:jc w:val="both"/>
      </w:pPr>
      <w:r w:rsidRPr="002D559C">
        <w:tab/>
        <w:t>To implement these measures, the resolution explicitly instructs the BDT to urgently assist Palestine in rebuilding its telecommunication/ICT sector, establishing international access networks, and deploying state-owned broadband networks—including optical fibre and microwave systems—connecting the West Bank with the Gaza Strip and neighbouring states. Furthermore, the revised mandate calls upon ITU Member States to support network restoration and the activation of 4G, 5G, and satellite capabilities, while directing the Secretary-General and the BDT to mobilize necessary financial resources, human assets, and funds through the ICT Trust Fund.</w:t>
      </w:r>
    </w:p>
    <w:p w14:paraId="049361FB" w14:textId="77777777" w:rsidR="002D559C" w:rsidRPr="002D559C" w:rsidRDefault="002D559C" w:rsidP="002D559C">
      <w:pPr>
        <w:pStyle w:val="Headingb"/>
        <w:rPr>
          <w:rFonts w:eastAsia="Aptos"/>
        </w:rPr>
      </w:pPr>
      <w:r w:rsidRPr="002D559C">
        <w:rPr>
          <w:rFonts w:eastAsia="Aptos"/>
        </w:rPr>
        <w:lastRenderedPageBreak/>
        <w:t>6</w:t>
      </w:r>
      <w:r w:rsidRPr="002D559C">
        <w:rPr>
          <w:rFonts w:eastAsia="Aptos"/>
        </w:rPr>
        <w:tab/>
        <w:t>Monitoring needs and informing about technical assistance for Palestine</w:t>
      </w:r>
    </w:p>
    <w:p w14:paraId="2522A018" w14:textId="77777777" w:rsidR="002D559C" w:rsidRPr="002D559C" w:rsidRDefault="002D559C" w:rsidP="002D559C">
      <w:pPr>
        <w:spacing w:before="86" w:line="259" w:lineRule="auto"/>
        <w:ind w:left="567" w:hanging="567"/>
        <w:jc w:val="both"/>
        <w:rPr>
          <w:lang w:val="en-US"/>
        </w:rPr>
      </w:pPr>
      <w:r w:rsidRPr="002D559C">
        <w:rPr>
          <w:lang w:val="en-US"/>
        </w:rPr>
        <w:tab/>
        <w:t>The ITU has been monitoring and reporting regularly on Palestine’s evolving needs in the telecommunications and digital development sectors, using targeted assessments and technical reports to identify gaps, document priorities, and inform proposals for effective technical assistance and recovery support under Resolution 1424.</w:t>
      </w:r>
    </w:p>
    <w:p w14:paraId="3C647E41" w14:textId="77777777" w:rsidR="002D559C" w:rsidRPr="002D559C" w:rsidRDefault="002D559C" w:rsidP="002D559C">
      <w:pPr>
        <w:spacing w:before="86" w:line="259" w:lineRule="auto"/>
        <w:ind w:left="567" w:hanging="567"/>
        <w:jc w:val="both"/>
        <w:rPr>
          <w:lang w:val="en-US"/>
        </w:rPr>
      </w:pPr>
      <w:r w:rsidRPr="002D559C">
        <w:rPr>
          <w:lang w:val="en-US"/>
        </w:rPr>
        <w:tab/>
        <w:t>This work covers, among others:</w:t>
      </w:r>
    </w:p>
    <w:p w14:paraId="764C4CAA" w14:textId="77777777" w:rsidR="002D559C" w:rsidRPr="002D559C" w:rsidRDefault="002D559C" w:rsidP="002D559C">
      <w:pPr>
        <w:numPr>
          <w:ilvl w:val="0"/>
          <w:numId w:val="1"/>
        </w:numPr>
        <w:spacing w:before="86" w:line="259" w:lineRule="auto"/>
        <w:jc w:val="both"/>
        <w:rPr>
          <w:lang w:val="en-US"/>
        </w:rPr>
      </w:pPr>
      <w:r w:rsidRPr="002D559C">
        <w:rPr>
          <w:b/>
          <w:bCs/>
          <w:lang w:val="en-US"/>
        </w:rPr>
        <w:t xml:space="preserve">Telecommunications and ICT policy and strategy: </w:t>
      </w:r>
      <w:r w:rsidRPr="002D559C">
        <w:rPr>
          <w:lang w:val="en-US"/>
        </w:rPr>
        <w:t>assessing the regulatory and institutional landscape and supporting the modernization of Palestine’s Telecommunications and ICT Policy and national ICT Strategy, in consultation with MTDE and more than 15 national stakeholders. The Policy, which strengthens sector governance, investment and competition, digital resilience and inclusive digital transformation, was adopted by the Palestinian Council of Ministers on 23 July 2026. The subsequent ICT Strategy provides an implementation roadmap and translates the Policy into concrete national actions.</w:t>
      </w:r>
    </w:p>
    <w:p w14:paraId="682619C8" w14:textId="77777777" w:rsidR="002D559C" w:rsidRPr="002D559C" w:rsidRDefault="002D559C" w:rsidP="002D559C">
      <w:pPr>
        <w:numPr>
          <w:ilvl w:val="0"/>
          <w:numId w:val="1"/>
        </w:numPr>
        <w:spacing w:before="86" w:line="259" w:lineRule="auto"/>
        <w:jc w:val="both"/>
        <w:rPr>
          <w:lang w:val="en-US"/>
        </w:rPr>
      </w:pPr>
      <w:r w:rsidRPr="002D559C">
        <w:rPr>
          <w:b/>
          <w:bCs/>
          <w:lang w:val="en-US"/>
        </w:rPr>
        <w:t xml:space="preserve">Digital skills and institutional capacity: </w:t>
      </w:r>
      <w:r w:rsidRPr="002D559C">
        <w:rPr>
          <w:lang w:val="en-US"/>
        </w:rPr>
        <w:t>assessing the level of basic digital skills within MTDE, identifying priority competency gaps, and determining areas where targeted training and capacity development are required. The assessment is based on the ITU Digital Skills Assessment Guidebook and includes on-the-job training of MTDE staff through a training-of-trainers programme, supported by weekly coaching and mentorship. An ITU-mobilized Expert is currently undertaking the final assessment, which is expected to be finalized in Q4 2026.</w:t>
      </w:r>
    </w:p>
    <w:p w14:paraId="18B7E999" w14:textId="77777777" w:rsidR="002D559C" w:rsidRPr="002D559C" w:rsidRDefault="002D559C" w:rsidP="002D559C">
      <w:pPr>
        <w:numPr>
          <w:ilvl w:val="0"/>
          <w:numId w:val="1"/>
        </w:numPr>
        <w:spacing w:before="86" w:line="259" w:lineRule="auto"/>
        <w:jc w:val="both"/>
        <w:rPr>
          <w:lang w:val="en-US"/>
        </w:rPr>
      </w:pPr>
      <w:r w:rsidRPr="002D559C">
        <w:rPr>
          <w:b/>
          <w:bCs/>
          <w:lang w:val="en-US"/>
        </w:rPr>
        <w:t xml:space="preserve">Telecommunications infrastructure and service continuity: </w:t>
      </w:r>
      <w:r w:rsidRPr="002D559C">
        <w:rPr>
          <w:lang w:val="en-US"/>
        </w:rPr>
        <w:t>monitoring the status of telecommunications infrastructure, including damaged or disrupted networks and services, connectivity gaps, and the recovery requirements of critical infrastructure. A targeted consultancy assessed existing infrastructure, service disruptions and damage, and prioritized recovery needs over the 0–6 month and 6–</w:t>
      </w:r>
      <w:proofErr w:type="gramStart"/>
      <w:r w:rsidRPr="002D559C">
        <w:rPr>
          <w:lang w:val="en-US"/>
        </w:rPr>
        <w:t>24 month</w:t>
      </w:r>
      <w:proofErr w:type="gramEnd"/>
      <w:r w:rsidRPr="002D559C">
        <w:rPr>
          <w:lang w:val="en-US"/>
        </w:rPr>
        <w:t xml:space="preserve"> periods. The assessment report will be finalized and validated in December 2026 and is being used to inform ITU technical assistance and recovery planning.</w:t>
      </w:r>
    </w:p>
    <w:p w14:paraId="62894130" w14:textId="77777777" w:rsidR="002D559C" w:rsidRPr="002D559C" w:rsidRDefault="002D559C" w:rsidP="002D559C">
      <w:pPr>
        <w:numPr>
          <w:ilvl w:val="0"/>
          <w:numId w:val="1"/>
        </w:numPr>
        <w:spacing w:before="86" w:line="259" w:lineRule="auto"/>
        <w:jc w:val="both"/>
        <w:rPr>
          <w:lang w:val="en-US"/>
        </w:rPr>
      </w:pPr>
      <w:r w:rsidRPr="002D559C">
        <w:rPr>
          <w:b/>
          <w:bCs/>
          <w:lang w:val="en-US"/>
        </w:rPr>
        <w:t xml:space="preserve">Digital innovation and ecosystem capacity: </w:t>
      </w:r>
      <w:r w:rsidRPr="002D559C">
        <w:rPr>
          <w:lang w:val="en-US"/>
        </w:rPr>
        <w:t>assessing the broader digital innovation landscape, including the enabling environment for innovation, the roles and capacities of government, the private sector, academia and civil society, and gaps that may require targeted institutional or technical support. The Digital Innovation Profile draws on more than 30 stakeholder consultations and is expected to be finalized in Q4 2026.</w:t>
      </w:r>
    </w:p>
    <w:p w14:paraId="4696A787" w14:textId="0619EFD7" w:rsidR="002D559C" w:rsidRPr="002D559C" w:rsidRDefault="02E4B87E" w:rsidP="002D559C">
      <w:pPr>
        <w:spacing w:before="86" w:line="259" w:lineRule="auto"/>
        <w:ind w:left="567"/>
        <w:jc w:val="both"/>
        <w:rPr>
          <w:lang w:val="en-US"/>
        </w:rPr>
      </w:pPr>
      <w:r w:rsidRPr="6D81413A">
        <w:rPr>
          <w:lang w:val="en-US"/>
        </w:rPr>
        <w:t>In addition, the ITU has received a letter dated 20 September 2026 from the MTDE setting out ten priorities. Three of these priority activities, outlined above, are already nearing completion. The remaining priorities are aligned with the implementation plan of ITU Council Resolution 1424 and will guide the current concept notes for technical assistance to Palestine.</w:t>
      </w:r>
    </w:p>
    <w:p w14:paraId="1CA5BEC3" w14:textId="77777777" w:rsidR="002D559C" w:rsidRPr="002D559C" w:rsidRDefault="002D559C" w:rsidP="002D559C">
      <w:pPr>
        <w:pStyle w:val="Headingb"/>
        <w:rPr>
          <w:rFonts w:eastAsia="Aptos"/>
        </w:rPr>
      </w:pPr>
      <w:r w:rsidRPr="002D559C">
        <w:rPr>
          <w:rFonts w:eastAsia="Aptos"/>
        </w:rPr>
        <w:t>7</w:t>
      </w:r>
      <w:r w:rsidRPr="002D559C">
        <w:rPr>
          <w:rFonts w:eastAsia="Aptos"/>
        </w:rPr>
        <w:tab/>
        <w:t xml:space="preserve">Establishment of fund-in-trust (FIT) </w:t>
      </w:r>
    </w:p>
    <w:p w14:paraId="3717F895" w14:textId="58F06525" w:rsidR="0008540E" w:rsidRDefault="002D559C" w:rsidP="002D559C">
      <w:pPr>
        <w:spacing w:before="86"/>
        <w:ind w:left="567" w:hanging="567"/>
        <w:jc w:val="both"/>
      </w:pPr>
      <w:r w:rsidRPr="002D559C">
        <w:tab/>
        <w:t xml:space="preserve">Pursuant to Council Resolution 1424, ITU has established a dedicated Fund-in-Trust (FIT) for Palestine to mobilize and channel voluntary contributions from Member States, Sector Members and private sector partners towards restoring and strengthening Palestine’s </w:t>
      </w:r>
      <w:r w:rsidRPr="002D559C">
        <w:lastRenderedPageBreak/>
        <w:t>telecommunications infrastructure and rebuilding sector capacity. As of 14 September 2026, the Fund had received an initial contribution of €20 000 from Lithuania.</w:t>
      </w:r>
    </w:p>
    <w:p w14:paraId="581CE26B" w14:textId="77777777" w:rsidR="002D559C" w:rsidRPr="002D559C" w:rsidRDefault="002D559C" w:rsidP="002D559C">
      <w:pPr>
        <w:pStyle w:val="Reasons"/>
      </w:pPr>
    </w:p>
    <w:sectPr w:rsidR="002D559C" w:rsidRPr="002D559C" w:rsidSect="00361097">
      <w:headerReference w:type="default" r:id="rId19"/>
      <w:footerReference w:type="first" r:id="rId2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C4F2" w14:textId="77777777" w:rsidR="00492D8B" w:rsidRDefault="00492D8B">
      <w:r>
        <w:separator/>
      </w:r>
    </w:p>
  </w:endnote>
  <w:endnote w:type="continuationSeparator" w:id="0">
    <w:p w14:paraId="314AB06C" w14:textId="77777777" w:rsidR="00492D8B" w:rsidRDefault="0049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4204BED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FF61" w14:textId="77777777" w:rsidR="00492D8B" w:rsidRDefault="00492D8B">
      <w:r>
        <w:t>____________________</w:t>
      </w:r>
    </w:p>
  </w:footnote>
  <w:footnote w:type="continuationSeparator" w:id="0">
    <w:p w14:paraId="4DD9F1B2" w14:textId="77777777" w:rsidR="00492D8B" w:rsidRDefault="00492D8B">
      <w:r>
        <w:continuationSeparator/>
      </w:r>
    </w:p>
  </w:footnote>
  <w:footnote w:id="1">
    <w:p w14:paraId="2B56A5A3" w14:textId="77777777" w:rsidR="002D559C" w:rsidRPr="00F672A1" w:rsidRDefault="002D559C" w:rsidP="002D559C">
      <w:pPr>
        <w:pStyle w:val="FootnoteText"/>
        <w:rPr>
          <w:i/>
          <w:iCs/>
          <w:sz w:val="22"/>
          <w:szCs w:val="22"/>
        </w:rPr>
      </w:pPr>
      <w:r w:rsidRPr="00F672A1">
        <w:rPr>
          <w:rStyle w:val="FootnoteReference"/>
          <w:i/>
          <w:iCs/>
          <w:sz w:val="22"/>
          <w:szCs w:val="22"/>
        </w:rPr>
        <w:footnoteRef/>
      </w:r>
      <w:r w:rsidRPr="00F672A1">
        <w:rPr>
          <w:i/>
          <w:iCs/>
          <w:sz w:val="22"/>
          <w:szCs w:val="22"/>
        </w:rPr>
        <w:t xml:space="preserve"> Emergency Telecommunications Cluster (ETC), Palestine Situation Report No.67 (March 2026).</w:t>
      </w:r>
    </w:p>
  </w:footnote>
  <w:footnote w:id="2">
    <w:p w14:paraId="361D2313" w14:textId="77777777" w:rsidR="002D559C" w:rsidRPr="00EF1CD0" w:rsidRDefault="002D559C" w:rsidP="002D559C">
      <w:pPr>
        <w:pStyle w:val="FootnoteText"/>
        <w:rPr>
          <w:sz w:val="16"/>
          <w:szCs w:val="16"/>
        </w:rPr>
      </w:pPr>
      <w:r w:rsidRPr="00F672A1">
        <w:rPr>
          <w:rStyle w:val="FootnoteReference"/>
          <w:i/>
          <w:iCs/>
          <w:sz w:val="22"/>
          <w:szCs w:val="22"/>
        </w:rPr>
        <w:footnoteRef/>
      </w:r>
      <w:r w:rsidRPr="00F672A1">
        <w:rPr>
          <w:i/>
          <w:iCs/>
          <w:sz w:val="22"/>
          <w:szCs w:val="22"/>
        </w:rPr>
        <w:t xml:space="preserve"> World Bank, United Nations and European Union, </w:t>
      </w:r>
      <w:r w:rsidRPr="00F672A1">
        <w:rPr>
          <w:rStyle w:val="Emphasis"/>
          <w:sz w:val="22"/>
          <w:szCs w:val="22"/>
        </w:rPr>
        <w:t>Gaza Strip Rapid Damage and Needs Assessment (RDNA), (</w:t>
      </w:r>
      <w:r w:rsidRPr="00F672A1">
        <w:rPr>
          <w:i/>
          <w:iCs/>
          <w:sz w:val="22"/>
          <w:szCs w:val="22"/>
        </w:rPr>
        <w:t>20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305A03FD" w:rsidR="00CE1B90" w:rsidRDefault="00CE1B90" w:rsidP="004F7925">
    <w:pPr>
      <w:pStyle w:val="Header"/>
    </w:pPr>
    <w:r>
      <w:t>PP</w:t>
    </w:r>
    <w:r w:rsidR="000235EC">
      <w:t>2</w:t>
    </w:r>
    <w:r w:rsidR="00EF3B7A">
      <w:t>6</w:t>
    </w:r>
    <w:r>
      <w:t>/</w:t>
    </w:r>
    <w:r w:rsidR="003F5E95">
      <w:t>69</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0015F"/>
    <w:multiLevelType w:val="hybridMultilevel"/>
    <w:tmpl w:val="941EAE86"/>
    <w:lvl w:ilvl="0" w:tplc="08090001">
      <w:start w:val="1"/>
      <w:numFmt w:val="bullet"/>
      <w:lvlText w:val=""/>
      <w:lvlJc w:val="left"/>
      <w:pPr>
        <w:ind w:left="927" w:hanging="360"/>
      </w:pPr>
      <w:rPr>
        <w:rFonts w:ascii="Symbol" w:hAnsi="Symbol"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94023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559C"/>
    <w:rsid w:val="002E77F4"/>
    <w:rsid w:val="002F36B9"/>
    <w:rsid w:val="002F5FA2"/>
    <w:rsid w:val="003038E3"/>
    <w:rsid w:val="003126B0"/>
    <w:rsid w:val="00314127"/>
    <w:rsid w:val="00314C12"/>
    <w:rsid w:val="003261C3"/>
    <w:rsid w:val="003373B7"/>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923"/>
    <w:rsid w:val="003A7FB6"/>
    <w:rsid w:val="003B3751"/>
    <w:rsid w:val="003F0763"/>
    <w:rsid w:val="003F2121"/>
    <w:rsid w:val="003F2E54"/>
    <w:rsid w:val="003F5771"/>
    <w:rsid w:val="003F5E95"/>
    <w:rsid w:val="003F61F3"/>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2D8B"/>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661F"/>
    <w:rsid w:val="005C3315"/>
    <w:rsid w:val="005E1CC3"/>
    <w:rsid w:val="005F05C8"/>
    <w:rsid w:val="00604079"/>
    <w:rsid w:val="00606A6A"/>
    <w:rsid w:val="00617BE4"/>
    <w:rsid w:val="00620233"/>
    <w:rsid w:val="00627DF4"/>
    <w:rsid w:val="006404B0"/>
    <w:rsid w:val="0066499C"/>
    <w:rsid w:val="00676E68"/>
    <w:rsid w:val="006A7108"/>
    <w:rsid w:val="006B2035"/>
    <w:rsid w:val="006B40DA"/>
    <w:rsid w:val="006C5D5D"/>
    <w:rsid w:val="006D139F"/>
    <w:rsid w:val="006E215D"/>
    <w:rsid w:val="006E3C62"/>
    <w:rsid w:val="006E470A"/>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648B"/>
    <w:rsid w:val="008B7A93"/>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19AB"/>
    <w:rsid w:val="00A455B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3CD4"/>
    <w:rsid w:val="00B25A86"/>
    <w:rsid w:val="00B304B9"/>
    <w:rsid w:val="00B55E1A"/>
    <w:rsid w:val="00B57988"/>
    <w:rsid w:val="00B62032"/>
    <w:rsid w:val="00B639AE"/>
    <w:rsid w:val="00B65F8C"/>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06792"/>
    <w:rsid w:val="00C112A3"/>
    <w:rsid w:val="00C16846"/>
    <w:rsid w:val="00C34851"/>
    <w:rsid w:val="00C42A5B"/>
    <w:rsid w:val="00C5419D"/>
    <w:rsid w:val="00C56038"/>
    <w:rsid w:val="00C6729F"/>
    <w:rsid w:val="00C70164"/>
    <w:rsid w:val="00C72664"/>
    <w:rsid w:val="00C86F24"/>
    <w:rsid w:val="00C97138"/>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2482"/>
    <w:rsid w:val="00D64FF3"/>
    <w:rsid w:val="00D657A2"/>
    <w:rsid w:val="00D75620"/>
    <w:rsid w:val="00D760C8"/>
    <w:rsid w:val="00D83FFD"/>
    <w:rsid w:val="00D8451F"/>
    <w:rsid w:val="00D8617D"/>
    <w:rsid w:val="00D92563"/>
    <w:rsid w:val="00DA33A9"/>
    <w:rsid w:val="00DB36DF"/>
    <w:rsid w:val="00DC7C10"/>
    <w:rsid w:val="00DD26B1"/>
    <w:rsid w:val="00DD5177"/>
    <w:rsid w:val="00DE16B8"/>
    <w:rsid w:val="00DE20DF"/>
    <w:rsid w:val="00DE4CC2"/>
    <w:rsid w:val="00DE783B"/>
    <w:rsid w:val="00DF23FC"/>
    <w:rsid w:val="00DF39CD"/>
    <w:rsid w:val="00DF3BBE"/>
    <w:rsid w:val="00E0094D"/>
    <w:rsid w:val="00E10A17"/>
    <w:rsid w:val="00E13427"/>
    <w:rsid w:val="00E1374D"/>
    <w:rsid w:val="00E20134"/>
    <w:rsid w:val="00E24CB2"/>
    <w:rsid w:val="00E31D1C"/>
    <w:rsid w:val="00E32981"/>
    <w:rsid w:val="00E34312"/>
    <w:rsid w:val="00E34A39"/>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25F"/>
    <w:rsid w:val="00F342E4"/>
    <w:rsid w:val="00F34430"/>
    <w:rsid w:val="00F35330"/>
    <w:rsid w:val="00F41C91"/>
    <w:rsid w:val="00F433A4"/>
    <w:rsid w:val="00F4421A"/>
    <w:rsid w:val="00F44B1A"/>
    <w:rsid w:val="00F47316"/>
    <w:rsid w:val="00F55DA5"/>
    <w:rsid w:val="00F672A1"/>
    <w:rsid w:val="00F94BC2"/>
    <w:rsid w:val="00F95ABE"/>
    <w:rsid w:val="00F9756D"/>
    <w:rsid w:val="00FB5F12"/>
    <w:rsid w:val="00FC5117"/>
    <w:rsid w:val="00FD417F"/>
    <w:rsid w:val="00FD6BFD"/>
    <w:rsid w:val="00FD7255"/>
    <w:rsid w:val="00FD7B1D"/>
    <w:rsid w:val="00FE1E22"/>
    <w:rsid w:val="00FF04D6"/>
    <w:rsid w:val="01B1ACF8"/>
    <w:rsid w:val="02E4B87E"/>
    <w:rsid w:val="031D37B2"/>
    <w:rsid w:val="044FA2D9"/>
    <w:rsid w:val="29F6AA8E"/>
    <w:rsid w:val="2A7F2A98"/>
    <w:rsid w:val="4C1E33F5"/>
    <w:rsid w:val="52C1234B"/>
    <w:rsid w:val="5DB16510"/>
    <w:rsid w:val="5F7D238F"/>
    <w:rsid w:val="6A1DE543"/>
    <w:rsid w:val="6CFE05C9"/>
    <w:rsid w:val="6D8141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3F5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sid w:val="002D559C"/>
    <w:rPr>
      <w:rFonts w:ascii="Calibri" w:hAnsi="Calibri"/>
      <w:sz w:val="24"/>
      <w:lang w:val="en-GB" w:eastAsia="en-US"/>
    </w:rPr>
  </w:style>
  <w:style w:type="character" w:styleId="Emphasis">
    <w:name w:val="Emphasis"/>
    <w:basedOn w:val="DefaultParagraphFont"/>
    <w:uiPriority w:val="20"/>
    <w:qFormat/>
    <w:rsid w:val="002D559C"/>
    <w:rPr>
      <w:i/>
      <w:iCs/>
    </w:rPr>
  </w:style>
  <w:style w:type="character" w:styleId="CommentReference">
    <w:name w:val="annotation reference"/>
    <w:basedOn w:val="DefaultParagraphFont"/>
    <w:uiPriority w:val="99"/>
    <w:semiHidden/>
    <w:unhideWhenUsed/>
    <w:rsid w:val="002D559C"/>
    <w:rPr>
      <w:sz w:val="16"/>
      <w:szCs w:val="16"/>
    </w:rPr>
  </w:style>
  <w:style w:type="paragraph" w:styleId="CommentText">
    <w:name w:val="annotation text"/>
    <w:basedOn w:val="Normal"/>
    <w:link w:val="CommentTextChar"/>
    <w:uiPriority w:val="99"/>
    <w:unhideWhenUsed/>
    <w:rsid w:val="002D559C"/>
    <w:rPr>
      <w:sz w:val="20"/>
    </w:rPr>
  </w:style>
  <w:style w:type="character" w:customStyle="1" w:styleId="CommentTextChar">
    <w:name w:val="Comment Text Char"/>
    <w:basedOn w:val="DefaultParagraphFont"/>
    <w:link w:val="CommentText"/>
    <w:uiPriority w:val="99"/>
    <w:rsid w:val="002D559C"/>
    <w:rPr>
      <w:rFonts w:ascii="Calibri" w:hAnsi="Calibri"/>
      <w:lang w:val="en-GB" w:eastAsia="en-US"/>
    </w:rPr>
  </w:style>
  <w:style w:type="character" w:styleId="Mention">
    <w:name w:val="Mention"/>
    <w:basedOn w:val="DefaultParagraphFont"/>
    <w:uiPriority w:val="99"/>
    <w:unhideWhenUsed/>
    <w:rsid w:val="002D559C"/>
    <w:rPr>
      <w:color w:val="2B579A"/>
      <w:shd w:val="clear" w:color="auto" w:fill="E1DFDD"/>
    </w:rPr>
  </w:style>
  <w:style w:type="paragraph" w:styleId="Revision">
    <w:name w:val="Revision"/>
    <w:hidden/>
    <w:uiPriority w:val="99"/>
    <w:semiHidden/>
    <w:rsid w:val="00F3443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council/Documents/basic-texts-2023/RES-099-E.pdf" TargetMode="External"/><Relationship Id="rId18" Type="http://schemas.openxmlformats.org/officeDocument/2006/relationships/hyperlink" Target="https://www.itu.int/md/S24-CL-C-0127/en"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tu.int/en/council/Documents/basic-texts-2023/RES-034-E.pdf" TargetMode="External"/><Relationship Id="rId17" Type="http://schemas.openxmlformats.org/officeDocument/2006/relationships/hyperlink" Target="https://www.itu.int/net4/ITU-D/CDS/Resolutions/Resolution-18-Rev-Baku-2025.pdf" TargetMode="External"/><Relationship Id="rId2" Type="http://schemas.openxmlformats.org/officeDocument/2006/relationships/customXml" Target="../customXml/item1.xml"/><Relationship Id="rId16" Type="http://schemas.openxmlformats.org/officeDocument/2006/relationships/hyperlink" Target="https://www.itu.int/md/S24-CL-C-0127/en"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en/council/Documents/basic-texts-2023/RES-137-E.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2023/RES-125-E.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9037E6-F5CE-4049-B221-8D38439485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DE76E0-7C98-45BF-A7B7-C80FFDE45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979C6-E123-4C7E-9010-788E90963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1443</Words>
  <Characters>8809</Characters>
  <Application>Microsoft Office Word</Application>
  <DocSecurity>0</DocSecurity>
  <Lines>154</Lines>
  <Paragraphs>55</Paragraphs>
  <ScaleCrop>false</ScaleCrop>
  <HeadingPairs>
    <vt:vector size="2" baseType="variant">
      <vt:variant>
        <vt:lpstr>Title</vt:lpstr>
      </vt:variant>
      <vt:variant>
        <vt:i4>1</vt:i4>
      </vt:variant>
    </vt:vector>
  </HeadingPairs>
  <TitlesOfParts>
    <vt:vector size="1" baseType="lpstr">
      <vt:lpstr>Status Report on Assistance and Support to Palestine</vt:lpstr>
    </vt:vector>
  </TitlesOfParts>
  <Manager/>
  <Company/>
  <LinksUpToDate>false</LinksUpToDate>
  <CharactersWithSpaces>10197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 on Assistance and Support to Palestine</dc:title>
  <dc:subject>ITU Plenipotentiary Conference (PP-26)</dc:subject>
  <dc:creator>GBS</dc:creator>
  <cp:keywords>PP-26, PP26, ITU</cp:keywords>
  <cp:lastModifiedBy>Doral, Sean</cp:lastModifiedBy>
  <cp:revision>5</cp:revision>
  <dcterms:created xsi:type="dcterms:W3CDTF">2026-10-06T16:16:00Z</dcterms:created>
  <dcterms:modified xsi:type="dcterms:W3CDTF">2026-10-07T12:29:00Z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