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6A20DF" w14:paraId="53E2F3C9" w14:textId="77777777" w:rsidTr="005A329F">
        <w:trPr>
          <w:cantSplit/>
          <w:jc w:val="center"/>
        </w:trPr>
        <w:tc>
          <w:tcPr>
            <w:tcW w:w="10031" w:type="dxa"/>
            <w:gridSpan w:val="2"/>
            <w:tcMar>
              <w:left w:w="0" w:type="dxa"/>
              <w:right w:w="0" w:type="dxa"/>
            </w:tcMar>
            <w:vAlign w:val="center"/>
          </w:tcPr>
          <w:p w14:paraId="703F9FD0" w14:textId="1C1F7963" w:rsidR="00BF32F2" w:rsidRPr="006A20DF" w:rsidRDefault="00BF32F2" w:rsidP="00BF32F2">
            <w:pPr>
              <w:spacing w:before="0" w:line="240" w:lineRule="atLeast"/>
              <w:rPr>
                <w:rFonts w:cstheme="minorHAnsi"/>
                <w:lang w:val="es-ES"/>
              </w:rPr>
            </w:pPr>
            <w:bookmarkStart w:id="0" w:name="ditulogo"/>
            <w:bookmarkEnd w:id="0"/>
            <w:r w:rsidRPr="006A20DF">
              <w:rPr>
                <w:rFonts w:cstheme="minorHAnsi"/>
                <w:noProof/>
                <w:lang w:val="es-ES"/>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6A20DF" w14:paraId="7936D6CB" w14:textId="77777777" w:rsidTr="005A329F">
        <w:trPr>
          <w:cantSplit/>
          <w:trHeight w:val="283"/>
          <w:jc w:val="center"/>
        </w:trPr>
        <w:tc>
          <w:tcPr>
            <w:tcW w:w="10031" w:type="dxa"/>
            <w:gridSpan w:val="2"/>
            <w:tcBorders>
              <w:bottom w:val="single" w:sz="12" w:space="0" w:color="71716F"/>
            </w:tcBorders>
          </w:tcPr>
          <w:p w14:paraId="11F82F2F" w14:textId="77777777" w:rsidR="00277985" w:rsidRPr="006A20DF" w:rsidRDefault="00277985" w:rsidP="00BF32F2">
            <w:pPr>
              <w:spacing w:before="0" w:line="240" w:lineRule="atLeast"/>
              <w:rPr>
                <w:rFonts w:cstheme="minorHAnsi"/>
                <w:b/>
                <w:smallCaps/>
                <w:szCs w:val="24"/>
                <w:lang w:val="es-ES"/>
              </w:rPr>
            </w:pPr>
            <w:bookmarkStart w:id="1" w:name="dhead"/>
          </w:p>
        </w:tc>
      </w:tr>
      <w:tr w:rsidR="00255FA1" w:rsidRPr="006A20DF" w14:paraId="420A698C" w14:textId="77777777" w:rsidTr="005A329F">
        <w:trPr>
          <w:cantSplit/>
          <w:trHeight w:val="255"/>
          <w:jc w:val="center"/>
        </w:trPr>
        <w:tc>
          <w:tcPr>
            <w:tcW w:w="7229" w:type="dxa"/>
            <w:tcBorders>
              <w:top w:val="single" w:sz="12" w:space="0" w:color="71716F"/>
            </w:tcBorders>
          </w:tcPr>
          <w:p w14:paraId="47DB16D7" w14:textId="77777777" w:rsidR="00255FA1" w:rsidRPr="006A20DF"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3B0821EE" w14:textId="77777777" w:rsidR="00255FA1" w:rsidRPr="006A20DF" w:rsidRDefault="00255FA1" w:rsidP="00BF32F2">
            <w:pPr>
              <w:spacing w:before="0"/>
              <w:rPr>
                <w:rFonts w:cstheme="minorHAnsi"/>
                <w:szCs w:val="24"/>
                <w:lang w:val="es-ES"/>
              </w:rPr>
            </w:pPr>
          </w:p>
        </w:tc>
      </w:tr>
      <w:bookmarkEnd w:id="1"/>
      <w:tr w:rsidR="00075113" w:rsidRPr="006A20DF" w14:paraId="6E5D99D3" w14:textId="77777777" w:rsidTr="005A329F">
        <w:trPr>
          <w:cantSplit/>
          <w:jc w:val="center"/>
        </w:trPr>
        <w:tc>
          <w:tcPr>
            <w:tcW w:w="7229" w:type="dxa"/>
          </w:tcPr>
          <w:p w14:paraId="248001A5" w14:textId="3DA1C374" w:rsidR="00075113" w:rsidRPr="006A20DF" w:rsidRDefault="00075113" w:rsidP="00075113">
            <w:pPr>
              <w:pStyle w:val="Committee"/>
              <w:framePr w:hSpace="0" w:wrap="auto" w:hAnchor="text" w:yAlign="inline"/>
              <w:spacing w:after="0" w:line="240" w:lineRule="auto"/>
              <w:rPr>
                <w:lang w:val="es-ES"/>
              </w:rPr>
            </w:pPr>
            <w:r w:rsidRPr="006A20DF">
              <w:rPr>
                <w:lang w:val="es-ES"/>
              </w:rPr>
              <w:t>SESIÓN PLENARIA</w:t>
            </w:r>
          </w:p>
        </w:tc>
        <w:tc>
          <w:tcPr>
            <w:tcW w:w="2802" w:type="dxa"/>
          </w:tcPr>
          <w:p w14:paraId="5DCBCBFD" w14:textId="294804B7" w:rsidR="00075113" w:rsidRPr="006A20DF" w:rsidRDefault="00075113" w:rsidP="00075113">
            <w:pPr>
              <w:spacing w:before="0"/>
              <w:rPr>
                <w:rFonts w:cstheme="minorHAnsi"/>
                <w:szCs w:val="24"/>
                <w:lang w:val="es-ES"/>
              </w:rPr>
            </w:pPr>
            <w:r w:rsidRPr="006A20DF">
              <w:rPr>
                <w:rFonts w:cstheme="minorHAnsi"/>
                <w:b/>
                <w:szCs w:val="24"/>
                <w:lang w:val="es-ES"/>
              </w:rPr>
              <w:t xml:space="preserve">Documento </w:t>
            </w:r>
            <w:r w:rsidR="0020526E" w:rsidRPr="006A20DF">
              <w:rPr>
                <w:rFonts w:cstheme="minorHAnsi"/>
                <w:b/>
                <w:szCs w:val="24"/>
                <w:lang w:val="es-ES"/>
              </w:rPr>
              <w:t>66</w:t>
            </w:r>
            <w:r w:rsidRPr="006A20DF">
              <w:rPr>
                <w:rFonts w:cstheme="minorHAnsi"/>
                <w:b/>
                <w:szCs w:val="24"/>
                <w:lang w:val="es-ES"/>
              </w:rPr>
              <w:t>-S</w:t>
            </w:r>
          </w:p>
        </w:tc>
      </w:tr>
      <w:tr w:rsidR="00075113" w:rsidRPr="006A20DF" w14:paraId="483D078B" w14:textId="77777777" w:rsidTr="005A329F">
        <w:trPr>
          <w:cantSplit/>
          <w:jc w:val="center"/>
        </w:trPr>
        <w:tc>
          <w:tcPr>
            <w:tcW w:w="7229" w:type="dxa"/>
          </w:tcPr>
          <w:p w14:paraId="17E32998" w14:textId="36F0CCB2" w:rsidR="00075113" w:rsidRPr="006A20DF" w:rsidRDefault="00075113" w:rsidP="00075113">
            <w:pPr>
              <w:spacing w:before="0"/>
              <w:rPr>
                <w:rFonts w:cstheme="minorHAnsi"/>
                <w:b/>
                <w:szCs w:val="24"/>
                <w:lang w:val="es-ES"/>
              </w:rPr>
            </w:pPr>
          </w:p>
        </w:tc>
        <w:tc>
          <w:tcPr>
            <w:tcW w:w="2802" w:type="dxa"/>
          </w:tcPr>
          <w:p w14:paraId="00BF5C1A" w14:textId="4900E3FE" w:rsidR="00075113" w:rsidRPr="006A20DF" w:rsidRDefault="00C01429" w:rsidP="00075113">
            <w:pPr>
              <w:spacing w:before="0"/>
              <w:rPr>
                <w:rFonts w:cstheme="minorHAnsi"/>
                <w:b/>
                <w:szCs w:val="24"/>
                <w:lang w:val="es-ES"/>
              </w:rPr>
            </w:pPr>
            <w:r w:rsidRPr="006A20DF">
              <w:rPr>
                <w:rFonts w:cstheme="minorHAnsi"/>
                <w:b/>
                <w:szCs w:val="24"/>
                <w:lang w:val="es-ES"/>
              </w:rPr>
              <w:t xml:space="preserve">7 </w:t>
            </w:r>
            <w:r w:rsidR="0020526E" w:rsidRPr="006A20DF">
              <w:rPr>
                <w:rFonts w:cstheme="minorHAnsi"/>
                <w:b/>
                <w:szCs w:val="24"/>
                <w:lang w:val="es-ES"/>
              </w:rPr>
              <w:t>de octubre de 2026</w:t>
            </w:r>
          </w:p>
        </w:tc>
      </w:tr>
      <w:tr w:rsidR="00075113" w:rsidRPr="006A20DF" w14:paraId="7EE17784" w14:textId="77777777" w:rsidTr="005A329F">
        <w:trPr>
          <w:cantSplit/>
          <w:jc w:val="center"/>
        </w:trPr>
        <w:tc>
          <w:tcPr>
            <w:tcW w:w="7229" w:type="dxa"/>
          </w:tcPr>
          <w:p w14:paraId="68573EE1" w14:textId="77777777" w:rsidR="00075113" w:rsidRPr="006A20DF" w:rsidRDefault="00075113" w:rsidP="00075113">
            <w:pPr>
              <w:spacing w:before="0"/>
              <w:rPr>
                <w:rFonts w:cstheme="minorHAnsi"/>
                <w:b/>
                <w:smallCaps/>
                <w:szCs w:val="24"/>
                <w:lang w:val="es-ES"/>
              </w:rPr>
            </w:pPr>
          </w:p>
        </w:tc>
        <w:tc>
          <w:tcPr>
            <w:tcW w:w="2802" w:type="dxa"/>
          </w:tcPr>
          <w:p w14:paraId="76142BCE" w14:textId="03B29E45" w:rsidR="00075113" w:rsidRPr="006A20DF" w:rsidRDefault="00075113" w:rsidP="00075113">
            <w:pPr>
              <w:spacing w:before="0"/>
              <w:rPr>
                <w:rFonts w:cstheme="minorHAnsi"/>
                <w:b/>
                <w:szCs w:val="24"/>
                <w:lang w:val="es-ES"/>
              </w:rPr>
            </w:pPr>
            <w:r w:rsidRPr="006A20DF">
              <w:rPr>
                <w:rFonts w:cstheme="minorHAnsi"/>
                <w:b/>
                <w:szCs w:val="24"/>
                <w:lang w:val="es-ES"/>
              </w:rPr>
              <w:t>Original: inglés</w:t>
            </w:r>
          </w:p>
        </w:tc>
      </w:tr>
      <w:tr w:rsidR="00075113" w:rsidRPr="006A20DF" w14:paraId="3075E850" w14:textId="77777777" w:rsidTr="005A329F">
        <w:trPr>
          <w:cantSplit/>
          <w:jc w:val="center"/>
        </w:trPr>
        <w:tc>
          <w:tcPr>
            <w:tcW w:w="10031" w:type="dxa"/>
            <w:gridSpan w:val="2"/>
          </w:tcPr>
          <w:p w14:paraId="2AB3028F" w14:textId="77777777" w:rsidR="00075113" w:rsidRPr="006A20DF" w:rsidRDefault="00075113" w:rsidP="00075113">
            <w:pPr>
              <w:spacing w:before="0" w:line="240" w:lineRule="atLeast"/>
              <w:rPr>
                <w:rFonts w:cstheme="minorHAnsi"/>
                <w:b/>
                <w:szCs w:val="24"/>
                <w:lang w:val="es-ES"/>
              </w:rPr>
            </w:pPr>
          </w:p>
        </w:tc>
      </w:tr>
      <w:tr w:rsidR="00075113" w:rsidRPr="006A20DF" w14:paraId="53FF73A6" w14:textId="77777777" w:rsidTr="005A329F">
        <w:trPr>
          <w:cantSplit/>
          <w:jc w:val="center"/>
        </w:trPr>
        <w:tc>
          <w:tcPr>
            <w:tcW w:w="10031" w:type="dxa"/>
            <w:gridSpan w:val="2"/>
          </w:tcPr>
          <w:p w14:paraId="365E2007" w14:textId="70EBCA5A" w:rsidR="00075113" w:rsidRPr="006A20DF" w:rsidRDefault="0020526E" w:rsidP="00075113">
            <w:pPr>
              <w:pStyle w:val="Source"/>
              <w:rPr>
                <w:lang w:val="es-ES"/>
              </w:rPr>
            </w:pPr>
            <w:bookmarkStart w:id="2" w:name="dsource" w:colFirst="0" w:colLast="0"/>
            <w:r w:rsidRPr="006A20DF">
              <w:rPr>
                <w:bCs/>
                <w:color w:val="000000"/>
                <w:lang w:val="es-ES"/>
              </w:rPr>
              <w:t>Informe de la Secretaria General</w:t>
            </w:r>
          </w:p>
        </w:tc>
      </w:tr>
      <w:tr w:rsidR="00075113" w:rsidRPr="006A20DF" w14:paraId="6C060127" w14:textId="77777777" w:rsidTr="005A329F">
        <w:trPr>
          <w:cantSplit/>
          <w:jc w:val="center"/>
        </w:trPr>
        <w:tc>
          <w:tcPr>
            <w:tcW w:w="10031" w:type="dxa"/>
            <w:gridSpan w:val="2"/>
          </w:tcPr>
          <w:p w14:paraId="0A048F9C" w14:textId="15D66BCB" w:rsidR="00075113" w:rsidRPr="006A20DF" w:rsidRDefault="00EE6D1A" w:rsidP="00075113">
            <w:pPr>
              <w:pStyle w:val="Title1"/>
              <w:rPr>
                <w:lang w:val="es-ES"/>
              </w:rPr>
            </w:pPr>
            <w:bookmarkStart w:id="3" w:name="dtitle1" w:colFirst="0" w:colLast="0"/>
            <w:bookmarkEnd w:id="2"/>
            <w:r w:rsidRPr="006A20DF">
              <w:rPr>
                <w:caps w:val="0"/>
                <w:color w:val="000000"/>
                <w:lang w:val="es-ES"/>
              </w:rPr>
              <w:t>PLAN PARA LA CREACIÓN DE UNA OFICINA DE LA UIT EN EL PACÍFICO</w:t>
            </w:r>
          </w:p>
        </w:tc>
      </w:tr>
      <w:bookmarkEnd w:id="3"/>
    </w:tbl>
    <w:p w14:paraId="4B28990F" w14:textId="77777777" w:rsidR="0020526E" w:rsidRPr="006A20DF" w:rsidRDefault="0020526E" w:rsidP="0020526E">
      <w:pPr>
        <w:rPr>
          <w:lang w:val="es-ES"/>
        </w:rPr>
      </w:pPr>
    </w:p>
    <w:tbl>
      <w:tblPr>
        <w:tblStyle w:val="TableGrid"/>
        <w:tblW w:w="0" w:type="auto"/>
        <w:jc w:val="center"/>
        <w:tblLayout w:type="fixed"/>
        <w:tblLook w:val="04A0" w:firstRow="1" w:lastRow="0" w:firstColumn="1" w:lastColumn="0" w:noHBand="0" w:noVBand="1"/>
      </w:tblPr>
      <w:tblGrid>
        <w:gridCol w:w="7937"/>
      </w:tblGrid>
      <w:tr w:rsidR="0020526E" w:rsidRPr="006A20DF" w14:paraId="785B9130" w14:textId="77777777" w:rsidTr="009C4DEA">
        <w:trPr>
          <w:cantSplit/>
          <w:jc w:val="center"/>
        </w:trPr>
        <w:tc>
          <w:tcPr>
            <w:tcW w:w="7937" w:type="dxa"/>
          </w:tcPr>
          <w:p w14:paraId="6F84AF8F" w14:textId="3CC19726" w:rsidR="0020526E" w:rsidRPr="006A20DF" w:rsidRDefault="0020526E" w:rsidP="009C4DEA">
            <w:pPr>
              <w:pStyle w:val="Headingb"/>
              <w:rPr>
                <w:lang w:val="es-ES"/>
              </w:rPr>
            </w:pPr>
            <w:r w:rsidRPr="006A20DF">
              <w:rPr>
                <w:bCs/>
                <w:color w:val="000000"/>
                <w:lang w:val="es-ES"/>
              </w:rPr>
              <w:t>Resumen</w:t>
            </w:r>
          </w:p>
          <w:p w14:paraId="504FFC5B" w14:textId="474D1C49" w:rsidR="0020526E" w:rsidRPr="006A20DF" w:rsidRDefault="0020526E" w:rsidP="00EE6D1A">
            <w:pPr>
              <w:jc w:val="both"/>
              <w:rPr>
                <w:lang w:val="es-ES"/>
              </w:rPr>
            </w:pPr>
            <w:r w:rsidRPr="006A20DF">
              <w:rPr>
                <w:lang w:val="es-ES"/>
              </w:rPr>
              <w:t xml:space="preserve">En su sesión de 2026, el Consejo aprobó en principio la creación de una Oficina Zonal para el Pacífico el 28 de abril de 2026 y pidió a la </w:t>
            </w:r>
            <w:r w:rsidR="005640EC" w:rsidRPr="006A20DF">
              <w:rPr>
                <w:lang w:val="es-ES"/>
              </w:rPr>
              <w:t xml:space="preserve">secretaría </w:t>
            </w:r>
            <w:r w:rsidRPr="006A20DF">
              <w:rPr>
                <w:lang w:val="es-ES"/>
              </w:rPr>
              <w:t>que elaborase un plan detallado para la creación de la nueva Oficina Zonal y lo presentase a la</w:t>
            </w:r>
            <w:r w:rsidR="00C01429" w:rsidRPr="006A20DF">
              <w:rPr>
                <w:lang w:val="es-ES"/>
              </w:rPr>
              <w:t xml:space="preserve"> Conferencia de Plenipotenciarios (</w:t>
            </w:r>
            <w:r w:rsidRPr="006A20DF">
              <w:rPr>
                <w:lang w:val="es-ES"/>
              </w:rPr>
              <w:t>PP-26</w:t>
            </w:r>
            <w:r w:rsidR="00C01429" w:rsidRPr="006A20DF">
              <w:rPr>
                <w:lang w:val="es-ES"/>
              </w:rPr>
              <w:t>)</w:t>
            </w:r>
            <w:r w:rsidRPr="006A20DF">
              <w:rPr>
                <w:lang w:val="es-ES"/>
              </w:rPr>
              <w:t xml:space="preserve"> para su consideración. En este documento se proporciona el contexto y la metodología utilizada para elaborar el plan de creación con la propuesta de dotación de personal, el análisis financiero y los aspectos logísticos.</w:t>
            </w:r>
          </w:p>
          <w:p w14:paraId="27910F32" w14:textId="77777777" w:rsidR="0020526E" w:rsidRPr="006A20DF" w:rsidRDefault="0020526E" w:rsidP="009C4DEA">
            <w:pPr>
              <w:pStyle w:val="Headingb"/>
              <w:rPr>
                <w:lang w:val="es-ES"/>
              </w:rPr>
            </w:pPr>
            <w:r w:rsidRPr="006A20DF">
              <w:rPr>
                <w:bCs/>
                <w:color w:val="000000"/>
                <w:lang w:val="es-ES"/>
              </w:rPr>
              <w:t>Acción solicitada</w:t>
            </w:r>
          </w:p>
          <w:p w14:paraId="0300A65E" w14:textId="06C4CC27" w:rsidR="0020526E" w:rsidRPr="006A20DF" w:rsidRDefault="0020526E" w:rsidP="00F625C7">
            <w:pPr>
              <w:rPr>
                <w:lang w:val="es-ES"/>
              </w:rPr>
            </w:pPr>
            <w:r w:rsidRPr="006A20DF">
              <w:rPr>
                <w:lang w:val="es-ES"/>
              </w:rPr>
              <w:t xml:space="preserve">Se invita a la Conferencia de Plenipotenciarios a </w:t>
            </w:r>
            <w:r w:rsidRPr="006A20DF">
              <w:rPr>
                <w:b/>
                <w:bCs/>
                <w:lang w:val="es-ES"/>
              </w:rPr>
              <w:t xml:space="preserve">examinar </w:t>
            </w:r>
            <w:r w:rsidRPr="006A20DF">
              <w:rPr>
                <w:lang w:val="es-ES"/>
              </w:rPr>
              <w:t>el presente informe.</w:t>
            </w:r>
          </w:p>
          <w:p w14:paraId="4AFB1646" w14:textId="77777777" w:rsidR="0020526E" w:rsidRPr="006A20DF" w:rsidRDefault="0020526E" w:rsidP="009C4DEA">
            <w:pPr>
              <w:spacing w:before="160"/>
              <w:rPr>
                <w:b/>
                <w:bCs/>
                <w:lang w:val="es-ES"/>
              </w:rPr>
            </w:pPr>
            <w:r w:rsidRPr="006A20DF">
              <w:rPr>
                <w:b/>
                <w:bCs/>
                <w:color w:val="000000"/>
                <w:lang w:val="es-ES"/>
              </w:rPr>
              <w:t>Vínculo(s) pertinente(s) con el Plan Estratégico</w:t>
            </w:r>
          </w:p>
          <w:p w14:paraId="1D926921" w14:textId="77777777" w:rsidR="0020526E" w:rsidRPr="006A20DF" w:rsidRDefault="0020526E" w:rsidP="00CB6535">
            <w:pPr>
              <w:rPr>
                <w:lang w:val="es-ES"/>
              </w:rPr>
            </w:pPr>
            <w:r w:rsidRPr="006A20DF">
              <w:rPr>
                <w:lang w:val="es-ES"/>
              </w:rPr>
              <w:t>Presencia regional, párr. 66 del Plan Estratégico de la Unión para 2024-2027.</w:t>
            </w:r>
          </w:p>
          <w:p w14:paraId="14D7DE79" w14:textId="77777777" w:rsidR="0020526E" w:rsidRPr="006A20DF" w:rsidRDefault="0020526E" w:rsidP="009C4DEA">
            <w:pPr>
              <w:spacing w:before="160"/>
              <w:jc w:val="both"/>
              <w:rPr>
                <w:b/>
                <w:bCs/>
                <w:lang w:val="es-ES"/>
              </w:rPr>
            </w:pPr>
            <w:r w:rsidRPr="006A20DF">
              <w:rPr>
                <w:b/>
                <w:bCs/>
                <w:color w:val="000000"/>
                <w:lang w:val="es-ES"/>
              </w:rPr>
              <w:t>Repercusiones financieras</w:t>
            </w:r>
          </w:p>
          <w:p w14:paraId="387E8660" w14:textId="6A7AF21B" w:rsidR="0020526E" w:rsidRPr="006A20DF" w:rsidRDefault="0020526E" w:rsidP="00EE6D1A">
            <w:pPr>
              <w:jc w:val="both"/>
              <w:rPr>
                <w:rFonts w:eastAsia="Calibri" w:cs="Calibri"/>
                <w:lang w:val="es-ES"/>
              </w:rPr>
            </w:pPr>
            <w:r w:rsidRPr="006A20DF">
              <w:rPr>
                <w:lang w:val="es-ES"/>
              </w:rPr>
              <w:t>Se</w:t>
            </w:r>
            <w:r w:rsidRPr="006A20DF">
              <w:rPr>
                <w:rFonts w:eastAsia="Calibri" w:cs="Calibri"/>
                <w:color w:val="000000"/>
                <w:lang w:val="es-ES"/>
              </w:rPr>
              <w:t xml:space="preserve"> </w:t>
            </w:r>
            <w:r w:rsidRPr="006A20DF">
              <w:rPr>
                <w:lang w:val="es-ES"/>
              </w:rPr>
              <w:t>estima que se necesitarían 521</w:t>
            </w:r>
            <w:r w:rsidR="00CB6535" w:rsidRPr="006A20DF">
              <w:rPr>
                <w:lang w:val="es-ES"/>
              </w:rPr>
              <w:t> </w:t>
            </w:r>
            <w:r w:rsidRPr="006A20DF">
              <w:rPr>
                <w:lang w:val="es-ES"/>
              </w:rPr>
              <w:t>806</w:t>
            </w:r>
            <w:r w:rsidR="00CB6535" w:rsidRPr="006A20DF">
              <w:rPr>
                <w:lang w:val="es-ES"/>
              </w:rPr>
              <w:t> </w:t>
            </w:r>
            <w:r w:rsidRPr="006A20DF">
              <w:rPr>
                <w:lang w:val="es-ES"/>
              </w:rPr>
              <w:t>CHF para el primer año y 1</w:t>
            </w:r>
            <w:r w:rsidR="00CB6535" w:rsidRPr="006A20DF">
              <w:rPr>
                <w:lang w:val="es-ES"/>
              </w:rPr>
              <w:t> </w:t>
            </w:r>
            <w:r w:rsidRPr="006A20DF">
              <w:rPr>
                <w:lang w:val="es-ES"/>
              </w:rPr>
              <w:t>368</w:t>
            </w:r>
            <w:r w:rsidR="00CB6535" w:rsidRPr="006A20DF">
              <w:rPr>
                <w:lang w:val="es-ES"/>
              </w:rPr>
              <w:t> </w:t>
            </w:r>
            <w:r w:rsidRPr="006A20DF">
              <w:rPr>
                <w:lang w:val="es-ES"/>
              </w:rPr>
              <w:t>814</w:t>
            </w:r>
            <w:r w:rsidR="00CB6535" w:rsidRPr="006A20DF">
              <w:rPr>
                <w:lang w:val="es-ES"/>
              </w:rPr>
              <w:t> </w:t>
            </w:r>
            <w:r w:rsidRPr="006A20DF">
              <w:rPr>
                <w:lang w:val="es-ES"/>
              </w:rPr>
              <w:t>CHF para los tres años siguientes (1</w:t>
            </w:r>
            <w:r w:rsidR="00CB6535" w:rsidRPr="006A20DF">
              <w:rPr>
                <w:lang w:val="es-ES"/>
              </w:rPr>
              <w:t> </w:t>
            </w:r>
            <w:r w:rsidRPr="006A20DF">
              <w:rPr>
                <w:lang w:val="es-ES"/>
              </w:rPr>
              <w:t>890</w:t>
            </w:r>
            <w:r w:rsidR="00CB6535" w:rsidRPr="006A20DF">
              <w:rPr>
                <w:lang w:val="es-ES"/>
              </w:rPr>
              <w:t> </w:t>
            </w:r>
            <w:r w:rsidRPr="006A20DF">
              <w:rPr>
                <w:lang w:val="es-ES"/>
              </w:rPr>
              <w:t>620</w:t>
            </w:r>
            <w:r w:rsidR="00CB6535" w:rsidRPr="006A20DF">
              <w:rPr>
                <w:lang w:val="es-ES"/>
              </w:rPr>
              <w:t> </w:t>
            </w:r>
            <w:r w:rsidRPr="006A20DF">
              <w:rPr>
                <w:lang w:val="es-ES"/>
              </w:rPr>
              <w:t>CHF para los cuatro años)</w:t>
            </w:r>
            <w:r w:rsidR="00C01429" w:rsidRPr="006A20DF">
              <w:rPr>
                <w:lang w:val="es-ES"/>
              </w:rPr>
              <w:t xml:space="preserve"> además de las categorías de costes no asociados al personal que normalmente están cubiertos por los países anfitriones</w:t>
            </w:r>
            <w:r w:rsidRPr="006A20DF">
              <w:rPr>
                <w:lang w:val="es-ES"/>
              </w:rPr>
              <w:t>.</w:t>
            </w:r>
          </w:p>
          <w:p w14:paraId="68F5D01D" w14:textId="77777777" w:rsidR="0020526E" w:rsidRPr="006A20DF" w:rsidRDefault="0020526E" w:rsidP="009C4DEA">
            <w:pPr>
              <w:rPr>
                <w:rFonts w:asciiTheme="minorHAnsi" w:hAnsiTheme="minorHAnsi" w:cstheme="minorHAnsi"/>
                <w:caps/>
                <w:szCs w:val="24"/>
                <w:lang w:val="es-ES"/>
              </w:rPr>
            </w:pPr>
            <w:r w:rsidRPr="006A20DF">
              <w:rPr>
                <w:rFonts w:asciiTheme="minorHAnsi" w:hAnsiTheme="minorHAnsi" w:cstheme="minorHAnsi"/>
                <w:color w:val="000000"/>
                <w:szCs w:val="24"/>
                <w:lang w:val="es-ES"/>
              </w:rPr>
              <w:t>____________</w:t>
            </w:r>
          </w:p>
          <w:p w14:paraId="393DCE10" w14:textId="77777777" w:rsidR="0020526E" w:rsidRPr="006A20DF" w:rsidRDefault="0020526E" w:rsidP="009C4DEA">
            <w:pPr>
              <w:pStyle w:val="Headingb"/>
              <w:rPr>
                <w:lang w:val="es-ES"/>
              </w:rPr>
            </w:pPr>
            <w:r w:rsidRPr="006A20DF">
              <w:rPr>
                <w:bCs/>
                <w:color w:val="000000"/>
                <w:lang w:val="es-ES"/>
              </w:rPr>
              <w:t>Referencias</w:t>
            </w:r>
          </w:p>
          <w:p w14:paraId="13171A60" w14:textId="35CF175F" w:rsidR="0020526E" w:rsidRPr="00EE6D1A" w:rsidRDefault="0020526E" w:rsidP="00EE6D1A">
            <w:pPr>
              <w:spacing w:after="120"/>
              <w:ind w:right="-57"/>
              <w:rPr>
                <w:i/>
                <w:iCs/>
                <w:spacing w:val="-3"/>
                <w:sz w:val="22"/>
                <w:szCs w:val="22"/>
                <w:lang w:val="es-ES"/>
              </w:rPr>
            </w:pPr>
            <w:r w:rsidRPr="00EE6D1A">
              <w:rPr>
                <w:i/>
                <w:iCs/>
                <w:color w:val="000000"/>
                <w:sz w:val="22"/>
                <w:szCs w:val="22"/>
                <w:lang w:val="es-ES"/>
              </w:rPr>
              <w:t xml:space="preserve">Resolución </w:t>
            </w:r>
            <w:hyperlink r:id="rId10" w:history="1">
              <w:r w:rsidRPr="00EE6D1A">
                <w:rPr>
                  <w:rStyle w:val="Hyperlink"/>
                  <w:i/>
                  <w:iCs/>
                  <w:sz w:val="22"/>
                  <w:szCs w:val="22"/>
                  <w:lang w:val="es-ES"/>
                </w:rPr>
                <w:t>25 (Rev. Bucarest, 2022)</w:t>
              </w:r>
            </w:hyperlink>
            <w:r w:rsidRPr="00EE6D1A">
              <w:rPr>
                <w:i/>
                <w:iCs/>
                <w:color w:val="000000"/>
                <w:sz w:val="22"/>
                <w:szCs w:val="22"/>
                <w:lang w:val="es-ES"/>
              </w:rPr>
              <w:t xml:space="preserve"> de la Conferencia de Plenipotenciarios</w:t>
            </w:r>
            <w:r w:rsidR="00EE6D1A" w:rsidRPr="00EE6D1A">
              <w:rPr>
                <w:i/>
                <w:iCs/>
                <w:color w:val="000000"/>
                <w:sz w:val="22"/>
                <w:szCs w:val="22"/>
                <w:lang w:val="es-ES"/>
              </w:rPr>
              <w:t>;</w:t>
            </w:r>
            <w:r w:rsidRPr="00EE6D1A">
              <w:rPr>
                <w:i/>
                <w:iCs/>
                <w:color w:val="000000"/>
                <w:sz w:val="22"/>
                <w:szCs w:val="22"/>
                <w:lang w:val="es-ES"/>
              </w:rPr>
              <w:t xml:space="preserve"> Documentos</w:t>
            </w:r>
            <w:r w:rsidR="00EE6D1A" w:rsidRPr="00EE6D1A">
              <w:rPr>
                <w:i/>
                <w:iCs/>
                <w:color w:val="000000"/>
                <w:sz w:val="22"/>
                <w:szCs w:val="22"/>
                <w:lang w:val="es-ES"/>
              </w:rPr>
              <w:t> </w:t>
            </w:r>
            <w:proofErr w:type="spellStart"/>
            <w:r w:rsidRPr="00EE6D1A">
              <w:rPr>
                <w:i/>
                <w:iCs/>
                <w:sz w:val="22"/>
                <w:szCs w:val="22"/>
              </w:rPr>
              <w:fldChar w:fldCharType="begin"/>
            </w:r>
            <w:r w:rsidRPr="00EE6D1A">
              <w:rPr>
                <w:i/>
                <w:iCs/>
                <w:sz w:val="22"/>
                <w:szCs w:val="22"/>
              </w:rPr>
              <w:instrText>HYPERLINK "https://www.itu.int/md/S20-CL-C-0074/es"</w:instrText>
            </w:r>
            <w:r w:rsidRPr="00EE6D1A">
              <w:rPr>
                <w:i/>
                <w:iCs/>
                <w:sz w:val="22"/>
                <w:szCs w:val="22"/>
              </w:rPr>
            </w:r>
            <w:r w:rsidRPr="00EE6D1A">
              <w:rPr>
                <w:i/>
                <w:iCs/>
                <w:sz w:val="22"/>
                <w:szCs w:val="22"/>
              </w:rPr>
              <w:fldChar w:fldCharType="separate"/>
            </w:r>
            <w:r w:rsidRPr="00EE6D1A">
              <w:rPr>
                <w:rStyle w:val="Hyperlink"/>
                <w:i/>
                <w:iCs/>
                <w:spacing w:val="-3"/>
                <w:sz w:val="22"/>
                <w:szCs w:val="22"/>
                <w:lang w:val="es-ES"/>
              </w:rPr>
              <w:t>C20</w:t>
            </w:r>
            <w:proofErr w:type="spellEnd"/>
            <w:r w:rsidRPr="00EE6D1A">
              <w:rPr>
                <w:rStyle w:val="Hyperlink"/>
                <w:i/>
                <w:iCs/>
                <w:spacing w:val="-3"/>
                <w:sz w:val="22"/>
                <w:szCs w:val="22"/>
                <w:lang w:val="es-ES"/>
              </w:rPr>
              <w:t>/74</w:t>
            </w:r>
            <w:r w:rsidRPr="00EE6D1A">
              <w:rPr>
                <w:i/>
                <w:iCs/>
                <w:sz w:val="22"/>
                <w:szCs w:val="22"/>
              </w:rPr>
              <w:fldChar w:fldCharType="end"/>
            </w:r>
            <w:r w:rsidRPr="00EE6D1A">
              <w:rPr>
                <w:i/>
                <w:iCs/>
                <w:spacing w:val="-3"/>
                <w:sz w:val="22"/>
                <w:szCs w:val="22"/>
                <w:lang w:val="es-ES"/>
              </w:rPr>
              <w:t xml:space="preserve">, </w:t>
            </w:r>
            <w:hyperlink r:id="rId11" w:history="1">
              <w:proofErr w:type="spellStart"/>
              <w:r w:rsidRPr="00EE6D1A">
                <w:rPr>
                  <w:rStyle w:val="Hyperlink"/>
                  <w:i/>
                  <w:iCs/>
                  <w:spacing w:val="-3"/>
                  <w:sz w:val="22"/>
                  <w:szCs w:val="22"/>
                  <w:lang w:val="es-ES"/>
                </w:rPr>
                <w:t>C24</w:t>
              </w:r>
              <w:proofErr w:type="spellEnd"/>
              <w:r w:rsidRPr="00EE6D1A">
                <w:rPr>
                  <w:rStyle w:val="Hyperlink"/>
                  <w:i/>
                  <w:iCs/>
                  <w:spacing w:val="-3"/>
                  <w:sz w:val="22"/>
                  <w:szCs w:val="22"/>
                  <w:lang w:val="es-ES"/>
                </w:rPr>
                <w:t>/66</w:t>
              </w:r>
            </w:hyperlink>
            <w:r w:rsidRPr="00EE6D1A">
              <w:rPr>
                <w:i/>
                <w:iCs/>
                <w:spacing w:val="-3"/>
                <w:sz w:val="22"/>
                <w:szCs w:val="22"/>
                <w:lang w:val="es-ES"/>
              </w:rPr>
              <w:t xml:space="preserve">, </w:t>
            </w:r>
            <w:hyperlink r:id="rId12" w:history="1">
              <w:proofErr w:type="spellStart"/>
              <w:r w:rsidRPr="00EE6D1A">
                <w:rPr>
                  <w:rStyle w:val="Hyperlink"/>
                  <w:i/>
                  <w:iCs/>
                  <w:spacing w:val="-3"/>
                  <w:sz w:val="22"/>
                  <w:szCs w:val="22"/>
                  <w:lang w:val="es-ES"/>
                </w:rPr>
                <w:t>C26</w:t>
              </w:r>
              <w:proofErr w:type="spellEnd"/>
              <w:r w:rsidRPr="00EE6D1A">
                <w:rPr>
                  <w:rStyle w:val="Hyperlink"/>
                  <w:i/>
                  <w:iCs/>
                  <w:spacing w:val="-3"/>
                  <w:sz w:val="22"/>
                  <w:szCs w:val="22"/>
                  <w:lang w:val="es-ES"/>
                </w:rPr>
                <w:t>/24</w:t>
              </w:r>
            </w:hyperlink>
            <w:r w:rsidRPr="00EE6D1A">
              <w:rPr>
                <w:i/>
                <w:iCs/>
                <w:spacing w:val="-3"/>
                <w:sz w:val="22"/>
                <w:szCs w:val="22"/>
                <w:lang w:val="es-ES"/>
              </w:rPr>
              <w:t xml:space="preserve">, </w:t>
            </w:r>
            <w:hyperlink r:id="rId13" w:history="1">
              <w:proofErr w:type="spellStart"/>
              <w:r w:rsidRPr="00EE6D1A">
                <w:rPr>
                  <w:rStyle w:val="Hyperlink"/>
                  <w:i/>
                  <w:iCs/>
                  <w:spacing w:val="-3"/>
                  <w:sz w:val="22"/>
                  <w:szCs w:val="22"/>
                  <w:lang w:val="es-ES"/>
                </w:rPr>
                <w:t>C26</w:t>
              </w:r>
              <w:proofErr w:type="spellEnd"/>
              <w:r w:rsidRPr="00EE6D1A">
                <w:rPr>
                  <w:rStyle w:val="Hyperlink"/>
                  <w:i/>
                  <w:iCs/>
                  <w:spacing w:val="-3"/>
                  <w:sz w:val="22"/>
                  <w:szCs w:val="22"/>
                  <w:lang w:val="es-ES"/>
                </w:rPr>
                <w:t>/85</w:t>
              </w:r>
            </w:hyperlink>
            <w:r w:rsidRPr="00EE6D1A">
              <w:rPr>
                <w:i/>
                <w:iCs/>
                <w:spacing w:val="-3"/>
                <w:sz w:val="22"/>
                <w:szCs w:val="22"/>
                <w:lang w:val="es-ES"/>
              </w:rPr>
              <w:t xml:space="preserve"> y </w:t>
            </w:r>
            <w:hyperlink r:id="rId14" w:history="1">
              <w:proofErr w:type="spellStart"/>
              <w:r w:rsidRPr="00EE6D1A">
                <w:rPr>
                  <w:rStyle w:val="Hyperlink"/>
                  <w:i/>
                  <w:iCs/>
                  <w:spacing w:val="-3"/>
                  <w:sz w:val="22"/>
                  <w:szCs w:val="22"/>
                  <w:lang w:val="es-ES"/>
                </w:rPr>
                <w:t>C</w:t>
              </w:r>
              <w:r w:rsidRPr="00EE6D1A">
                <w:rPr>
                  <w:rStyle w:val="Hyperlink"/>
                  <w:i/>
                  <w:iCs/>
                  <w:sz w:val="22"/>
                  <w:szCs w:val="22"/>
                  <w:lang w:val="es-ES"/>
                </w:rPr>
                <w:t>26</w:t>
              </w:r>
              <w:proofErr w:type="spellEnd"/>
              <w:r w:rsidRPr="00EE6D1A">
                <w:rPr>
                  <w:rStyle w:val="Hyperlink"/>
                  <w:i/>
                  <w:iCs/>
                  <w:sz w:val="22"/>
                  <w:szCs w:val="22"/>
                  <w:lang w:val="es-ES"/>
                </w:rPr>
                <w:t>/119</w:t>
              </w:r>
            </w:hyperlink>
            <w:r w:rsidRPr="00EE6D1A">
              <w:rPr>
                <w:i/>
                <w:iCs/>
                <w:sz w:val="22"/>
                <w:szCs w:val="22"/>
                <w:lang w:val="es-ES"/>
              </w:rPr>
              <w:t xml:space="preserve"> </w:t>
            </w:r>
            <w:r w:rsidRPr="00EE6D1A">
              <w:rPr>
                <w:i/>
                <w:iCs/>
                <w:color w:val="000000"/>
                <w:sz w:val="22"/>
                <w:szCs w:val="22"/>
                <w:lang w:val="es-ES"/>
              </w:rPr>
              <w:t xml:space="preserve">del Consejo; </w:t>
            </w:r>
            <w:hyperlink r:id="rId15" w:history="1">
              <w:r w:rsidRPr="00EE6D1A">
                <w:rPr>
                  <w:rStyle w:val="Hyperlink"/>
                  <w:i/>
                  <w:iCs/>
                  <w:sz w:val="22"/>
                  <w:szCs w:val="22"/>
                  <w:lang w:val="es-ES"/>
                </w:rPr>
                <w:t>Resoluciones 16, 17 y 94 (Bakú, 2025)</w:t>
              </w:r>
            </w:hyperlink>
            <w:r w:rsidRPr="00EE6D1A">
              <w:rPr>
                <w:i/>
                <w:iCs/>
                <w:color w:val="000000"/>
                <w:sz w:val="22"/>
                <w:szCs w:val="22"/>
                <w:lang w:val="es-ES"/>
              </w:rPr>
              <w:t xml:space="preserve"> </w:t>
            </w:r>
            <w:r w:rsidR="00EE6D1A" w:rsidRPr="00EE6D1A">
              <w:rPr>
                <w:i/>
                <w:iCs/>
                <w:color w:val="000000"/>
                <w:sz w:val="22"/>
                <w:szCs w:val="22"/>
                <w:lang w:val="es-ES"/>
              </w:rPr>
              <w:t>de la Conferencia Mundial de Desarrollo de las Telecomunicaciones</w:t>
            </w:r>
            <w:r w:rsidR="00EE6D1A">
              <w:rPr>
                <w:i/>
                <w:iCs/>
                <w:color w:val="000000"/>
                <w:sz w:val="22"/>
                <w:szCs w:val="22"/>
                <w:lang w:val="es-ES"/>
              </w:rPr>
              <w:t>;</w:t>
            </w:r>
            <w:r w:rsidR="00EE6D1A" w:rsidRPr="00EE6D1A">
              <w:rPr>
                <w:i/>
                <w:iCs/>
                <w:color w:val="000000"/>
                <w:sz w:val="22"/>
                <w:szCs w:val="22"/>
                <w:lang w:val="es-ES"/>
              </w:rPr>
              <w:t xml:space="preserve"> </w:t>
            </w:r>
            <w:r w:rsidR="00EE6D1A" w:rsidRPr="00EE6D1A">
              <w:rPr>
                <w:i/>
                <w:iCs/>
                <w:color w:val="000000"/>
                <w:sz w:val="22"/>
                <w:szCs w:val="22"/>
                <w:lang w:val="es-ES"/>
              </w:rPr>
              <w:t xml:space="preserve">Documento </w:t>
            </w:r>
            <w:hyperlink r:id="rId16" w:history="1">
              <w:r w:rsidRPr="00EE6D1A">
                <w:rPr>
                  <w:rStyle w:val="Hyperlink"/>
                  <w:i/>
                  <w:iCs/>
                  <w:sz w:val="22"/>
                  <w:szCs w:val="22"/>
                  <w:lang w:val="es-ES"/>
                </w:rPr>
                <w:t>26/2(</w:t>
              </w:r>
              <w:proofErr w:type="spellStart"/>
              <w:r w:rsidRPr="00EE6D1A">
                <w:rPr>
                  <w:rStyle w:val="Hyperlink"/>
                  <w:i/>
                  <w:iCs/>
                  <w:sz w:val="22"/>
                  <w:szCs w:val="22"/>
                  <w:lang w:val="es-ES"/>
                </w:rPr>
                <w:t>Add.1</w:t>
              </w:r>
              <w:proofErr w:type="spellEnd"/>
              <w:r w:rsidRPr="00EE6D1A">
                <w:rPr>
                  <w:rStyle w:val="Hyperlink"/>
                  <w:i/>
                  <w:iCs/>
                  <w:sz w:val="22"/>
                  <w:szCs w:val="22"/>
                  <w:lang w:val="es-ES"/>
                </w:rPr>
                <w:t>)</w:t>
              </w:r>
            </w:hyperlink>
            <w:r w:rsidR="00EE6D1A" w:rsidRPr="00EE6D1A">
              <w:rPr>
                <w:i/>
                <w:iCs/>
                <w:sz w:val="22"/>
                <w:szCs w:val="22"/>
              </w:rPr>
              <w:t xml:space="preserve"> </w:t>
            </w:r>
            <w:r w:rsidR="00EE6D1A" w:rsidRPr="00EE6D1A">
              <w:rPr>
                <w:i/>
                <w:iCs/>
                <w:sz w:val="22"/>
                <w:szCs w:val="22"/>
              </w:rPr>
              <w:t xml:space="preserve">del </w:t>
            </w:r>
            <w:proofErr w:type="spellStart"/>
            <w:r w:rsidR="00EE6D1A" w:rsidRPr="00EE6D1A">
              <w:rPr>
                <w:i/>
                <w:iCs/>
                <w:sz w:val="22"/>
                <w:szCs w:val="22"/>
              </w:rPr>
              <w:t>GADT</w:t>
            </w:r>
            <w:proofErr w:type="spellEnd"/>
            <w:r w:rsidR="00EE6D1A" w:rsidRPr="00EE6D1A">
              <w:rPr>
                <w:i/>
                <w:iCs/>
                <w:sz w:val="22"/>
                <w:szCs w:val="22"/>
              </w:rPr>
              <w:t xml:space="preserve"> </w:t>
            </w:r>
            <w:hyperlink r:id="rId17"/>
            <w:hyperlink r:id="rId18" w:history="1"/>
            <w:hyperlink r:id="rId19" w:history="1"/>
            <w:hyperlink r:id="rId20" w:history="1"/>
            <w:hyperlink r:id="rId21" w:history="1"/>
            <w:hyperlink r:id="rId22" w:history="1"/>
            <w:hyperlink r:id="rId23"/>
            <w:hyperlink r:id="rId24"/>
          </w:p>
        </w:tc>
      </w:tr>
    </w:tbl>
    <w:p w14:paraId="34A83313" w14:textId="77777777" w:rsidR="00504FD4" w:rsidRPr="006A20DF" w:rsidRDefault="00504FD4" w:rsidP="00894C54">
      <w:pPr>
        <w:rPr>
          <w:lang w:val="es-ES"/>
        </w:rPr>
      </w:pPr>
    </w:p>
    <w:p w14:paraId="7AE3C069" w14:textId="77777777" w:rsidR="00894C54" w:rsidRDefault="00255FA1" w:rsidP="00894C54">
      <w:pPr>
        <w:rPr>
          <w:rStyle w:val="PageNumber"/>
          <w:lang w:val="es-ES"/>
        </w:rPr>
      </w:pPr>
      <w:r w:rsidRPr="006A20DF">
        <w:rPr>
          <w:rStyle w:val="PageNumber"/>
          <w:lang w:val="es-ES"/>
        </w:rPr>
        <w:br w:type="page"/>
      </w:r>
      <w:bookmarkStart w:id="4" w:name="_Toc236855353"/>
    </w:p>
    <w:p w14:paraId="0AC55343" w14:textId="6D769FF7" w:rsidR="0020526E" w:rsidRPr="006A20DF" w:rsidRDefault="0020526E" w:rsidP="006A20DF">
      <w:pPr>
        <w:pStyle w:val="Headingb"/>
        <w:rPr>
          <w:lang w:val="es-ES"/>
        </w:rPr>
      </w:pPr>
      <w:r w:rsidRPr="006A20DF">
        <w:lastRenderedPageBreak/>
        <w:t>Introducción</w:t>
      </w:r>
      <w:bookmarkEnd w:id="4"/>
    </w:p>
    <w:p w14:paraId="4F17EEA1" w14:textId="373D58BE" w:rsidR="0020526E" w:rsidRPr="006A20DF" w:rsidRDefault="0020526E" w:rsidP="005640EC">
      <w:pPr>
        <w:jc w:val="both"/>
        <w:rPr>
          <w:lang w:val="es-ES"/>
        </w:rPr>
      </w:pPr>
      <w:r w:rsidRPr="006A20DF">
        <w:rPr>
          <w:lang w:val="es-ES"/>
        </w:rPr>
        <w:t xml:space="preserve">En la sesión de 2026 del Consejo de la Unión Internacional de Telecomunicaciones (UIT) se examinó la contribución multipartita de los Estados Miembros del Pacífico (Documento </w:t>
      </w:r>
      <w:hyperlink r:id="rId25">
        <w:r w:rsidRPr="006A20DF">
          <w:rPr>
            <w:rStyle w:val="Hyperlink"/>
            <w:rFonts w:cs="Calibri"/>
            <w:lang w:val="es-ES"/>
          </w:rPr>
          <w:t>C26/85</w:t>
        </w:r>
      </w:hyperlink>
      <w:r w:rsidRPr="006A20DF">
        <w:rPr>
          <w:lang w:val="es-ES"/>
        </w:rPr>
        <w:t>), en la que se invitaba al Consejo a examinar la posibilidad de crear una Oficina Zonal de la UIT en el Pacífico.</w:t>
      </w:r>
      <w:hyperlink r:id="rId26"/>
    </w:p>
    <w:p w14:paraId="642A86A7" w14:textId="6904A63E" w:rsidR="0020526E" w:rsidRPr="006A20DF" w:rsidRDefault="0020526E" w:rsidP="005640EC">
      <w:pPr>
        <w:jc w:val="both"/>
        <w:rPr>
          <w:lang w:val="es-ES"/>
        </w:rPr>
      </w:pPr>
      <w:r w:rsidRPr="006A20DF">
        <w:rPr>
          <w:lang w:val="es-ES"/>
        </w:rPr>
        <w:t xml:space="preserve">El Consejo (Documento </w:t>
      </w:r>
      <w:hyperlink r:id="rId27" w:history="1">
        <w:r w:rsidRPr="006A20DF">
          <w:rPr>
            <w:rStyle w:val="Hyperlink"/>
            <w:rFonts w:cs="Calibri"/>
            <w:lang w:val="es-ES"/>
          </w:rPr>
          <w:t>C26/119</w:t>
        </w:r>
      </w:hyperlink>
      <w:r w:rsidRPr="006A20DF">
        <w:rPr>
          <w:lang w:val="es-ES"/>
        </w:rPr>
        <w:t>) aceptó en principio la creación de una presencia de la UIT en el Pacífico y pidió a la Secretaría que preparase opciones concretas y un Plan para la creación de una Oficina Zonal de la UIT en el Pacífico. El Consejo pidió que el Plan de Creación incluyese un análisis financiero detallado de los recursos, la dotación de personal, las disposiciones relativas a la acogida y la financiación y que se presentase la propuesta a la Conferencia de Plenipotenciarios de 2026 (PP</w:t>
      </w:r>
      <w:r w:rsidR="005640EC">
        <w:rPr>
          <w:lang w:val="es-ES"/>
        </w:rPr>
        <w:noBreakHyphen/>
      </w:r>
      <w:r w:rsidRPr="006A20DF">
        <w:rPr>
          <w:lang w:val="es-ES"/>
        </w:rPr>
        <w:t>26) para su estudio y aprobación.</w:t>
      </w:r>
      <w:hyperlink r:id="rId28" w:history="1"/>
    </w:p>
    <w:p w14:paraId="4E7CB1A6" w14:textId="77777777" w:rsidR="0020526E" w:rsidRPr="006A20DF" w:rsidRDefault="0020526E" w:rsidP="006A20DF">
      <w:pPr>
        <w:pStyle w:val="Headingb"/>
        <w:rPr>
          <w:lang w:val="es-ES"/>
        </w:rPr>
      </w:pPr>
      <w:bookmarkStart w:id="5" w:name="_Toc236855354"/>
      <w:r w:rsidRPr="006A20DF">
        <w:t>Contexto</w:t>
      </w:r>
      <w:bookmarkEnd w:id="5"/>
    </w:p>
    <w:p w14:paraId="20B8063F" w14:textId="45708B7F" w:rsidR="0020526E" w:rsidRPr="005640EC" w:rsidRDefault="0020526E" w:rsidP="005640EC">
      <w:pPr>
        <w:jc w:val="both"/>
        <w:rPr>
          <w:spacing w:val="-2"/>
          <w:lang w:val="es-ES"/>
        </w:rPr>
      </w:pPr>
      <w:r w:rsidRPr="005640EC">
        <w:rPr>
          <w:spacing w:val="-2"/>
          <w:lang w:val="es-ES"/>
        </w:rPr>
        <w:t>Con arreglo a la</w:t>
      </w:r>
      <w:r w:rsidR="005640EC" w:rsidRPr="005640EC">
        <w:rPr>
          <w:spacing w:val="-2"/>
          <w:lang w:val="es-ES"/>
        </w:rPr>
        <w:t xml:space="preserve"> </w:t>
      </w:r>
      <w:r w:rsidR="005640EC" w:rsidRPr="005640EC">
        <w:rPr>
          <w:spacing w:val="-2"/>
          <w:lang w:val="es-ES"/>
        </w:rPr>
        <w:t xml:space="preserve">Resolución </w:t>
      </w:r>
      <w:hyperlink r:id="rId29" w:history="1">
        <w:r w:rsidRPr="005640EC">
          <w:rPr>
            <w:rStyle w:val="Hyperlink"/>
            <w:spacing w:val="-2"/>
            <w:lang w:val="es-ES"/>
          </w:rPr>
          <w:t>25 (Rev. Bucarest, 2022)</w:t>
        </w:r>
      </w:hyperlink>
      <w:r w:rsidRPr="005640EC">
        <w:rPr>
          <w:spacing w:val="-2"/>
          <w:lang w:val="es-ES"/>
        </w:rPr>
        <w:t xml:space="preserve"> de la Conferencia de Plenipotenciarios, el informe de PwC sobre la presencia regional de la UIT (Documento </w:t>
      </w:r>
      <w:hyperlink r:id="rId30" w:history="1">
        <w:r w:rsidRPr="005640EC">
          <w:rPr>
            <w:rStyle w:val="Hyperlink"/>
            <w:spacing w:val="-2"/>
            <w:lang w:val="es-ES"/>
          </w:rPr>
          <w:t>C20/74</w:t>
        </w:r>
      </w:hyperlink>
      <w:r w:rsidRPr="005640EC">
        <w:rPr>
          <w:spacing w:val="-2"/>
          <w:lang w:val="es-ES"/>
        </w:rPr>
        <w:t xml:space="preserve">), las Resoluciones </w:t>
      </w:r>
      <w:hyperlink r:id="rId31" w:history="1">
        <w:r w:rsidRPr="005640EC">
          <w:rPr>
            <w:rStyle w:val="Hyperlink"/>
            <w:spacing w:val="-2"/>
            <w:lang w:val="es-ES"/>
          </w:rPr>
          <w:t>16 (Rev. Bakú, 2025), 17 (Rev. Bakú, 2025) y 94 (Bakú, 2025)</w:t>
        </w:r>
      </w:hyperlink>
      <w:r w:rsidRPr="005640EC">
        <w:rPr>
          <w:spacing w:val="-2"/>
          <w:lang w:val="es-ES"/>
        </w:rPr>
        <w:t xml:space="preserve"> de la CMDT, la Iniciativa Regional 1 de Asia y el Pacífico, los debates en curso sobre la presencia regional de la UIT (Documento </w:t>
      </w:r>
      <w:hyperlink r:id="rId32" w:history="1">
        <w:r w:rsidRPr="005640EC">
          <w:rPr>
            <w:rStyle w:val="Hyperlink"/>
            <w:spacing w:val="-2"/>
            <w:lang w:val="es-ES"/>
          </w:rPr>
          <w:t>C26/24</w:t>
        </w:r>
      </w:hyperlink>
      <w:r w:rsidRPr="005640EC">
        <w:rPr>
          <w:spacing w:val="-2"/>
          <w:lang w:val="es-ES"/>
        </w:rPr>
        <w:t xml:space="preserve">) y los anteriores debates del Consejo sobre los criterios para crear nuevas oficinas regionales y zonales de la UIT (Documento </w:t>
      </w:r>
      <w:hyperlink r:id="rId33" w:history="1">
        <w:r w:rsidRPr="005640EC">
          <w:rPr>
            <w:rStyle w:val="Hyperlink"/>
            <w:spacing w:val="-2"/>
            <w:lang w:val="es-ES"/>
          </w:rPr>
          <w:t>C24/66</w:t>
        </w:r>
      </w:hyperlink>
      <w:r w:rsidRPr="005640EC">
        <w:rPr>
          <w:spacing w:val="-2"/>
          <w:lang w:val="es-ES"/>
        </w:rPr>
        <w:t>), la Oficina Regional para Asia y el Pacífico de la UIT llevó a cabo una evaluación de las necesidades y un análisis situacional del Pacífico con el apoyo del Gobierno de Australia.</w:t>
      </w:r>
      <w:hyperlink r:id="rId34" w:history="1"/>
      <w:hyperlink r:id="rId35" w:history="1"/>
      <w:hyperlink r:id="rId36" w:history="1"/>
      <w:hyperlink r:id="rId37" w:history="1"/>
      <w:hyperlink r:id="rId38" w:history="1"/>
    </w:p>
    <w:p w14:paraId="4ED469AA" w14:textId="283ABCCC" w:rsidR="0020526E" w:rsidRPr="006A20DF" w:rsidRDefault="0020526E" w:rsidP="005640EC">
      <w:pPr>
        <w:jc w:val="both"/>
        <w:rPr>
          <w:lang w:val="es-ES"/>
        </w:rPr>
      </w:pPr>
      <w:r w:rsidRPr="006A20DF">
        <w:rPr>
          <w:lang w:val="es-ES"/>
        </w:rPr>
        <w:t>El resumen de la evaluación de las necesidades y el análisis situacional se presentó a la 33.ª sesión del Grupo Asesor de Desarrollo de las Telecomunicaciones (GADT) en abril de 2026 (GADT, Anex</w:t>
      </w:r>
      <w:r w:rsidR="0053612B">
        <w:rPr>
          <w:lang w:val="es-ES"/>
        </w:rPr>
        <w:t>o </w:t>
      </w:r>
      <w:r w:rsidRPr="006A20DF">
        <w:rPr>
          <w:lang w:val="es-ES"/>
        </w:rPr>
        <w:t xml:space="preserve">1 al Documento </w:t>
      </w:r>
      <w:hyperlink r:id="rId39" w:history="1">
        <w:r w:rsidRPr="006A20DF">
          <w:rPr>
            <w:rStyle w:val="Hyperlink"/>
            <w:lang w:val="es-ES"/>
          </w:rPr>
          <w:t>TDAG</w:t>
        </w:r>
        <w:r w:rsidR="0053612B">
          <w:rPr>
            <w:rStyle w:val="Hyperlink"/>
            <w:lang w:val="es-ES"/>
          </w:rPr>
          <w:t>-</w:t>
        </w:r>
        <w:r w:rsidRPr="006A20DF">
          <w:rPr>
            <w:rStyle w:val="Hyperlink"/>
            <w:lang w:val="es-ES"/>
          </w:rPr>
          <w:t>26/2(Add.1)</w:t>
        </w:r>
      </w:hyperlink>
      <w:r w:rsidRPr="006A20DF">
        <w:rPr>
          <w:lang w:val="es-ES"/>
        </w:rPr>
        <w:t>).</w:t>
      </w:r>
      <w:hyperlink r:id="rId40" w:history="1"/>
    </w:p>
    <w:p w14:paraId="45E6833D" w14:textId="77777777" w:rsidR="0020526E" w:rsidRPr="006A20DF" w:rsidRDefault="0020526E" w:rsidP="006A20DF">
      <w:pPr>
        <w:pStyle w:val="Headingi"/>
        <w:rPr>
          <w:lang w:val="es-ES"/>
        </w:rPr>
      </w:pPr>
      <w:r w:rsidRPr="006A20DF">
        <w:rPr>
          <w:lang w:val="es-ES"/>
        </w:rPr>
        <w:t>Evaluación de las necesidades y análisis situacional de 2024-2025</w:t>
      </w:r>
    </w:p>
    <w:p w14:paraId="374584E4" w14:textId="77777777" w:rsidR="0020526E" w:rsidRPr="006A20DF" w:rsidRDefault="0020526E" w:rsidP="005640EC">
      <w:pPr>
        <w:jc w:val="both"/>
        <w:rPr>
          <w:lang w:val="es-ES"/>
        </w:rPr>
      </w:pPr>
      <w:r w:rsidRPr="006A20DF">
        <w:rPr>
          <w:lang w:val="es-ES"/>
        </w:rPr>
        <w:t>La UIT ha sido un socio de larga data de los pequeños Estados insulares en desarrollo del Pacífico (PEIDP), y ha apoyado sus esfuerzos destinados a impulsar la transformación digital inclusiva y sostenible. Por conducto de su Oficina Regional para Asia y el Pacífico, la UIT proporciona asistencia técnica, apoyo político y reglamentario, capacitación, conocimientos especializados en materia de ciberseguridad, asistencia sobre la gestión del espectro y apoyo a las iniciativas relativas a las telecomunicaciones de emergencia y la inclusión digital. La UIT también ha llevado a cabo proyectos prácticos de conectividad, como la Iniciativa Aldeas Inteligentes e Islas Inteligentes, destinada a hacer llegar los beneficios de las tecnologías digitales a las comunidades remotas e insuficientemente atendidas.</w:t>
      </w:r>
    </w:p>
    <w:p w14:paraId="0107EE7B" w14:textId="46D89BE1" w:rsidR="0020526E" w:rsidRPr="006A20DF" w:rsidRDefault="0020526E" w:rsidP="005640EC">
      <w:pPr>
        <w:jc w:val="both"/>
        <w:rPr>
          <w:lang w:val="es-ES"/>
        </w:rPr>
      </w:pPr>
      <w:r w:rsidRPr="006A20DF">
        <w:rPr>
          <w:lang w:val="es-ES"/>
        </w:rPr>
        <w:t xml:space="preserve">En reconocimiento de las circunstancias únicas de los países del Pacífico, la Oficina Regional para Asia y el Pacífico de la UIT inició una evaluación de las necesidades y un análisis situacional del Pacífico en 2024 como parte del proyecto titulado "Estudio de viabilidad: Atender las necesidades especiales en materia de telecomunicaciones y TIC de los pequeños Estados insulares en desarrollo del Pacífico (PEIDP)". El proyecto fue financiado por el Departamento de Infraestructura, Transporte, Desarrollo Regional, Comunicaciones, Deportes y Artes de Australia (DITRDCSA) y se llevó a cabo sobre la base de los criterios para la creación de nuevas oficinas regionales y zonales de la UIT (Documento </w:t>
      </w:r>
      <w:hyperlink r:id="rId41">
        <w:r w:rsidRPr="006A20DF">
          <w:rPr>
            <w:rStyle w:val="Hyperlink"/>
            <w:lang w:val="es-ES"/>
          </w:rPr>
          <w:t>C24/66</w:t>
        </w:r>
      </w:hyperlink>
      <w:r w:rsidRPr="006A20DF">
        <w:rPr>
          <w:lang w:val="es-ES"/>
        </w:rPr>
        <w:t xml:space="preserve">) aprobados por el Consejo de la UIT </w:t>
      </w:r>
      <w:r w:rsidR="00C01429" w:rsidRPr="006A20DF">
        <w:rPr>
          <w:lang w:val="es-ES"/>
        </w:rPr>
        <w:t xml:space="preserve">en su sesión de </w:t>
      </w:r>
      <w:r w:rsidRPr="006A20DF">
        <w:rPr>
          <w:lang w:val="es-ES"/>
        </w:rPr>
        <w:t>2024.</w:t>
      </w:r>
    </w:p>
    <w:p w14:paraId="28549B62" w14:textId="77777777" w:rsidR="0020526E" w:rsidRPr="006A20DF" w:rsidRDefault="0020526E" w:rsidP="005640EC">
      <w:pPr>
        <w:jc w:val="both"/>
        <w:rPr>
          <w:lang w:val="es-ES"/>
        </w:rPr>
      </w:pPr>
      <w:r w:rsidRPr="006A20DF">
        <w:rPr>
          <w:lang w:val="es-ES"/>
        </w:rPr>
        <w:t xml:space="preserve">En el estudio se identificaron las necesidades específicas y urgentes de los PEIDP en materia de telecomunicaciones y TIC y se propuso un conjunto de prioridades programáticas, teniendo en cuenta factores como la dispersión geográfica, el pequeño tamaño del mercado y las importantes diferencias horarias con Ginebra y Bangkok. Los hallazgos se examinaron con representantes de los </w:t>
      </w:r>
      <w:r w:rsidRPr="006A20DF">
        <w:rPr>
          <w:lang w:val="es-ES"/>
        </w:rPr>
        <w:lastRenderedPageBreak/>
        <w:t>PEIDP durante las consultas celebradas en Suva (Fiji) en febrero de 2025. Tras estas consultas, se llevaron a cabo varias rondas de revisiones antes de la ultimación del informe.</w:t>
      </w:r>
    </w:p>
    <w:p w14:paraId="50D9C901" w14:textId="7EE0EAEA" w:rsidR="0020526E" w:rsidRPr="00DB2B97" w:rsidRDefault="0020526E" w:rsidP="005640EC">
      <w:pPr>
        <w:jc w:val="both"/>
        <w:rPr>
          <w:spacing w:val="-2"/>
          <w:lang w:val="es-ES"/>
        </w:rPr>
      </w:pPr>
      <w:r w:rsidRPr="00DB2B97">
        <w:rPr>
          <w:spacing w:val="-2"/>
          <w:lang w:val="es-ES"/>
        </w:rPr>
        <w:t xml:space="preserve">En la evaluación de las necesidades y el análisis </w:t>
      </w:r>
      <w:r w:rsidR="00C01429" w:rsidRPr="00DB2B97">
        <w:rPr>
          <w:spacing w:val="-2"/>
          <w:lang w:val="es-ES"/>
        </w:rPr>
        <w:t xml:space="preserve">situacional </w:t>
      </w:r>
      <w:r w:rsidRPr="00DB2B97">
        <w:rPr>
          <w:spacing w:val="-2"/>
          <w:lang w:val="es-ES"/>
        </w:rPr>
        <w:t>se concluyó que los PEIDP siguen enfrentándose a obstáculos estructurales y contextuales para la transformación digital. Las importantes deficiencias de las infraestructuras, en particular la baja y desigual penetración de la banda ancha, la dependencia de las conexiones por cables submarinos únicos y la limitada conectividad rural limitan la expansión de las redes digitales en la región. La asequibilidad sigue siendo un gran desafío, dado que los costes de Internet en varios países superan los objetivos de asequibilidad reconocidos internacionalmente y consumen una parte desproporcionada de los ingresos de los hogares. Además, los entornos reglamentarios fragmentados y la limitada armonización regional siguen impidiendo las inversiones del sector privado y la cooperación regional.</w:t>
      </w:r>
    </w:p>
    <w:p w14:paraId="4E011EDD" w14:textId="77777777" w:rsidR="0020526E" w:rsidRPr="00DB2B97" w:rsidRDefault="0020526E" w:rsidP="005640EC">
      <w:pPr>
        <w:jc w:val="both"/>
        <w:rPr>
          <w:spacing w:val="-2"/>
          <w:lang w:val="es-ES"/>
        </w:rPr>
      </w:pPr>
      <w:r w:rsidRPr="00DB2B97">
        <w:rPr>
          <w:spacing w:val="-2"/>
          <w:lang w:val="es-ES"/>
        </w:rPr>
        <w:t xml:space="preserve">A pesar de estos desafíos, la transformación digital está ampliamente reconocida en todo el Pacífico como un factor habilitador fundamental del desarrollo sostenible y el crecimiento inclusivo. En este contexto, los países del Pacífico han expresado sistemáticamente la necesidad de fortalecer la presencia regional de la UIT, en particular durante las reuniones ministeriales sobre las TIC del Pacífico celebradas en 2023 y 2026 en Papua Nueva Guinea y por conducto de resultados de política regional, en particular la </w:t>
      </w:r>
      <w:hyperlink r:id="rId42" w:history="1">
        <w:r w:rsidRPr="00DB2B97">
          <w:rPr>
            <w:rStyle w:val="Hyperlink"/>
            <w:spacing w:val="-2"/>
            <w:lang w:val="es-ES"/>
          </w:rPr>
          <w:t>Declaración de Lagatoi, aprobada por los Ministros de TIC del Pacífico en 2023.</w:t>
        </w:r>
      </w:hyperlink>
      <w:hyperlink r:id="rId43" w:history="1"/>
    </w:p>
    <w:p w14:paraId="1C09F13C" w14:textId="7367A1FA" w:rsidR="0020526E" w:rsidRPr="006A20DF" w:rsidRDefault="0020526E" w:rsidP="005640EC">
      <w:pPr>
        <w:jc w:val="both"/>
        <w:rPr>
          <w:lang w:val="es-ES"/>
        </w:rPr>
      </w:pPr>
      <w:r w:rsidRPr="006A20DF">
        <w:rPr>
          <w:lang w:val="es-ES"/>
        </w:rPr>
        <w:t>La creación de una Oficina Zonal de la UIT en el Pacífico proporcionaría un apoyo más reactivo, sostenido y adaptado al contexto de los PEIDP, en consonancia con la</w:t>
      </w:r>
      <w:r w:rsidR="005640EC" w:rsidRPr="005640EC">
        <w:rPr>
          <w:lang w:val="es-ES"/>
        </w:rPr>
        <w:t xml:space="preserve"> </w:t>
      </w:r>
      <w:r w:rsidR="005640EC" w:rsidRPr="005640EC">
        <w:rPr>
          <w:lang w:val="es-ES"/>
        </w:rPr>
        <w:t xml:space="preserve">Resolución </w:t>
      </w:r>
      <w:hyperlink r:id="rId44" w:history="1">
        <w:r w:rsidRPr="006A20DF">
          <w:rPr>
            <w:rStyle w:val="Hyperlink"/>
            <w:lang w:val="es-ES"/>
          </w:rPr>
          <w:t>94 (Bakú, 2025)</w:t>
        </w:r>
      </w:hyperlink>
      <w:r w:rsidRPr="006A20DF">
        <w:rPr>
          <w:lang w:val="es-ES"/>
        </w:rPr>
        <w:t xml:space="preserve"> de la CMDT y el llamamiento realizado en la Declaración de Lagatoi a reforzar la participación y aumentar la presencia institucional en la región del Pacífico.</w:t>
      </w:r>
      <w:hyperlink r:id="rId45" w:history="1"/>
    </w:p>
    <w:p w14:paraId="44784252" w14:textId="77777777" w:rsidR="0020526E" w:rsidRPr="006A20DF" w:rsidRDefault="0020526E" w:rsidP="006A20DF">
      <w:pPr>
        <w:pStyle w:val="Headingi"/>
        <w:rPr>
          <w:lang w:val="es-ES"/>
        </w:rPr>
      </w:pPr>
      <w:bookmarkStart w:id="6" w:name="_Toc236855356"/>
      <w:r w:rsidRPr="006A20DF">
        <w:rPr>
          <w:lang w:val="es-ES"/>
        </w:rPr>
        <w:t>Estudio de viabilidad de 2026</w:t>
      </w:r>
      <w:bookmarkEnd w:id="6"/>
    </w:p>
    <w:p w14:paraId="54950E1E" w14:textId="77777777" w:rsidR="0020526E" w:rsidRPr="006A20DF" w:rsidRDefault="0020526E" w:rsidP="005640EC">
      <w:pPr>
        <w:jc w:val="both"/>
        <w:rPr>
          <w:lang w:val="es-ES"/>
        </w:rPr>
      </w:pPr>
      <w:r w:rsidRPr="006A20DF">
        <w:rPr>
          <w:lang w:val="es-ES"/>
        </w:rPr>
        <w:t>Sobre la base de las conclusiones de la evaluación de las necesidades y el análisis situacional, la UIT llevó a cabo un estudio de viabilidad sobre la mejora de su presencia regional en el Pacífico.</w:t>
      </w:r>
    </w:p>
    <w:p w14:paraId="754B75ED" w14:textId="166A347A" w:rsidR="0020526E" w:rsidRPr="006A20DF" w:rsidRDefault="0020526E" w:rsidP="005640EC">
      <w:pPr>
        <w:jc w:val="both"/>
        <w:rPr>
          <w:lang w:val="es-ES"/>
        </w:rPr>
      </w:pPr>
      <w:r w:rsidRPr="006A20DF">
        <w:rPr>
          <w:lang w:val="es-ES"/>
        </w:rPr>
        <w:t>El estudio de viabilidad</w:t>
      </w:r>
      <w:r w:rsidR="00C01429" w:rsidRPr="006A20DF">
        <w:rPr>
          <w:rStyle w:val="FootnoteReference"/>
          <w:lang w:val="es-ES"/>
        </w:rPr>
        <w:footnoteReference w:id="1"/>
      </w:r>
      <w:r w:rsidRPr="006A20DF">
        <w:rPr>
          <w:lang w:val="es-ES"/>
        </w:rPr>
        <w:t xml:space="preserve"> se preparó mediante un proceso consultivo y progresivo. Tras terminar la evaluación de las necesidades y el análisis situacional, la UIT colaboró con Estados Miembros del Pacífico sobre posibles enfoques para fortalecer su presencia en la región. Se realizaron consultas durante el Taller de Transformación Digital para el Pacífico celebrado en Suva (Fiji) en febrero de 2025, así como por conducto de reuniones presenciales y en línea celebradas ulteriormente los días 17, 19, 23 y 24 de febrero, 9 de junio y 6 de agosto de 2026 paralelamente al 19</w:t>
      </w:r>
      <w:r w:rsidR="0053612B">
        <w:rPr>
          <w:lang w:val="es-ES"/>
        </w:rPr>
        <w:t>.</w:t>
      </w:r>
      <w:r w:rsidRPr="006A20DF">
        <w:rPr>
          <w:lang w:val="es-ES"/>
        </w:rPr>
        <w:t>º Foro sobre Política y Reglamentación de la APT para el Pacífico (PRFP).</w:t>
      </w:r>
    </w:p>
    <w:p w14:paraId="6AF80DEA" w14:textId="15A10D98" w:rsidR="0020526E" w:rsidRPr="006A20DF" w:rsidRDefault="0020526E" w:rsidP="00D70032">
      <w:pPr>
        <w:jc w:val="both"/>
        <w:rPr>
          <w:lang w:val="es-ES"/>
        </w:rPr>
      </w:pPr>
      <w:r w:rsidRPr="006A20DF">
        <w:rPr>
          <w:lang w:val="es-ES"/>
        </w:rPr>
        <w:t xml:space="preserve">Durante estas consultas, los </w:t>
      </w:r>
      <w:r w:rsidR="00C01429" w:rsidRPr="006A20DF">
        <w:rPr>
          <w:lang w:val="es-ES"/>
        </w:rPr>
        <w:t>m</w:t>
      </w:r>
      <w:r w:rsidRPr="006A20DF">
        <w:rPr>
          <w:lang w:val="es-ES"/>
        </w:rPr>
        <w:t>iembros examinaron una serie de opciones para fortalecer las disposiciones en materia de apoyo de la UIT y la presencia regional en el Pacífico. Se identificaron cinco opciones amplias:</w:t>
      </w:r>
    </w:p>
    <w:p w14:paraId="493ABDEC" w14:textId="77777777" w:rsidR="0020526E" w:rsidRPr="006A20DF" w:rsidRDefault="0020526E" w:rsidP="00D70032">
      <w:pPr>
        <w:pStyle w:val="enumlev1"/>
        <w:jc w:val="both"/>
      </w:pPr>
      <w:r w:rsidRPr="006A20DF">
        <w:t>1</w:t>
      </w:r>
      <w:r w:rsidRPr="006A20DF">
        <w:tab/>
        <w:t>la creación de una Oficina Zonal acogida por un único país;</w:t>
      </w:r>
    </w:p>
    <w:p w14:paraId="6D94E092" w14:textId="77777777" w:rsidR="0020526E" w:rsidRPr="006A20DF" w:rsidRDefault="0020526E" w:rsidP="00D70032">
      <w:pPr>
        <w:pStyle w:val="enumlev1"/>
        <w:jc w:val="both"/>
      </w:pPr>
      <w:r w:rsidRPr="006A20DF">
        <w:t>2</w:t>
      </w:r>
      <w:r w:rsidRPr="006A20DF">
        <w:tab/>
        <w:t>la distribución del personal de la UIT entre varios países del Pacífico con arreglo a un modelo de red dirigida por un Jefe de Oficina Zonal;</w:t>
      </w:r>
    </w:p>
    <w:p w14:paraId="03783914" w14:textId="77777777" w:rsidR="0020526E" w:rsidRPr="006A20DF" w:rsidRDefault="0020526E" w:rsidP="00D70032">
      <w:pPr>
        <w:pStyle w:val="enumlev1"/>
        <w:jc w:val="both"/>
      </w:pPr>
      <w:r w:rsidRPr="006A20DF">
        <w:t>3</w:t>
      </w:r>
      <w:r w:rsidRPr="006A20DF">
        <w:tab/>
        <w:t>la continuación o la ampliación del apoyo de la Oficina Regional en Bangkok;</w:t>
      </w:r>
    </w:p>
    <w:p w14:paraId="36326771" w14:textId="77777777" w:rsidR="0020526E" w:rsidRPr="006A20DF" w:rsidRDefault="0020526E" w:rsidP="00D70032">
      <w:pPr>
        <w:pStyle w:val="enumlev1"/>
        <w:jc w:val="both"/>
      </w:pPr>
      <w:r w:rsidRPr="006A20DF">
        <w:t>4</w:t>
      </w:r>
      <w:r w:rsidRPr="006A20DF">
        <w:tab/>
        <w:t>la creación de una Oficina Zonal rotacional en el Pacífico; y</w:t>
      </w:r>
    </w:p>
    <w:p w14:paraId="46B73636" w14:textId="77777777" w:rsidR="0020526E" w:rsidRPr="006A20DF" w:rsidRDefault="0020526E" w:rsidP="00D70032">
      <w:pPr>
        <w:pStyle w:val="enumlev1"/>
        <w:jc w:val="both"/>
      </w:pPr>
      <w:r w:rsidRPr="006A20DF">
        <w:lastRenderedPageBreak/>
        <w:t>5</w:t>
      </w:r>
      <w:r w:rsidRPr="006A20DF">
        <w:tab/>
        <w:t xml:space="preserve">la acogida de una Oficina Zonal de la UIT por parte de una organización subregional, como la Secretaría del Foro de las Islas del </w:t>
      </w:r>
      <w:r w:rsidRPr="00D70032">
        <w:t>Pacífico</w:t>
      </w:r>
      <w:r w:rsidRPr="006A20DF">
        <w:t xml:space="preserve"> (</w:t>
      </w:r>
      <w:proofErr w:type="spellStart"/>
      <w:r w:rsidRPr="006A20DF">
        <w:t>PIFS</w:t>
      </w:r>
      <w:proofErr w:type="spellEnd"/>
      <w:r w:rsidRPr="006A20DF">
        <w:t>) o la Comunidad del Pacífico (SPC).</w:t>
      </w:r>
    </w:p>
    <w:p w14:paraId="7DA79F7D" w14:textId="77777777" w:rsidR="0020526E" w:rsidRPr="006A20DF" w:rsidRDefault="0020526E" w:rsidP="00D70032">
      <w:pPr>
        <w:jc w:val="both"/>
        <w:rPr>
          <w:lang w:val="es-ES"/>
        </w:rPr>
      </w:pPr>
      <w:r w:rsidRPr="006A20DF">
        <w:rPr>
          <w:lang w:val="es-ES"/>
        </w:rPr>
        <w:t>Tras estas consultas, se retuvieron dos opciones para realizar un análisis de viabilidad detallado:</w:t>
      </w:r>
    </w:p>
    <w:p w14:paraId="229E7181" w14:textId="122BE8F1" w:rsidR="0020526E" w:rsidRPr="006A20DF" w:rsidRDefault="00702DAB" w:rsidP="00D70032">
      <w:pPr>
        <w:pStyle w:val="enumlev1"/>
        <w:jc w:val="both"/>
      </w:pPr>
      <w:r w:rsidRPr="006A20DF">
        <w:t>•</w:t>
      </w:r>
      <w:r w:rsidR="0020526E" w:rsidRPr="006A20DF">
        <w:tab/>
        <w:t>un modelo de Oficina Zonal en un único país; y</w:t>
      </w:r>
    </w:p>
    <w:p w14:paraId="33751557" w14:textId="0276E8DF" w:rsidR="0020526E" w:rsidRPr="006A20DF" w:rsidRDefault="00702DAB" w:rsidP="00D70032">
      <w:pPr>
        <w:pStyle w:val="enumlev1"/>
        <w:jc w:val="both"/>
      </w:pPr>
      <w:r w:rsidRPr="006A20DF">
        <w:t>•</w:t>
      </w:r>
      <w:r w:rsidR="0020526E" w:rsidRPr="006A20DF">
        <w:tab/>
        <w:t>una presencia distribuida de la UIT por varios países del Pacífico.</w:t>
      </w:r>
    </w:p>
    <w:p w14:paraId="2DC07C47" w14:textId="77777777" w:rsidR="0020526E" w:rsidRPr="006A20DF" w:rsidRDefault="0020526E" w:rsidP="00D70032">
      <w:pPr>
        <w:jc w:val="both"/>
        <w:rPr>
          <w:lang w:val="es-ES"/>
        </w:rPr>
      </w:pPr>
      <w:r w:rsidRPr="006A20DF">
        <w:rPr>
          <w:lang w:val="es-ES"/>
        </w:rPr>
        <w:t>Ulteriormente se llevó a cabo una evaluación con base en los criterios aprobados por el Consejo de la UIT en 2024 para la futura presencia regional, a saber, la pertinencia, la exclusividad, la viabilidad, la seguridad, la proximidad y la accesibilidad. En la evaluación se determinó que cinco países, a saber, Fiji, los Estados Federados de Micronesia (FSM), Papua Nueva Guinea (PNG), Samoa y Tonga, cumplían los criterios establecidos y, por tanto, se seleccionaron como ubicaciones candidatas para su ulterior estudio.</w:t>
      </w:r>
    </w:p>
    <w:p w14:paraId="4C6C892F" w14:textId="77777777" w:rsidR="0020526E" w:rsidRPr="00DB2B97" w:rsidRDefault="0020526E" w:rsidP="00D70032">
      <w:pPr>
        <w:jc w:val="both"/>
        <w:rPr>
          <w:spacing w:val="-2"/>
          <w:lang w:val="es-ES"/>
        </w:rPr>
      </w:pPr>
      <w:r w:rsidRPr="00DB2B97">
        <w:rPr>
          <w:spacing w:val="-2"/>
          <w:lang w:val="es-ES"/>
        </w:rPr>
        <w:t>El estudio de viabilidad tradujo las dos opciones retenidas en modelos de creación específicos para un análisis comparativo. Con arreglo a la Opción 1, un único país del Pacífico acogería la Oficina Zonal de la UIT, con todo el personal situado colectivamente en el país anfitrión. A efectos de costes, este modelo suponía una estructura de dotación de personal formada por un funcionario de grado P5, otro de grado P3 y otro de grado G5. Con arreglo a la Opción 2, el personal de la UIT se distribuiría entre múltiples países del Pacífico, operando como una red bajo la dirección del Jefe de la Oficina Zonal.</w:t>
      </w:r>
    </w:p>
    <w:p w14:paraId="7AD79E4C" w14:textId="5E9339FD" w:rsidR="0020526E" w:rsidRPr="006A20DF" w:rsidRDefault="0020526E" w:rsidP="00D70032">
      <w:pPr>
        <w:jc w:val="both"/>
        <w:rPr>
          <w:lang w:val="es-ES"/>
        </w:rPr>
      </w:pPr>
      <w:r w:rsidRPr="006A20DF">
        <w:rPr>
          <w:lang w:val="es-ES"/>
        </w:rPr>
        <w:t xml:space="preserve">En el estudio se observa además que, aunque la acogida de una oficina de la UIT mediante una organización subregional como la PIFS o la SPC no formaba parte de las dos opciones inicialmente retenidas tras las consultas celebradas en Fiji en 2025, varios </w:t>
      </w:r>
      <w:r w:rsidR="00C01429" w:rsidRPr="006A20DF">
        <w:rPr>
          <w:lang w:val="es-ES"/>
        </w:rPr>
        <w:t>m</w:t>
      </w:r>
      <w:r w:rsidRPr="006A20DF">
        <w:rPr>
          <w:lang w:val="es-ES"/>
        </w:rPr>
        <w:t>iembros pidieron ulteriormente que se valorase la PIFS como una posible opción para acoger la oficina en vista de su función como anfitriona de la Secretaría en apoyo de la implementación de la Declaración de Lagatoi.</w:t>
      </w:r>
    </w:p>
    <w:p w14:paraId="3CE0BBBA" w14:textId="77777777" w:rsidR="0020526E" w:rsidRPr="006A20DF" w:rsidRDefault="0020526E" w:rsidP="00D70032">
      <w:pPr>
        <w:jc w:val="both"/>
        <w:rPr>
          <w:lang w:val="es-ES"/>
        </w:rPr>
      </w:pPr>
      <w:r w:rsidRPr="006A20DF">
        <w:rPr>
          <w:lang w:val="es-ES"/>
        </w:rPr>
        <w:t>Por tanto, el estudio de viabilidad proporciona una base estructurada para considerar la manera en la que la UIT puede mejorar su presencia en el Pacífico de forma que esté en consonancia con su mandato, responda a las necesidades de los PEIDP y se base en pruebas tanto cualitativas como cuantitativas.</w:t>
      </w:r>
    </w:p>
    <w:p w14:paraId="148E9AA0" w14:textId="77777777" w:rsidR="0020526E" w:rsidRPr="006A20DF" w:rsidRDefault="0020526E" w:rsidP="00D70032">
      <w:pPr>
        <w:jc w:val="both"/>
        <w:rPr>
          <w:lang w:val="es-ES"/>
        </w:rPr>
      </w:pPr>
      <w:r w:rsidRPr="006A20DF">
        <w:rPr>
          <w:lang w:val="es-ES"/>
        </w:rPr>
        <w:t>A la hora de elaborar el estudio, la Secretaría también tuvo en cuenta las iniciativas de reforma de las Naciones Unidas en curso, como la Iniciativa ONU80, la posible reconfiguración de los equipos de país y multipaíses de las Naciones Unidas, la mejora de la coordinación regional de los programas de las Naciones Unidas y el mayor uso de los recursos compartidos de las Naciones Unidas, así como las conclusiones del Examen de la Presencia Regional de la UIT Por lo tanto, la Oficina Zonal propuesta se implementaría de una manera que busque maximizar la eficiencia operacional, aprovechar las alianzas existentes y las instituciones regionales y evitar la duplicación de esfuerzos a la vez que se fortalece el apoyo a los Estados Miembros del Pacífico.</w:t>
      </w:r>
    </w:p>
    <w:p w14:paraId="3DCEAD9D" w14:textId="77777777" w:rsidR="0020526E" w:rsidRPr="006A20DF" w:rsidRDefault="0020526E" w:rsidP="006A20DF">
      <w:pPr>
        <w:pStyle w:val="Headingi"/>
        <w:rPr>
          <w:lang w:val="es-ES"/>
        </w:rPr>
      </w:pPr>
      <w:r w:rsidRPr="006A20DF">
        <w:rPr>
          <w:lang w:val="es-ES"/>
        </w:rPr>
        <w:lastRenderedPageBreak/>
        <w:t>Análisis detallado de las dos opciones</w:t>
      </w:r>
    </w:p>
    <w:p w14:paraId="3CE7306F" w14:textId="77777777" w:rsidR="0020526E" w:rsidRPr="006A20DF" w:rsidRDefault="0020526E" w:rsidP="00D70032">
      <w:pPr>
        <w:keepNext/>
        <w:jc w:val="both"/>
        <w:rPr>
          <w:lang w:val="es-ES"/>
        </w:rPr>
      </w:pPr>
      <w:r w:rsidRPr="006A20DF">
        <w:rPr>
          <w:lang w:val="es-ES"/>
        </w:rPr>
        <w:t>Las opciones retenidas se analizaron con más detalle con tres modelos, como se ilustra a continuación:</w:t>
      </w:r>
    </w:p>
    <w:p w14:paraId="0C39E858" w14:textId="06B4FB12" w:rsidR="0020526E" w:rsidRPr="006A20DF" w:rsidRDefault="00DF148F" w:rsidP="0020526E">
      <w:pPr>
        <w:pStyle w:val="Figure-with-legend"/>
        <w:rPr>
          <w:noProof w:val="0"/>
          <w:lang w:val="es-ES"/>
        </w:rPr>
      </w:pPr>
      <w:r w:rsidRPr="006A20DF">
        <w:rPr>
          <w:lang w:val="es-ES"/>
        </w:rPr>
        <w:drawing>
          <wp:inline distT="0" distB="0" distL="0" distR="0" wp14:anchorId="70A1072C" wp14:editId="6244DBE6">
            <wp:extent cx="6124575" cy="421894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24575" cy="4218940"/>
                    </a:xfrm>
                    <a:prstGeom prst="rect">
                      <a:avLst/>
                    </a:prstGeom>
                  </pic:spPr>
                </pic:pic>
              </a:graphicData>
            </a:graphic>
          </wp:inline>
        </w:drawing>
      </w:r>
    </w:p>
    <w:p w14:paraId="7773ABBF" w14:textId="77777777" w:rsidR="0020526E" w:rsidRPr="006A20DF" w:rsidRDefault="0020526E" w:rsidP="0020526E">
      <w:pPr>
        <w:pStyle w:val="Figurelegend"/>
        <w:rPr>
          <w:lang w:val="es-ES"/>
        </w:rPr>
      </w:pPr>
      <w:r w:rsidRPr="006A20DF">
        <w:rPr>
          <w:lang w:val="es-ES"/>
        </w:rPr>
        <w:t>Fuente: Estudio de viabilidad de la presencia regional de la UIT en el Pacífico</w:t>
      </w:r>
    </w:p>
    <w:p w14:paraId="2B90B5F9" w14:textId="77777777" w:rsidR="0020526E" w:rsidRPr="00DB2B97" w:rsidRDefault="0020526E" w:rsidP="00D70032">
      <w:pPr>
        <w:jc w:val="both"/>
        <w:rPr>
          <w:spacing w:val="-2"/>
          <w:lang w:val="es-ES"/>
        </w:rPr>
      </w:pPr>
      <w:r w:rsidRPr="00DB2B97">
        <w:rPr>
          <w:spacing w:val="-2"/>
          <w:lang w:val="es-ES"/>
        </w:rPr>
        <w:t>En la reunión ministerial sobre las TIC del Foro de las Islas del Pacífico celebrada en julio de 2026, Fiji y Papua Nueva Guinea manifestaron su interés por acoger la Oficina Zonal de la UIT propuesta. En consultas ulteriores, y con miras a crear un consenso regional, ambos países manifestaron su apoyo a la opción de acoger la oficina por conducto de la PIFS. Desde entonces, la PIFS ha avanzado en la propuesta por conducto de los procesos pertinentes del Foro y está llevando actualmente a cabo el proceso de aprobación ministerial final para que la PIFS sea la anfitriona de la Oficina Zonal de la UIT en el Pacífico. Se espera que una vez termine este proceso se dará la confirmación oficial a la UIT.</w:t>
      </w:r>
    </w:p>
    <w:p w14:paraId="69A1E766" w14:textId="6A856C82" w:rsidR="0020526E" w:rsidRPr="006A20DF" w:rsidRDefault="0020526E" w:rsidP="00D70032">
      <w:pPr>
        <w:jc w:val="both"/>
        <w:rPr>
          <w:lang w:val="es-ES"/>
        </w:rPr>
      </w:pPr>
      <w:r w:rsidRPr="006A20DF">
        <w:rPr>
          <w:lang w:val="es-ES"/>
        </w:rPr>
        <w:t xml:space="preserve">Por consiguiente, a los efectos del presente Plan de Creación, el análisis ulterior se centra en la Opción 1c, a saber, la creación de una Oficina Zonal de la UIT en Suva (Fiji), acogida por la PIFS. En el </w:t>
      </w:r>
      <w:hyperlink w:anchor="Annex1" w:history="1">
        <w:r w:rsidRPr="000D09E7">
          <w:rPr>
            <w:rStyle w:val="Hyperlink"/>
            <w:lang w:val="es-ES"/>
          </w:rPr>
          <w:t>Anexo 1</w:t>
        </w:r>
      </w:hyperlink>
      <w:r w:rsidRPr="006A20DF">
        <w:rPr>
          <w:lang w:val="es-ES"/>
        </w:rPr>
        <w:t xml:space="preserve"> se adjunta la evaluación de Fiji con base en los criterios definidos por el Consejo de 2024 para la creación de las futuras oficinas regionales y zonales (Documento </w:t>
      </w:r>
      <w:hyperlink r:id="rId47" w:history="1">
        <w:r w:rsidRPr="006A20DF">
          <w:rPr>
            <w:rStyle w:val="Hyperlink"/>
            <w:lang w:val="es-ES"/>
          </w:rPr>
          <w:t>C24/66</w:t>
        </w:r>
      </w:hyperlink>
      <w:r w:rsidRPr="006A20DF">
        <w:rPr>
          <w:lang w:val="es-ES"/>
        </w:rPr>
        <w:t>).</w:t>
      </w:r>
      <w:hyperlink r:id="rId48" w:history="1"/>
      <w:hyperlink w:anchor="Annex1" w:history="1"/>
    </w:p>
    <w:p w14:paraId="03371B03" w14:textId="77777777" w:rsidR="0020526E" w:rsidRPr="006A20DF" w:rsidRDefault="0020526E" w:rsidP="00D70032">
      <w:pPr>
        <w:pStyle w:val="Headingi"/>
        <w:jc w:val="both"/>
        <w:rPr>
          <w:rFonts w:ascii="Times New Roman" w:hAnsi="Times New Roman"/>
          <w:i w:val="0"/>
          <w:color w:val="000000" w:themeColor="text1"/>
          <w:lang w:val="es-ES"/>
        </w:rPr>
      </w:pPr>
      <w:r w:rsidRPr="006A20DF">
        <w:rPr>
          <w:lang w:val="es-ES"/>
        </w:rPr>
        <w:t>Aspectos relativos a los recursos humanos</w:t>
      </w:r>
    </w:p>
    <w:p w14:paraId="7413E53A" w14:textId="08194FB2" w:rsidR="0020526E" w:rsidRPr="006A20DF" w:rsidRDefault="0020526E" w:rsidP="00D70032">
      <w:pPr>
        <w:jc w:val="both"/>
        <w:rPr>
          <w:lang w:val="es-ES"/>
        </w:rPr>
      </w:pPr>
      <w:r w:rsidRPr="006A20DF">
        <w:rPr>
          <w:lang w:val="es-ES"/>
        </w:rPr>
        <w:t xml:space="preserve">A tenor de la solicitud del Consejo, la Secretaría examinó la estructura de dotación de personal y los arreglos presupuestarios de la Oficina Zonal de la UIT para Asia Meridional y Centro de Innovación al preparar el Plan de Creación de la Oficina Zonal del Pacífico. La Oficina Zonal para Asia Meridional opera con un complemento de personal de un funcionario de grado P5, otro de grado P3 y otro de grado G5 y está </w:t>
      </w:r>
      <w:r w:rsidR="00C01429" w:rsidRPr="006A20DF">
        <w:rPr>
          <w:lang w:val="es-ES"/>
        </w:rPr>
        <w:t xml:space="preserve">completamente </w:t>
      </w:r>
      <w:r w:rsidRPr="006A20DF">
        <w:rPr>
          <w:lang w:val="es-ES"/>
        </w:rPr>
        <w:t>financiada por el Gobierno de la India.</w:t>
      </w:r>
    </w:p>
    <w:p w14:paraId="3A4DE98B" w14:textId="7B2BFC5C" w:rsidR="0020526E" w:rsidRPr="006A20DF" w:rsidRDefault="0020526E" w:rsidP="00D70032">
      <w:pPr>
        <w:jc w:val="both"/>
        <w:rPr>
          <w:lang w:val="es-ES"/>
        </w:rPr>
      </w:pPr>
      <w:r w:rsidRPr="006A20DF">
        <w:rPr>
          <w:lang w:val="es-ES"/>
        </w:rPr>
        <w:lastRenderedPageBreak/>
        <w:t>Actualmente, se presta apoyo a los países del Pacífico por conducto de un proyecto financiado por el Gobierno de Australia, en cuyo marco un funcionario de grado P5, otro de grado G5 y dos expertos SSA están dedicados a la región. Los países beneficiarios han reconocido ampliamente el valor de estos recursos adicionales y su contribución para abordar las prioridades específicas del Pacífico y adaptar la asistencia de la UIT a sus necesidades.</w:t>
      </w:r>
      <w:r w:rsidR="00C01429" w:rsidRPr="006A20DF">
        <w:rPr>
          <w:lang w:val="es-ES"/>
        </w:rPr>
        <w:t xml:space="preserve"> Antes del proyecto, los países del Pacífico estaban cubiertos por una asignación del 50</w:t>
      </w:r>
      <w:r w:rsidR="000D09E7">
        <w:rPr>
          <w:lang w:val="es-ES"/>
        </w:rPr>
        <w:t> </w:t>
      </w:r>
      <w:r w:rsidR="00C01429" w:rsidRPr="006A20DF">
        <w:rPr>
          <w:lang w:val="es-ES"/>
        </w:rPr>
        <w:t xml:space="preserve">% del tiempo de trabajo de un funcionario de grado P4 </w:t>
      </w:r>
      <w:r w:rsidR="00CB3839" w:rsidRPr="006A20DF">
        <w:rPr>
          <w:lang w:val="es-ES"/>
        </w:rPr>
        <w:t>de</w:t>
      </w:r>
      <w:r w:rsidR="00C01429" w:rsidRPr="006A20DF">
        <w:rPr>
          <w:lang w:val="es-ES"/>
        </w:rPr>
        <w:t xml:space="preserve"> la Oficina Regional de Bangkok.</w:t>
      </w:r>
      <w:r w:rsidR="00CB3839" w:rsidRPr="006A20DF">
        <w:rPr>
          <w:lang w:val="es-ES"/>
        </w:rPr>
        <w:t xml:space="preserve"> Sin embargo, en vista de la distancia y los husos horarios, se consideró que era inadecuado y esto condujo a la formulación del proyecto señalado anteriormente.</w:t>
      </w:r>
    </w:p>
    <w:p w14:paraId="5A0553A2" w14:textId="77777777" w:rsidR="0020526E" w:rsidRPr="006A20DF" w:rsidRDefault="0020526E" w:rsidP="00D70032">
      <w:pPr>
        <w:jc w:val="both"/>
        <w:rPr>
          <w:lang w:val="es-ES"/>
        </w:rPr>
      </w:pPr>
      <w:r w:rsidRPr="006A20DF">
        <w:rPr>
          <w:lang w:val="es-ES"/>
        </w:rPr>
        <w:t>La creación de una Oficina Zonal de la UIT para el Pacífico requeriría recursos de personal específicos. A efectos de planificación y costos, el estudio de viabilidad asume una estructura de dotación de personal formada por un Jefe de Oficina de grado P5, un Funcionario Profesional de grado P3 y un Asistente Administrativo de grado G5. Con arreglo a la Opción 1c, todo el personal estaría ubicado conjuntamente en la entidad anfitriona, lo que facilita la gestión y coordinación integradas.</w:t>
      </w:r>
    </w:p>
    <w:p w14:paraId="19665B66" w14:textId="77777777" w:rsidR="0020526E" w:rsidRPr="006A20DF" w:rsidRDefault="0020526E" w:rsidP="00D70032">
      <w:pPr>
        <w:jc w:val="both"/>
        <w:rPr>
          <w:lang w:val="es-ES"/>
        </w:rPr>
      </w:pPr>
      <w:r w:rsidRPr="006A20DF">
        <w:rPr>
          <w:lang w:val="es-ES"/>
        </w:rPr>
        <w:t>Los posibles acuerdos de dotación de personal podrían incluir la contratación directa por la UIT, acuerdos de adscripciones de los organismos reguladores de las telecomunicaciones, las autoridades gubernamentales, las organizaciones regionales y otras instituciones pertinentes, así como la cesión de expertos y personal especializado.</w:t>
      </w:r>
    </w:p>
    <w:p w14:paraId="06CD20F7" w14:textId="77777777" w:rsidR="0020526E" w:rsidRPr="006A20DF" w:rsidRDefault="0020526E" w:rsidP="00D70032">
      <w:pPr>
        <w:pStyle w:val="Headingi"/>
        <w:jc w:val="both"/>
        <w:rPr>
          <w:lang w:val="es-ES"/>
        </w:rPr>
      </w:pPr>
      <w:r w:rsidRPr="006A20DF">
        <w:rPr>
          <w:lang w:val="es-ES"/>
        </w:rPr>
        <w:t>Consideraciones jurídicas</w:t>
      </w:r>
    </w:p>
    <w:p w14:paraId="06764D18" w14:textId="77777777" w:rsidR="0020526E" w:rsidRPr="006A20DF" w:rsidRDefault="0020526E" w:rsidP="00D70032">
      <w:pPr>
        <w:jc w:val="both"/>
        <w:rPr>
          <w:lang w:val="es-ES"/>
        </w:rPr>
      </w:pPr>
      <w:bookmarkStart w:id="7" w:name="_Toc236855360"/>
      <w:r w:rsidRPr="006A20DF">
        <w:rPr>
          <w:lang w:val="es-ES"/>
        </w:rPr>
        <w:t>La creación de una Oficina Zonal de la UIT en Suva (Fiji), acogida por la PIFS, necesitaría la negociación y firma de dos instrumentos jurídicos independientes:</w:t>
      </w:r>
    </w:p>
    <w:p w14:paraId="03784F64" w14:textId="5963B081" w:rsidR="0020526E" w:rsidRPr="006A20DF" w:rsidRDefault="0020526E" w:rsidP="00D70032">
      <w:pPr>
        <w:pStyle w:val="enumlev1"/>
        <w:jc w:val="both"/>
      </w:pPr>
      <w:r w:rsidRPr="006A20DF">
        <w:t>1</w:t>
      </w:r>
      <w:r w:rsidRPr="006A20DF">
        <w:tab/>
        <w:t>Un acuerdo con el país anfitrión celebrado con el Gobierno de Fiji que cubra, entre otras cosas, los privilegios e inmunidades otorgados a la Oficina Zonal de la UIT y sus funcionarios, así como las instalaciones y el apoyo que prestaría el Gobierno. A este respecto, Fiji es parte en la Convención sobre Prerrogativas e Inmunidades de los Organismos Especializados de 21 de noviembre de 1947.</w:t>
      </w:r>
    </w:p>
    <w:p w14:paraId="398A4F40" w14:textId="60773687" w:rsidR="0020526E" w:rsidRPr="006A20DF" w:rsidRDefault="0020526E" w:rsidP="00D70032">
      <w:pPr>
        <w:pStyle w:val="enumlev1"/>
        <w:jc w:val="both"/>
      </w:pPr>
      <w:r w:rsidRPr="006A20DF">
        <w:t>2</w:t>
      </w:r>
      <w:r w:rsidRPr="006A20DF">
        <w:tab/>
        <w:t>Un acuerdo de sede con la PIFS, en el que se establezcan las disposiciones operacionales y administrativas que regulen la presencia de la Oficina Zonal de la UIT en las instalaciones de la PIFS.</w:t>
      </w:r>
    </w:p>
    <w:p w14:paraId="0A0F0C44" w14:textId="77777777" w:rsidR="0020526E" w:rsidRPr="006A20DF" w:rsidRDefault="0020526E" w:rsidP="00D70032">
      <w:pPr>
        <w:pStyle w:val="Headingi"/>
        <w:jc w:val="both"/>
      </w:pPr>
      <w:r w:rsidRPr="006A20DF">
        <w:rPr>
          <w:lang w:val="es-ES"/>
        </w:rPr>
        <w:t>Consideraciones financieras</w:t>
      </w:r>
    </w:p>
    <w:p w14:paraId="67047EB9" w14:textId="7BDF2B5E" w:rsidR="00D44033" w:rsidRPr="006A20DF" w:rsidRDefault="0020526E" w:rsidP="00D70032">
      <w:pPr>
        <w:jc w:val="both"/>
        <w:rPr>
          <w:lang w:val="es-ES"/>
        </w:rPr>
      </w:pPr>
      <w:r w:rsidRPr="006A20DF">
        <w:rPr>
          <w:lang w:val="es-ES"/>
        </w:rPr>
        <w:t xml:space="preserve">La creación de la Oficina Zonal para el Pacífico implicaría gastos iniciales y recurrentes asociados al personal, la instalación de oficinas, las operaciones, los viajes, las tecnologías de la información, la seguridad y el apoyo administrativo. </w:t>
      </w:r>
      <w:r w:rsidR="00D44033" w:rsidRPr="006A20DF">
        <w:rPr>
          <w:lang w:val="es-ES"/>
        </w:rPr>
        <w:t>Se están celebrando debates con la PIFS/Fiji para cubrir los costes no relacionados con el personal que suelen cubrir los países anfitriones. Por ahora no se ha identificado una fuente de financiación para cubrir los costes del personal y los costes no asociados al personal. Por lo tanto, se deberá seguir examinando la cuestión de la disponibilidad y sostenibilidad de la financiación, en particular las posibles opciones para cubrir los costes relacionados con el personal.</w:t>
      </w:r>
    </w:p>
    <w:p w14:paraId="7E564126" w14:textId="2AB7C4C5" w:rsidR="0020526E" w:rsidRPr="006A20DF" w:rsidRDefault="0020526E" w:rsidP="00D70032">
      <w:pPr>
        <w:jc w:val="both"/>
        <w:rPr>
          <w:lang w:val="es-ES"/>
        </w:rPr>
      </w:pPr>
      <w:r w:rsidRPr="006A20DF">
        <w:rPr>
          <w:lang w:val="es-ES"/>
        </w:rPr>
        <w:t>La instalación de la Oficina en la PIFS ofrecería oportunidades para mejorar la eficiencia mediante la compartición de las instalaciones y los servicios de apoyo, aunque los acuerdos financieros y administrativos específicos estarían sujetos a debates y acuerdos ulteriores entre las partes.</w:t>
      </w:r>
    </w:p>
    <w:p w14:paraId="4E0E54B3" w14:textId="77777777" w:rsidR="0020526E" w:rsidRPr="006A20DF" w:rsidRDefault="0020526E" w:rsidP="00D70032">
      <w:pPr>
        <w:jc w:val="both"/>
        <w:rPr>
          <w:lang w:val="es-ES"/>
        </w:rPr>
      </w:pPr>
      <w:r w:rsidRPr="006A20DF">
        <w:rPr>
          <w:lang w:val="es-ES"/>
        </w:rPr>
        <w:t xml:space="preserve">A lo largo de las consultas celebradas como parte de los preparativos de este informe, las partes interesadas reconocieron que el examen de la creación de una Oficina Zonal para el Pacífico también </w:t>
      </w:r>
      <w:r w:rsidRPr="006A20DF">
        <w:rPr>
          <w:lang w:val="es-ES"/>
        </w:rPr>
        <w:lastRenderedPageBreak/>
        <w:t>necesitaría examinar las disposiciones para apoyar su funcionamiento de manera sostenible. Se examinaron diversos enfoques, teniendo en cuenta la necesidad de contar con recursos previsibles y adecuados para apoyar las actividades de la Oficina a lo largo del tiempo.</w:t>
      </w:r>
    </w:p>
    <w:p w14:paraId="16D447A6" w14:textId="7F7B4C72" w:rsidR="0020526E" w:rsidRPr="006A20DF" w:rsidRDefault="0020526E" w:rsidP="00D70032">
      <w:pPr>
        <w:jc w:val="both"/>
        <w:rPr>
          <w:lang w:val="es-ES"/>
        </w:rPr>
      </w:pPr>
      <w:r w:rsidRPr="006A20DF">
        <w:rPr>
          <w:lang w:val="es-ES"/>
        </w:rPr>
        <w:t xml:space="preserve">Algunas de las opciones examinadas fueron las contribuciones financieras voluntarias de los Estados Miembros y socios interesados y la dotación de personal mediante acuerdos de adscripción de los organismos reguladores de las telecomunicaciones, las autoridades gubernamentales y otras instituciones pertinentes. En los debates también se observó la posibilidad de que los Estados Miembros prestasen apoyo financiero adicional mediante </w:t>
      </w:r>
      <w:r w:rsidR="00D44033" w:rsidRPr="006A20DF">
        <w:rPr>
          <w:lang w:val="es-ES"/>
        </w:rPr>
        <w:t>la contribución directa al presupuesto ordinario, como ocurre con la Oficina Zonal para Asia Meridional. No se ha identificado una fuente de financiación definitiva.</w:t>
      </w:r>
    </w:p>
    <w:p w14:paraId="68CD5F01" w14:textId="38309F1C" w:rsidR="0020526E" w:rsidRPr="006A20DF" w:rsidRDefault="0020526E" w:rsidP="00D70032">
      <w:pPr>
        <w:jc w:val="both"/>
        <w:rPr>
          <w:lang w:val="es-ES"/>
        </w:rPr>
      </w:pPr>
      <w:r w:rsidRPr="006A20DF">
        <w:rPr>
          <w:lang w:val="es-ES"/>
        </w:rPr>
        <w:t>En el estudio de viabilidad se identifican varios arreglos de implementación posibles que podrían respaldar la creación y el funcionamiento de una Oficina Zonal de la UIT en el Pacífico. Estas opciones dan flexibilidad para que los Estados Miembros determinen el enfoque más apropiado, teniendo en cuenta las prioridades regionales, los recursos disponibles y las consideraciones de sostenibilidad a largo plazo. De manera conjunta, ofrecen posibles vías para crear una presencia fortalecida y duradera de la UIT en el Pacífico.</w:t>
      </w:r>
    </w:p>
    <w:p w14:paraId="29C28FF1" w14:textId="77777777" w:rsidR="0020526E" w:rsidRPr="006A20DF" w:rsidRDefault="0020526E" w:rsidP="00D70032">
      <w:pPr>
        <w:jc w:val="both"/>
        <w:rPr>
          <w:lang w:val="es-ES"/>
        </w:rPr>
      </w:pPr>
      <w:r w:rsidRPr="006A20DF">
        <w:rPr>
          <w:lang w:val="es-ES"/>
        </w:rPr>
        <w:t>A continuación se ofrece un resumen de las repercusiones financieras para el primer año, seguido de las implicaciones correspondientes a los tres años posteriores.</w:t>
      </w:r>
    </w:p>
    <w:p w14:paraId="2818DD94" w14:textId="77777777" w:rsidR="0020526E" w:rsidRPr="006A20DF" w:rsidRDefault="0020526E" w:rsidP="000D09E7">
      <w:pPr>
        <w:pStyle w:val="Tabletitle"/>
        <w:spacing w:before="120"/>
        <w:rPr>
          <w:lang w:val="es-ES"/>
        </w:rPr>
      </w:pPr>
      <w:r w:rsidRPr="006A20DF">
        <w:rPr>
          <w:lang w:val="es-ES"/>
        </w:rPr>
        <w:t>Año 1</w:t>
      </w:r>
    </w:p>
    <w:tbl>
      <w:tblPr>
        <w:tblStyle w:val="TableGrid"/>
        <w:tblW w:w="5000" w:type="pct"/>
        <w:jc w:val="center"/>
        <w:tblLayout w:type="fixed"/>
        <w:tblCellMar>
          <w:left w:w="57" w:type="dxa"/>
          <w:right w:w="57" w:type="dxa"/>
        </w:tblCellMar>
        <w:tblLook w:val="04A0" w:firstRow="1" w:lastRow="0" w:firstColumn="1" w:lastColumn="0" w:noHBand="0" w:noVBand="1"/>
      </w:tblPr>
      <w:tblGrid>
        <w:gridCol w:w="1352"/>
        <w:gridCol w:w="1163"/>
        <w:gridCol w:w="2021"/>
        <w:gridCol w:w="2212"/>
        <w:gridCol w:w="2887"/>
      </w:tblGrid>
      <w:tr w:rsidR="0020526E" w:rsidRPr="006A20DF" w14:paraId="13CAD19A" w14:textId="77777777" w:rsidTr="009C4DEA">
        <w:trPr>
          <w:cantSplit/>
          <w:trHeight w:val="300"/>
          <w:jc w:val="center"/>
        </w:trPr>
        <w:tc>
          <w:tcPr>
            <w:tcW w:w="701" w:type="pct"/>
          </w:tcPr>
          <w:p w14:paraId="5CF9461D" w14:textId="77777777" w:rsidR="0020526E" w:rsidRPr="006A20DF" w:rsidRDefault="0020526E" w:rsidP="006D2BB3">
            <w:pPr>
              <w:pStyle w:val="Tablehead"/>
              <w:rPr>
                <w:lang w:val="es-ES"/>
              </w:rPr>
            </w:pPr>
            <w:r w:rsidRPr="006A20DF">
              <w:rPr>
                <w:lang w:val="es-ES"/>
              </w:rPr>
              <w:t>Opción para la sede</w:t>
            </w:r>
          </w:p>
        </w:tc>
        <w:tc>
          <w:tcPr>
            <w:tcW w:w="603" w:type="pct"/>
          </w:tcPr>
          <w:p w14:paraId="6203AE16" w14:textId="77777777" w:rsidR="0020526E" w:rsidRPr="006A20DF" w:rsidRDefault="0020526E" w:rsidP="006D2BB3">
            <w:pPr>
              <w:pStyle w:val="Tablehead"/>
              <w:rPr>
                <w:lang w:val="es-ES"/>
              </w:rPr>
            </w:pPr>
            <w:r w:rsidRPr="006A20DF">
              <w:rPr>
                <w:lang w:val="es-ES"/>
              </w:rPr>
              <w:t>Ctdad. miembros del personal</w:t>
            </w:r>
          </w:p>
        </w:tc>
        <w:tc>
          <w:tcPr>
            <w:tcW w:w="1049" w:type="pct"/>
          </w:tcPr>
          <w:p w14:paraId="423A5CE1" w14:textId="77777777" w:rsidR="0020526E" w:rsidRPr="006A20DF" w:rsidRDefault="0020526E" w:rsidP="006D2BB3">
            <w:pPr>
              <w:pStyle w:val="Tablehead"/>
              <w:rPr>
                <w:lang w:val="es-ES"/>
              </w:rPr>
            </w:pPr>
            <w:r w:rsidRPr="006A20DF">
              <w:rPr>
                <w:lang w:val="es-ES"/>
              </w:rPr>
              <w:t>Coste anual del personal (CHF)</w:t>
            </w:r>
          </w:p>
        </w:tc>
        <w:tc>
          <w:tcPr>
            <w:tcW w:w="1148" w:type="pct"/>
          </w:tcPr>
          <w:p w14:paraId="540A0A3D" w14:textId="77777777" w:rsidR="0020526E" w:rsidRPr="006A20DF" w:rsidRDefault="0020526E" w:rsidP="006D2BB3">
            <w:pPr>
              <w:pStyle w:val="Tablehead"/>
              <w:rPr>
                <w:lang w:val="es-ES"/>
              </w:rPr>
            </w:pPr>
            <w:r w:rsidRPr="006A20DF">
              <w:rPr>
                <w:lang w:val="es-ES"/>
              </w:rPr>
              <w:t>Costes no asociados al personal del primer año</w:t>
            </w:r>
          </w:p>
        </w:tc>
        <w:tc>
          <w:tcPr>
            <w:tcW w:w="1498" w:type="pct"/>
          </w:tcPr>
          <w:p w14:paraId="2037B295" w14:textId="77777777" w:rsidR="0020526E" w:rsidRPr="006A20DF" w:rsidRDefault="0020526E" w:rsidP="006D2BB3">
            <w:pPr>
              <w:pStyle w:val="Tablehead"/>
              <w:rPr>
                <w:lang w:val="es-ES"/>
              </w:rPr>
            </w:pPr>
            <w:r w:rsidRPr="006A20DF">
              <w:rPr>
                <w:lang w:val="es-ES"/>
              </w:rPr>
              <w:t>Coste total del primer año (costes del personal + costes no asociados al personal) (CHF)</w:t>
            </w:r>
          </w:p>
        </w:tc>
      </w:tr>
      <w:tr w:rsidR="0020526E" w:rsidRPr="006A20DF" w14:paraId="4E563C60" w14:textId="77777777" w:rsidTr="009C4DEA">
        <w:trPr>
          <w:cantSplit/>
          <w:trHeight w:val="300"/>
          <w:jc w:val="center"/>
        </w:trPr>
        <w:tc>
          <w:tcPr>
            <w:tcW w:w="701" w:type="pct"/>
          </w:tcPr>
          <w:p w14:paraId="66D7C1C2" w14:textId="77777777" w:rsidR="0020526E" w:rsidRPr="006A20DF" w:rsidRDefault="0020526E" w:rsidP="006D2BB3">
            <w:pPr>
              <w:pStyle w:val="Tabletext"/>
              <w:jc w:val="center"/>
              <w:rPr>
                <w:lang w:val="es-ES"/>
              </w:rPr>
            </w:pPr>
            <w:r w:rsidRPr="006A20DF">
              <w:rPr>
                <w:lang w:val="es-ES"/>
              </w:rPr>
              <w:t>1c</w:t>
            </w:r>
          </w:p>
        </w:tc>
        <w:tc>
          <w:tcPr>
            <w:tcW w:w="603" w:type="pct"/>
          </w:tcPr>
          <w:p w14:paraId="7E310DE2" w14:textId="77777777" w:rsidR="0020526E" w:rsidRPr="006A20DF" w:rsidRDefault="0020526E" w:rsidP="006D2BB3">
            <w:pPr>
              <w:pStyle w:val="Tabletext"/>
              <w:jc w:val="center"/>
              <w:rPr>
                <w:lang w:val="es-ES"/>
              </w:rPr>
            </w:pPr>
            <w:r w:rsidRPr="006A20DF">
              <w:rPr>
                <w:lang w:val="es-ES"/>
              </w:rPr>
              <w:t>3</w:t>
            </w:r>
          </w:p>
        </w:tc>
        <w:tc>
          <w:tcPr>
            <w:tcW w:w="1049" w:type="pct"/>
          </w:tcPr>
          <w:p w14:paraId="3AEE9236" w14:textId="0FE9C868" w:rsidR="0020526E" w:rsidRPr="006A20DF" w:rsidRDefault="0020526E" w:rsidP="006D2BB3">
            <w:pPr>
              <w:pStyle w:val="Tabletext"/>
              <w:jc w:val="right"/>
              <w:rPr>
                <w:lang w:val="es-ES"/>
              </w:rPr>
            </w:pPr>
            <w:r w:rsidRPr="006A20DF">
              <w:rPr>
                <w:lang w:val="es-ES"/>
              </w:rPr>
              <w:t>381</w:t>
            </w:r>
            <w:r w:rsidR="00BB5BBC" w:rsidRPr="006A20DF">
              <w:rPr>
                <w:lang w:val="es-ES"/>
              </w:rPr>
              <w:t> </w:t>
            </w:r>
            <w:r w:rsidRPr="006A20DF">
              <w:rPr>
                <w:lang w:val="es-ES"/>
              </w:rPr>
              <w:t>077</w:t>
            </w:r>
          </w:p>
        </w:tc>
        <w:tc>
          <w:tcPr>
            <w:tcW w:w="1148" w:type="pct"/>
          </w:tcPr>
          <w:p w14:paraId="6D6BE5E0" w14:textId="78045027" w:rsidR="0020526E" w:rsidRPr="006A20DF" w:rsidRDefault="0020526E" w:rsidP="006D2BB3">
            <w:pPr>
              <w:pStyle w:val="Tabletext"/>
              <w:jc w:val="right"/>
              <w:rPr>
                <w:lang w:val="es-ES"/>
              </w:rPr>
            </w:pPr>
            <w:r w:rsidRPr="006A20DF">
              <w:rPr>
                <w:lang w:val="es-ES"/>
              </w:rPr>
              <w:t>140</w:t>
            </w:r>
            <w:r w:rsidR="00BB5BBC" w:rsidRPr="006A20DF">
              <w:rPr>
                <w:lang w:val="es-ES"/>
              </w:rPr>
              <w:t> </w:t>
            </w:r>
            <w:r w:rsidRPr="006A20DF">
              <w:rPr>
                <w:lang w:val="es-ES"/>
              </w:rPr>
              <w:t>729</w:t>
            </w:r>
          </w:p>
        </w:tc>
        <w:tc>
          <w:tcPr>
            <w:tcW w:w="1498" w:type="pct"/>
          </w:tcPr>
          <w:p w14:paraId="5F5EAE6C" w14:textId="2B4C2159" w:rsidR="0020526E" w:rsidRPr="006A20DF" w:rsidRDefault="0020526E" w:rsidP="006D2BB3">
            <w:pPr>
              <w:pStyle w:val="Tabletext"/>
              <w:jc w:val="right"/>
              <w:rPr>
                <w:lang w:val="es-ES"/>
              </w:rPr>
            </w:pPr>
            <w:r w:rsidRPr="006A20DF">
              <w:rPr>
                <w:lang w:val="es-ES"/>
              </w:rPr>
              <w:t>521</w:t>
            </w:r>
            <w:r w:rsidR="00BB5BBC" w:rsidRPr="006A20DF">
              <w:rPr>
                <w:lang w:val="es-ES"/>
              </w:rPr>
              <w:t> </w:t>
            </w:r>
            <w:r w:rsidRPr="006A20DF">
              <w:rPr>
                <w:lang w:val="es-ES"/>
              </w:rPr>
              <w:t>806</w:t>
            </w:r>
          </w:p>
        </w:tc>
      </w:tr>
    </w:tbl>
    <w:p w14:paraId="5D57123A" w14:textId="77777777" w:rsidR="0020526E" w:rsidRPr="006A20DF" w:rsidRDefault="0020526E" w:rsidP="0020526E">
      <w:pPr>
        <w:pStyle w:val="Tablefin"/>
        <w:rPr>
          <w:lang w:val="es-ES"/>
        </w:rPr>
      </w:pPr>
    </w:p>
    <w:p w14:paraId="706335BA" w14:textId="77777777" w:rsidR="0020526E" w:rsidRPr="006A20DF" w:rsidRDefault="0020526E" w:rsidP="0020526E">
      <w:pPr>
        <w:pStyle w:val="Tabletitle"/>
        <w:rPr>
          <w:lang w:val="es-ES"/>
        </w:rPr>
      </w:pPr>
      <w:r w:rsidRPr="006A20DF">
        <w:rPr>
          <w:bCs/>
          <w:lang w:val="es-ES"/>
        </w:rPr>
        <w:t>Año 2</w:t>
      </w:r>
    </w:p>
    <w:tbl>
      <w:tblPr>
        <w:tblStyle w:val="TableGrid"/>
        <w:tblW w:w="5000" w:type="pct"/>
        <w:jc w:val="center"/>
        <w:tblLayout w:type="fixed"/>
        <w:tblLook w:val="04A0" w:firstRow="1" w:lastRow="0" w:firstColumn="1" w:lastColumn="0" w:noHBand="0" w:noVBand="1"/>
      </w:tblPr>
      <w:tblGrid>
        <w:gridCol w:w="1352"/>
        <w:gridCol w:w="1163"/>
        <w:gridCol w:w="2021"/>
        <w:gridCol w:w="2212"/>
        <w:gridCol w:w="2887"/>
      </w:tblGrid>
      <w:tr w:rsidR="0020526E" w:rsidRPr="006A20DF" w14:paraId="450B26A7" w14:textId="77777777" w:rsidTr="009C4DEA">
        <w:trPr>
          <w:trHeight w:val="300"/>
          <w:jc w:val="center"/>
        </w:trPr>
        <w:tc>
          <w:tcPr>
            <w:tcW w:w="701" w:type="pct"/>
          </w:tcPr>
          <w:p w14:paraId="291107AC" w14:textId="77777777" w:rsidR="0020526E" w:rsidRPr="006A20DF" w:rsidRDefault="0020526E" w:rsidP="006D2BB3">
            <w:pPr>
              <w:pStyle w:val="Tablehead"/>
              <w:rPr>
                <w:lang w:val="es-ES"/>
              </w:rPr>
            </w:pPr>
            <w:r w:rsidRPr="006A20DF">
              <w:rPr>
                <w:lang w:val="es-ES"/>
              </w:rPr>
              <w:t>Opción para la sede</w:t>
            </w:r>
          </w:p>
        </w:tc>
        <w:tc>
          <w:tcPr>
            <w:tcW w:w="603" w:type="pct"/>
          </w:tcPr>
          <w:p w14:paraId="0D6028EE" w14:textId="77777777" w:rsidR="0020526E" w:rsidRPr="006A20DF" w:rsidRDefault="0020526E" w:rsidP="006D2BB3">
            <w:pPr>
              <w:pStyle w:val="Tablehead"/>
              <w:rPr>
                <w:lang w:val="es-ES"/>
              </w:rPr>
            </w:pPr>
            <w:r w:rsidRPr="006A20DF">
              <w:rPr>
                <w:lang w:val="es-ES"/>
              </w:rPr>
              <w:t>Ctdad. miembros del personal</w:t>
            </w:r>
          </w:p>
        </w:tc>
        <w:tc>
          <w:tcPr>
            <w:tcW w:w="1049" w:type="pct"/>
          </w:tcPr>
          <w:p w14:paraId="3D0EE4F7" w14:textId="77777777" w:rsidR="0020526E" w:rsidRPr="006A20DF" w:rsidRDefault="0020526E" w:rsidP="006D2BB3">
            <w:pPr>
              <w:pStyle w:val="Tablehead"/>
              <w:rPr>
                <w:lang w:val="es-ES"/>
              </w:rPr>
            </w:pPr>
            <w:r w:rsidRPr="006A20DF">
              <w:rPr>
                <w:lang w:val="es-ES"/>
              </w:rPr>
              <w:t>Coste anual del personal (CHF)</w:t>
            </w:r>
          </w:p>
        </w:tc>
        <w:tc>
          <w:tcPr>
            <w:tcW w:w="1148" w:type="pct"/>
          </w:tcPr>
          <w:p w14:paraId="7F729B89" w14:textId="77777777" w:rsidR="0020526E" w:rsidRPr="006A20DF" w:rsidRDefault="0020526E" w:rsidP="006D2BB3">
            <w:pPr>
              <w:pStyle w:val="Tablehead"/>
              <w:rPr>
                <w:lang w:val="es-ES"/>
              </w:rPr>
            </w:pPr>
            <w:r w:rsidRPr="006A20DF">
              <w:rPr>
                <w:lang w:val="es-ES"/>
              </w:rPr>
              <w:t>Costes no asociados al personal del segundo año</w:t>
            </w:r>
          </w:p>
        </w:tc>
        <w:tc>
          <w:tcPr>
            <w:tcW w:w="1498" w:type="pct"/>
          </w:tcPr>
          <w:p w14:paraId="6AC5E5BB" w14:textId="77777777" w:rsidR="0020526E" w:rsidRPr="006A20DF" w:rsidRDefault="0020526E" w:rsidP="006D2BB3">
            <w:pPr>
              <w:pStyle w:val="Tablehead"/>
              <w:rPr>
                <w:lang w:val="es-ES"/>
              </w:rPr>
            </w:pPr>
            <w:r w:rsidRPr="006A20DF">
              <w:rPr>
                <w:lang w:val="es-ES"/>
              </w:rPr>
              <w:t>Coste total del segundo año (costes del personal + costes no asociados al personal) (CHF)</w:t>
            </w:r>
          </w:p>
        </w:tc>
      </w:tr>
      <w:tr w:rsidR="0020526E" w:rsidRPr="006A20DF" w14:paraId="1277FB98" w14:textId="77777777" w:rsidTr="009C4DEA">
        <w:trPr>
          <w:trHeight w:val="300"/>
          <w:jc w:val="center"/>
        </w:trPr>
        <w:tc>
          <w:tcPr>
            <w:tcW w:w="701" w:type="pct"/>
          </w:tcPr>
          <w:p w14:paraId="57D6A7EA" w14:textId="77777777" w:rsidR="0020526E" w:rsidRPr="006A20DF" w:rsidRDefault="0020526E" w:rsidP="006D2BB3">
            <w:pPr>
              <w:pStyle w:val="Tabletext"/>
              <w:jc w:val="center"/>
              <w:rPr>
                <w:lang w:val="es-ES"/>
              </w:rPr>
            </w:pPr>
            <w:r w:rsidRPr="006A20DF">
              <w:rPr>
                <w:lang w:val="es-ES"/>
              </w:rPr>
              <w:t>1c</w:t>
            </w:r>
          </w:p>
        </w:tc>
        <w:tc>
          <w:tcPr>
            <w:tcW w:w="603" w:type="pct"/>
          </w:tcPr>
          <w:p w14:paraId="60F48E47" w14:textId="77777777" w:rsidR="0020526E" w:rsidRPr="006A20DF" w:rsidRDefault="0020526E" w:rsidP="006D2BB3">
            <w:pPr>
              <w:pStyle w:val="Tabletext"/>
              <w:jc w:val="center"/>
              <w:rPr>
                <w:lang w:val="es-ES"/>
              </w:rPr>
            </w:pPr>
            <w:r w:rsidRPr="006A20DF">
              <w:rPr>
                <w:lang w:val="es-ES"/>
              </w:rPr>
              <w:t>3</w:t>
            </w:r>
          </w:p>
        </w:tc>
        <w:tc>
          <w:tcPr>
            <w:tcW w:w="1049" w:type="pct"/>
          </w:tcPr>
          <w:p w14:paraId="21032491" w14:textId="27E28DC8" w:rsidR="0020526E" w:rsidRPr="006A20DF" w:rsidRDefault="0020526E" w:rsidP="006D2BB3">
            <w:pPr>
              <w:pStyle w:val="Tabletext"/>
              <w:jc w:val="right"/>
              <w:rPr>
                <w:lang w:val="es-ES"/>
              </w:rPr>
            </w:pPr>
            <w:r w:rsidRPr="006A20DF">
              <w:rPr>
                <w:lang w:val="es-ES"/>
              </w:rPr>
              <w:t>381</w:t>
            </w:r>
            <w:r w:rsidR="00BB5BBC" w:rsidRPr="006A20DF">
              <w:rPr>
                <w:lang w:val="es-ES"/>
              </w:rPr>
              <w:t> </w:t>
            </w:r>
            <w:r w:rsidRPr="006A20DF">
              <w:rPr>
                <w:lang w:val="es-ES"/>
              </w:rPr>
              <w:t>077</w:t>
            </w:r>
          </w:p>
        </w:tc>
        <w:tc>
          <w:tcPr>
            <w:tcW w:w="1148" w:type="pct"/>
          </w:tcPr>
          <w:p w14:paraId="109EA24D" w14:textId="16618C06" w:rsidR="0020526E" w:rsidRPr="006A20DF" w:rsidRDefault="0020526E" w:rsidP="006D2BB3">
            <w:pPr>
              <w:pStyle w:val="Tabletext"/>
              <w:jc w:val="right"/>
              <w:rPr>
                <w:lang w:val="es-ES"/>
              </w:rPr>
            </w:pPr>
            <w:r w:rsidRPr="006A20DF">
              <w:rPr>
                <w:lang w:val="es-ES"/>
              </w:rPr>
              <w:t>55</w:t>
            </w:r>
            <w:r w:rsidR="00BB5BBC" w:rsidRPr="006A20DF">
              <w:rPr>
                <w:lang w:val="es-ES"/>
              </w:rPr>
              <w:t> </w:t>
            </w:r>
            <w:r w:rsidRPr="006A20DF">
              <w:rPr>
                <w:lang w:val="es-ES"/>
              </w:rPr>
              <w:t>000</w:t>
            </w:r>
          </w:p>
        </w:tc>
        <w:tc>
          <w:tcPr>
            <w:tcW w:w="1498" w:type="pct"/>
          </w:tcPr>
          <w:p w14:paraId="30C50C5C" w14:textId="61D6A442" w:rsidR="0020526E" w:rsidRPr="006A20DF" w:rsidRDefault="0020526E" w:rsidP="006D2BB3">
            <w:pPr>
              <w:pStyle w:val="Tabletext"/>
              <w:jc w:val="right"/>
              <w:rPr>
                <w:lang w:val="es-ES"/>
              </w:rPr>
            </w:pPr>
            <w:r w:rsidRPr="006A20DF">
              <w:rPr>
                <w:lang w:val="es-ES"/>
              </w:rPr>
              <w:t>436</w:t>
            </w:r>
            <w:r w:rsidR="00BB5BBC" w:rsidRPr="006A20DF">
              <w:rPr>
                <w:lang w:val="es-ES"/>
              </w:rPr>
              <w:t> </w:t>
            </w:r>
            <w:r w:rsidRPr="006A20DF">
              <w:rPr>
                <w:lang w:val="es-ES"/>
              </w:rPr>
              <w:t>077</w:t>
            </w:r>
          </w:p>
        </w:tc>
      </w:tr>
    </w:tbl>
    <w:p w14:paraId="1FFBA55A" w14:textId="77777777" w:rsidR="0020526E" w:rsidRPr="006A20DF" w:rsidRDefault="0020526E" w:rsidP="0020526E">
      <w:pPr>
        <w:pStyle w:val="Tablefin"/>
        <w:rPr>
          <w:lang w:val="es-ES"/>
        </w:rPr>
      </w:pPr>
    </w:p>
    <w:p w14:paraId="14032AD7" w14:textId="77777777" w:rsidR="0020526E" w:rsidRPr="006A20DF" w:rsidRDefault="0020526E" w:rsidP="0020526E">
      <w:pPr>
        <w:pStyle w:val="Tabletitle"/>
        <w:rPr>
          <w:lang w:val="es-ES"/>
        </w:rPr>
      </w:pPr>
      <w:r w:rsidRPr="006A20DF">
        <w:rPr>
          <w:bCs/>
          <w:lang w:val="es-ES"/>
        </w:rPr>
        <w:t>Año 3</w:t>
      </w:r>
    </w:p>
    <w:tbl>
      <w:tblPr>
        <w:tblStyle w:val="TableGrid"/>
        <w:tblW w:w="5000" w:type="pct"/>
        <w:jc w:val="center"/>
        <w:tblLayout w:type="fixed"/>
        <w:tblLook w:val="04A0" w:firstRow="1" w:lastRow="0" w:firstColumn="1" w:lastColumn="0" w:noHBand="0" w:noVBand="1"/>
      </w:tblPr>
      <w:tblGrid>
        <w:gridCol w:w="1352"/>
        <w:gridCol w:w="1163"/>
        <w:gridCol w:w="2021"/>
        <w:gridCol w:w="2212"/>
        <w:gridCol w:w="2887"/>
      </w:tblGrid>
      <w:tr w:rsidR="0020526E" w:rsidRPr="006A20DF" w14:paraId="7C65D98A" w14:textId="77777777" w:rsidTr="009C4DEA">
        <w:trPr>
          <w:trHeight w:val="300"/>
          <w:jc w:val="center"/>
        </w:trPr>
        <w:tc>
          <w:tcPr>
            <w:tcW w:w="701" w:type="pct"/>
          </w:tcPr>
          <w:p w14:paraId="588F35F9" w14:textId="77777777" w:rsidR="0020526E" w:rsidRPr="006A20DF" w:rsidRDefault="0020526E" w:rsidP="006D2BB3">
            <w:pPr>
              <w:pStyle w:val="Tablehead"/>
              <w:rPr>
                <w:lang w:val="es-ES"/>
              </w:rPr>
            </w:pPr>
            <w:r w:rsidRPr="006A20DF">
              <w:rPr>
                <w:lang w:val="es-ES"/>
              </w:rPr>
              <w:t>Opción para la sede</w:t>
            </w:r>
          </w:p>
        </w:tc>
        <w:tc>
          <w:tcPr>
            <w:tcW w:w="603" w:type="pct"/>
          </w:tcPr>
          <w:p w14:paraId="09167052" w14:textId="77777777" w:rsidR="0020526E" w:rsidRPr="006A20DF" w:rsidRDefault="0020526E" w:rsidP="006D2BB3">
            <w:pPr>
              <w:pStyle w:val="Tablehead"/>
              <w:rPr>
                <w:lang w:val="es-ES"/>
              </w:rPr>
            </w:pPr>
            <w:r w:rsidRPr="006A20DF">
              <w:rPr>
                <w:lang w:val="es-ES"/>
              </w:rPr>
              <w:t>Ctdad. miembros del personal</w:t>
            </w:r>
          </w:p>
        </w:tc>
        <w:tc>
          <w:tcPr>
            <w:tcW w:w="1049" w:type="pct"/>
          </w:tcPr>
          <w:p w14:paraId="3CDFAB9E" w14:textId="77777777" w:rsidR="0020526E" w:rsidRPr="006A20DF" w:rsidRDefault="0020526E" w:rsidP="006D2BB3">
            <w:pPr>
              <w:pStyle w:val="Tablehead"/>
              <w:rPr>
                <w:lang w:val="es-ES"/>
              </w:rPr>
            </w:pPr>
            <w:r w:rsidRPr="006A20DF">
              <w:rPr>
                <w:lang w:val="es-ES"/>
              </w:rPr>
              <w:t>Coste anual del personal (CHF)</w:t>
            </w:r>
          </w:p>
        </w:tc>
        <w:tc>
          <w:tcPr>
            <w:tcW w:w="1148" w:type="pct"/>
          </w:tcPr>
          <w:p w14:paraId="6BC79E38" w14:textId="77777777" w:rsidR="0020526E" w:rsidRPr="006A20DF" w:rsidRDefault="0020526E" w:rsidP="006D2BB3">
            <w:pPr>
              <w:pStyle w:val="Tablehead"/>
              <w:rPr>
                <w:lang w:val="es-ES"/>
              </w:rPr>
            </w:pPr>
            <w:r w:rsidRPr="006A20DF">
              <w:rPr>
                <w:lang w:val="es-ES"/>
              </w:rPr>
              <w:t>Costes no asociados al personal del tercer año</w:t>
            </w:r>
          </w:p>
        </w:tc>
        <w:tc>
          <w:tcPr>
            <w:tcW w:w="1498" w:type="pct"/>
          </w:tcPr>
          <w:p w14:paraId="640DB1AB" w14:textId="77777777" w:rsidR="0020526E" w:rsidRPr="006A20DF" w:rsidRDefault="0020526E" w:rsidP="006D2BB3">
            <w:pPr>
              <w:pStyle w:val="Tablehead"/>
              <w:rPr>
                <w:lang w:val="es-ES"/>
              </w:rPr>
            </w:pPr>
            <w:r w:rsidRPr="006A20DF">
              <w:rPr>
                <w:lang w:val="es-ES"/>
              </w:rPr>
              <w:t>Coste total del tercer año (costes del personal + costes no asociados al personal) (CHF)</w:t>
            </w:r>
          </w:p>
        </w:tc>
      </w:tr>
      <w:tr w:rsidR="0020526E" w:rsidRPr="006A20DF" w14:paraId="32980B2F" w14:textId="77777777" w:rsidTr="009C4DEA">
        <w:trPr>
          <w:trHeight w:val="300"/>
          <w:jc w:val="center"/>
        </w:trPr>
        <w:tc>
          <w:tcPr>
            <w:tcW w:w="701" w:type="pct"/>
          </w:tcPr>
          <w:p w14:paraId="6A577CF7" w14:textId="77777777" w:rsidR="0020526E" w:rsidRPr="006A20DF" w:rsidRDefault="0020526E" w:rsidP="006D2BB3">
            <w:pPr>
              <w:pStyle w:val="Tabletext"/>
              <w:jc w:val="center"/>
              <w:rPr>
                <w:lang w:val="es-ES"/>
              </w:rPr>
            </w:pPr>
            <w:r w:rsidRPr="006A20DF">
              <w:rPr>
                <w:lang w:val="es-ES"/>
              </w:rPr>
              <w:t>1c</w:t>
            </w:r>
          </w:p>
        </w:tc>
        <w:tc>
          <w:tcPr>
            <w:tcW w:w="603" w:type="pct"/>
          </w:tcPr>
          <w:p w14:paraId="3961F70F" w14:textId="77777777" w:rsidR="0020526E" w:rsidRPr="006A20DF" w:rsidRDefault="0020526E" w:rsidP="006D2BB3">
            <w:pPr>
              <w:pStyle w:val="Tabletext"/>
              <w:jc w:val="center"/>
              <w:rPr>
                <w:lang w:val="es-ES"/>
              </w:rPr>
            </w:pPr>
            <w:r w:rsidRPr="006A20DF">
              <w:rPr>
                <w:lang w:val="es-ES"/>
              </w:rPr>
              <w:t>3</w:t>
            </w:r>
          </w:p>
        </w:tc>
        <w:tc>
          <w:tcPr>
            <w:tcW w:w="1049" w:type="pct"/>
          </w:tcPr>
          <w:p w14:paraId="7E4FC06E" w14:textId="7903317C" w:rsidR="0020526E" w:rsidRPr="006A20DF" w:rsidRDefault="0020526E" w:rsidP="006D2BB3">
            <w:pPr>
              <w:pStyle w:val="Tabletext"/>
              <w:jc w:val="right"/>
              <w:rPr>
                <w:lang w:val="es-ES"/>
              </w:rPr>
            </w:pPr>
            <w:r w:rsidRPr="006A20DF">
              <w:rPr>
                <w:lang w:val="es-ES"/>
              </w:rPr>
              <w:t>381</w:t>
            </w:r>
            <w:r w:rsidR="00BB5BBC" w:rsidRPr="006A20DF">
              <w:rPr>
                <w:lang w:val="es-ES"/>
              </w:rPr>
              <w:t> </w:t>
            </w:r>
            <w:r w:rsidRPr="006A20DF">
              <w:rPr>
                <w:lang w:val="es-ES"/>
              </w:rPr>
              <w:t>077</w:t>
            </w:r>
          </w:p>
        </w:tc>
        <w:tc>
          <w:tcPr>
            <w:tcW w:w="1148" w:type="pct"/>
          </w:tcPr>
          <w:p w14:paraId="54962ED3" w14:textId="0FCFC2CC" w:rsidR="0020526E" w:rsidRPr="006A20DF" w:rsidRDefault="0020526E" w:rsidP="006D2BB3">
            <w:pPr>
              <w:pStyle w:val="Tabletext"/>
              <w:jc w:val="right"/>
              <w:rPr>
                <w:lang w:val="es-ES"/>
              </w:rPr>
            </w:pPr>
            <w:r w:rsidRPr="006A20DF">
              <w:rPr>
                <w:lang w:val="es-ES"/>
              </w:rPr>
              <w:t>105</w:t>
            </w:r>
            <w:r w:rsidR="00BB5BBC" w:rsidRPr="006A20DF">
              <w:rPr>
                <w:lang w:val="es-ES"/>
              </w:rPr>
              <w:t> </w:t>
            </w:r>
            <w:r w:rsidRPr="006A20DF">
              <w:rPr>
                <w:lang w:val="es-ES"/>
              </w:rPr>
              <w:t>000</w:t>
            </w:r>
          </w:p>
        </w:tc>
        <w:tc>
          <w:tcPr>
            <w:tcW w:w="1498" w:type="pct"/>
          </w:tcPr>
          <w:p w14:paraId="208F4007" w14:textId="36149A98" w:rsidR="0020526E" w:rsidRPr="006A20DF" w:rsidRDefault="0020526E" w:rsidP="006D2BB3">
            <w:pPr>
              <w:pStyle w:val="Tabletext"/>
              <w:jc w:val="right"/>
              <w:rPr>
                <w:lang w:val="es-ES"/>
              </w:rPr>
            </w:pPr>
            <w:r w:rsidRPr="006A20DF">
              <w:rPr>
                <w:lang w:val="es-ES"/>
              </w:rPr>
              <w:t>486</w:t>
            </w:r>
            <w:r w:rsidR="00BB5BBC" w:rsidRPr="006A20DF">
              <w:rPr>
                <w:lang w:val="es-ES"/>
              </w:rPr>
              <w:t> </w:t>
            </w:r>
            <w:r w:rsidRPr="006A20DF">
              <w:rPr>
                <w:lang w:val="es-ES"/>
              </w:rPr>
              <w:t>077</w:t>
            </w:r>
          </w:p>
        </w:tc>
      </w:tr>
    </w:tbl>
    <w:p w14:paraId="0DF1DE39" w14:textId="77777777" w:rsidR="0020526E" w:rsidRPr="006A20DF" w:rsidRDefault="0020526E" w:rsidP="0020526E">
      <w:pPr>
        <w:pStyle w:val="Tablefin"/>
        <w:rPr>
          <w:lang w:val="es-ES"/>
        </w:rPr>
      </w:pPr>
    </w:p>
    <w:p w14:paraId="12E6E383" w14:textId="77777777" w:rsidR="0020526E" w:rsidRPr="006A20DF" w:rsidRDefault="0020526E" w:rsidP="0020526E">
      <w:pPr>
        <w:pStyle w:val="Tabletitle"/>
        <w:rPr>
          <w:lang w:val="es-ES"/>
        </w:rPr>
      </w:pPr>
      <w:r w:rsidRPr="006A20DF">
        <w:rPr>
          <w:bCs/>
          <w:lang w:val="es-ES"/>
        </w:rPr>
        <w:t>Año 4</w:t>
      </w:r>
    </w:p>
    <w:tbl>
      <w:tblPr>
        <w:tblStyle w:val="TableGrid"/>
        <w:tblW w:w="5000" w:type="pct"/>
        <w:jc w:val="center"/>
        <w:tblLayout w:type="fixed"/>
        <w:tblLook w:val="04A0" w:firstRow="1" w:lastRow="0" w:firstColumn="1" w:lastColumn="0" w:noHBand="0" w:noVBand="1"/>
      </w:tblPr>
      <w:tblGrid>
        <w:gridCol w:w="1352"/>
        <w:gridCol w:w="1163"/>
        <w:gridCol w:w="2021"/>
        <w:gridCol w:w="2212"/>
        <w:gridCol w:w="2887"/>
      </w:tblGrid>
      <w:tr w:rsidR="0020526E" w:rsidRPr="006A20DF" w14:paraId="38BC2956" w14:textId="77777777" w:rsidTr="009C4DEA">
        <w:trPr>
          <w:trHeight w:val="300"/>
          <w:jc w:val="center"/>
        </w:trPr>
        <w:tc>
          <w:tcPr>
            <w:tcW w:w="701" w:type="pct"/>
          </w:tcPr>
          <w:p w14:paraId="3EB2D1E9" w14:textId="77777777" w:rsidR="0020526E" w:rsidRPr="006A20DF" w:rsidRDefault="0020526E" w:rsidP="006D2BB3">
            <w:pPr>
              <w:pStyle w:val="Tablehead"/>
              <w:rPr>
                <w:lang w:val="es-ES"/>
              </w:rPr>
            </w:pPr>
            <w:r w:rsidRPr="006A20DF">
              <w:rPr>
                <w:lang w:val="es-ES"/>
              </w:rPr>
              <w:t>Opción para la sede</w:t>
            </w:r>
          </w:p>
        </w:tc>
        <w:tc>
          <w:tcPr>
            <w:tcW w:w="603" w:type="pct"/>
          </w:tcPr>
          <w:p w14:paraId="6D2BAFC2" w14:textId="77777777" w:rsidR="0020526E" w:rsidRPr="006A20DF" w:rsidRDefault="0020526E" w:rsidP="006D2BB3">
            <w:pPr>
              <w:pStyle w:val="Tablehead"/>
              <w:rPr>
                <w:lang w:val="es-ES"/>
              </w:rPr>
            </w:pPr>
            <w:r w:rsidRPr="006A20DF">
              <w:rPr>
                <w:lang w:val="es-ES"/>
              </w:rPr>
              <w:t>Ctdad. miembros del personal</w:t>
            </w:r>
          </w:p>
        </w:tc>
        <w:tc>
          <w:tcPr>
            <w:tcW w:w="1049" w:type="pct"/>
          </w:tcPr>
          <w:p w14:paraId="400296B2" w14:textId="77777777" w:rsidR="0020526E" w:rsidRPr="006A20DF" w:rsidRDefault="0020526E" w:rsidP="006D2BB3">
            <w:pPr>
              <w:pStyle w:val="Tablehead"/>
              <w:rPr>
                <w:lang w:val="es-ES"/>
              </w:rPr>
            </w:pPr>
            <w:r w:rsidRPr="006A20DF">
              <w:rPr>
                <w:lang w:val="es-ES"/>
              </w:rPr>
              <w:t>Coste anual del personal (CHF)</w:t>
            </w:r>
          </w:p>
        </w:tc>
        <w:tc>
          <w:tcPr>
            <w:tcW w:w="1148" w:type="pct"/>
          </w:tcPr>
          <w:p w14:paraId="3E5BEFD3" w14:textId="77777777" w:rsidR="0020526E" w:rsidRPr="006A20DF" w:rsidRDefault="0020526E" w:rsidP="006D2BB3">
            <w:pPr>
              <w:pStyle w:val="Tablehead"/>
              <w:rPr>
                <w:lang w:val="es-ES"/>
              </w:rPr>
            </w:pPr>
            <w:r w:rsidRPr="006A20DF">
              <w:rPr>
                <w:lang w:val="es-ES"/>
              </w:rPr>
              <w:t>Costes no asociados al personal del cuarto año</w:t>
            </w:r>
          </w:p>
        </w:tc>
        <w:tc>
          <w:tcPr>
            <w:tcW w:w="1498" w:type="pct"/>
          </w:tcPr>
          <w:p w14:paraId="680C3E3A" w14:textId="77777777" w:rsidR="0020526E" w:rsidRPr="006A20DF" w:rsidRDefault="0020526E" w:rsidP="006D2BB3">
            <w:pPr>
              <w:pStyle w:val="Tablehead"/>
              <w:rPr>
                <w:lang w:val="es-ES"/>
              </w:rPr>
            </w:pPr>
            <w:r w:rsidRPr="006A20DF">
              <w:rPr>
                <w:lang w:val="es-ES"/>
              </w:rPr>
              <w:t>Coste total del cuarto año (costes del personal + costes no asociados al personal) (CHF)</w:t>
            </w:r>
          </w:p>
        </w:tc>
      </w:tr>
      <w:tr w:rsidR="0020526E" w:rsidRPr="006A20DF" w14:paraId="356A914D" w14:textId="77777777" w:rsidTr="009C4DEA">
        <w:trPr>
          <w:trHeight w:val="300"/>
          <w:jc w:val="center"/>
        </w:trPr>
        <w:tc>
          <w:tcPr>
            <w:tcW w:w="701" w:type="pct"/>
          </w:tcPr>
          <w:p w14:paraId="258AA228" w14:textId="77777777" w:rsidR="0020526E" w:rsidRPr="006A20DF" w:rsidRDefault="0020526E" w:rsidP="006D2BB3">
            <w:pPr>
              <w:pStyle w:val="Tabletext"/>
              <w:jc w:val="center"/>
              <w:rPr>
                <w:lang w:val="es-ES"/>
              </w:rPr>
            </w:pPr>
            <w:r w:rsidRPr="006A20DF">
              <w:rPr>
                <w:lang w:val="es-ES"/>
              </w:rPr>
              <w:t>1c</w:t>
            </w:r>
          </w:p>
        </w:tc>
        <w:tc>
          <w:tcPr>
            <w:tcW w:w="603" w:type="pct"/>
          </w:tcPr>
          <w:p w14:paraId="527BB12C" w14:textId="77777777" w:rsidR="0020526E" w:rsidRPr="006A20DF" w:rsidRDefault="0020526E" w:rsidP="006D2BB3">
            <w:pPr>
              <w:pStyle w:val="Tabletext"/>
              <w:jc w:val="center"/>
              <w:rPr>
                <w:lang w:val="es-ES"/>
              </w:rPr>
            </w:pPr>
            <w:r w:rsidRPr="006A20DF">
              <w:rPr>
                <w:lang w:val="es-ES"/>
              </w:rPr>
              <w:t>3</w:t>
            </w:r>
          </w:p>
        </w:tc>
        <w:tc>
          <w:tcPr>
            <w:tcW w:w="1049" w:type="pct"/>
          </w:tcPr>
          <w:p w14:paraId="6E48BA40" w14:textId="53D96BB4" w:rsidR="0020526E" w:rsidRPr="006A20DF" w:rsidRDefault="0020526E" w:rsidP="006D2BB3">
            <w:pPr>
              <w:pStyle w:val="Tabletext"/>
              <w:jc w:val="right"/>
              <w:rPr>
                <w:lang w:val="es-ES"/>
              </w:rPr>
            </w:pPr>
            <w:r w:rsidRPr="006A20DF">
              <w:rPr>
                <w:lang w:val="es-ES"/>
              </w:rPr>
              <w:t>381</w:t>
            </w:r>
            <w:r w:rsidR="00BB5BBC" w:rsidRPr="006A20DF">
              <w:rPr>
                <w:lang w:val="es-ES"/>
              </w:rPr>
              <w:t> </w:t>
            </w:r>
            <w:r w:rsidRPr="006A20DF">
              <w:rPr>
                <w:lang w:val="es-ES"/>
              </w:rPr>
              <w:t>077</w:t>
            </w:r>
          </w:p>
        </w:tc>
        <w:tc>
          <w:tcPr>
            <w:tcW w:w="1148" w:type="pct"/>
          </w:tcPr>
          <w:p w14:paraId="771E1E36" w14:textId="1475E65D" w:rsidR="0020526E" w:rsidRPr="006A20DF" w:rsidRDefault="0020526E" w:rsidP="006D2BB3">
            <w:pPr>
              <w:pStyle w:val="Tabletext"/>
              <w:jc w:val="right"/>
              <w:rPr>
                <w:lang w:val="es-ES"/>
              </w:rPr>
            </w:pPr>
            <w:r w:rsidRPr="006A20DF">
              <w:rPr>
                <w:lang w:val="es-ES"/>
              </w:rPr>
              <w:t>65</w:t>
            </w:r>
            <w:r w:rsidR="00BB5BBC" w:rsidRPr="006A20DF">
              <w:rPr>
                <w:lang w:val="es-ES"/>
              </w:rPr>
              <w:t> </w:t>
            </w:r>
            <w:r w:rsidRPr="006A20DF">
              <w:rPr>
                <w:lang w:val="es-ES"/>
              </w:rPr>
              <w:t>583</w:t>
            </w:r>
          </w:p>
        </w:tc>
        <w:tc>
          <w:tcPr>
            <w:tcW w:w="1498" w:type="pct"/>
          </w:tcPr>
          <w:p w14:paraId="5979EC49" w14:textId="58F3A389" w:rsidR="0020526E" w:rsidRPr="006A20DF" w:rsidRDefault="0020526E" w:rsidP="006D2BB3">
            <w:pPr>
              <w:pStyle w:val="Tabletext"/>
              <w:jc w:val="right"/>
              <w:rPr>
                <w:lang w:val="es-ES"/>
              </w:rPr>
            </w:pPr>
            <w:r w:rsidRPr="006A20DF">
              <w:rPr>
                <w:lang w:val="es-ES"/>
              </w:rPr>
              <w:t>446</w:t>
            </w:r>
            <w:r w:rsidR="00BB5BBC" w:rsidRPr="006A20DF">
              <w:rPr>
                <w:lang w:val="es-ES"/>
              </w:rPr>
              <w:t> </w:t>
            </w:r>
            <w:r w:rsidRPr="006A20DF">
              <w:rPr>
                <w:lang w:val="es-ES"/>
              </w:rPr>
              <w:t>660</w:t>
            </w:r>
          </w:p>
        </w:tc>
      </w:tr>
    </w:tbl>
    <w:p w14:paraId="5454F636" w14:textId="77777777" w:rsidR="0020526E" w:rsidRPr="006A20DF" w:rsidRDefault="0020526E" w:rsidP="0020526E">
      <w:pPr>
        <w:pStyle w:val="Tablefin"/>
        <w:rPr>
          <w:lang w:val="es-ES"/>
        </w:rPr>
      </w:pPr>
    </w:p>
    <w:p w14:paraId="5A765B25" w14:textId="65DECE61" w:rsidR="0020526E" w:rsidRPr="006A20DF" w:rsidRDefault="0020526E" w:rsidP="00850852">
      <w:pPr>
        <w:jc w:val="both"/>
        <w:rPr>
          <w:lang w:val="es-ES"/>
        </w:rPr>
      </w:pPr>
      <w:r w:rsidRPr="006A20DF">
        <w:rPr>
          <w:lang w:val="es-ES"/>
        </w:rPr>
        <w:t>Se estima que las repercusiones financieras totales para los cuatro años sean de 1</w:t>
      </w:r>
      <w:r w:rsidR="001C0DCA" w:rsidRPr="006A20DF">
        <w:rPr>
          <w:lang w:val="es-ES"/>
        </w:rPr>
        <w:t> </w:t>
      </w:r>
      <w:r w:rsidRPr="006A20DF">
        <w:rPr>
          <w:lang w:val="es-ES"/>
        </w:rPr>
        <w:t>890</w:t>
      </w:r>
      <w:r w:rsidR="001C0DCA" w:rsidRPr="006A20DF">
        <w:rPr>
          <w:lang w:val="es-ES"/>
        </w:rPr>
        <w:t> </w:t>
      </w:r>
      <w:r w:rsidRPr="006A20DF">
        <w:rPr>
          <w:lang w:val="es-ES"/>
        </w:rPr>
        <w:t>620</w:t>
      </w:r>
      <w:r w:rsidR="001C0DCA" w:rsidRPr="006A20DF">
        <w:rPr>
          <w:lang w:val="es-ES"/>
        </w:rPr>
        <w:t> </w:t>
      </w:r>
      <w:r w:rsidRPr="006A20DF">
        <w:rPr>
          <w:lang w:val="es-ES"/>
        </w:rPr>
        <w:t>CHF.</w:t>
      </w:r>
    </w:p>
    <w:p w14:paraId="09937901" w14:textId="29998A57" w:rsidR="0020526E" w:rsidRPr="006A20DF" w:rsidRDefault="0020526E" w:rsidP="00850852">
      <w:pPr>
        <w:jc w:val="both"/>
        <w:rPr>
          <w:lang w:val="es-ES"/>
        </w:rPr>
      </w:pPr>
      <w:r w:rsidRPr="006A20DF">
        <w:rPr>
          <w:lang w:val="es-ES"/>
        </w:rPr>
        <w:t xml:space="preserve">En los </w:t>
      </w:r>
      <w:hyperlink w:anchor="Annex2" w:history="1">
        <w:r w:rsidRPr="000D09E7">
          <w:rPr>
            <w:rStyle w:val="Hyperlink"/>
            <w:lang w:val="es-ES"/>
          </w:rPr>
          <w:t>Anexos 2</w:t>
        </w:r>
      </w:hyperlink>
      <w:r w:rsidRPr="000D09E7">
        <w:rPr>
          <w:lang w:val="es-ES"/>
        </w:rPr>
        <w:t xml:space="preserve"> y </w:t>
      </w:r>
      <w:hyperlink w:anchor="Annex3" w:history="1">
        <w:r w:rsidRPr="000D09E7">
          <w:rPr>
            <w:rStyle w:val="Hyperlink"/>
            <w:lang w:val="es-ES"/>
          </w:rPr>
          <w:t>3</w:t>
        </w:r>
      </w:hyperlink>
      <w:r w:rsidRPr="006A20DF">
        <w:rPr>
          <w:lang w:val="es-ES"/>
        </w:rPr>
        <w:t xml:space="preserve"> figuran los detalles de los cálculos financieros.</w:t>
      </w:r>
      <w:hyperlink w:anchor="Annex2" w:history="1"/>
      <w:hyperlink w:anchor="Annex3" w:history="1"/>
    </w:p>
    <w:p w14:paraId="7995D7AD" w14:textId="77777777" w:rsidR="0020526E" w:rsidRPr="006A20DF" w:rsidRDefault="0020526E" w:rsidP="00850852">
      <w:pPr>
        <w:jc w:val="both"/>
        <w:rPr>
          <w:lang w:val="es-ES"/>
        </w:rPr>
      </w:pPr>
      <w:r w:rsidRPr="006A20DF">
        <w:rPr>
          <w:lang w:val="es-ES"/>
        </w:rPr>
        <w:t>Se invita a la Conferencia de Plenipotenciarios a examinar el presente informe y ofrecer las pautas apropiadas sobre la creación de una Oficina Zonal de la UIT en el Pacífico.</w:t>
      </w:r>
    </w:p>
    <w:p w14:paraId="04801085" w14:textId="77777777" w:rsidR="0020526E" w:rsidRPr="00850852" w:rsidRDefault="0020526E" w:rsidP="006A20DF">
      <w:pPr>
        <w:spacing w:before="1800"/>
        <w:rPr>
          <w:lang w:val="es-ES"/>
        </w:rPr>
      </w:pPr>
      <w:r w:rsidRPr="00850852">
        <w:rPr>
          <w:b/>
          <w:bCs/>
          <w:lang w:val="es-ES"/>
        </w:rPr>
        <w:t>Anexos</w:t>
      </w:r>
      <w:r w:rsidRPr="00850852">
        <w:rPr>
          <w:lang w:val="es-ES"/>
        </w:rPr>
        <w:t>: 3</w:t>
      </w:r>
    </w:p>
    <w:p w14:paraId="40067DC8" w14:textId="77777777" w:rsidR="0020526E" w:rsidRPr="006A20DF" w:rsidRDefault="0020526E" w:rsidP="0020526E">
      <w:pPr>
        <w:overflowPunct/>
        <w:autoSpaceDE/>
        <w:autoSpaceDN/>
        <w:adjustRightInd/>
        <w:spacing w:before="2160"/>
        <w:jc w:val="both"/>
        <w:textAlignment w:val="auto"/>
        <w:rPr>
          <w:b/>
          <w:bCs/>
          <w:i/>
          <w:iCs/>
          <w:lang w:val="es-ES"/>
        </w:rPr>
      </w:pPr>
      <w:r w:rsidRPr="006A20DF">
        <w:rPr>
          <w:b/>
          <w:bCs/>
          <w:i/>
          <w:iCs/>
          <w:lang w:val="es-ES"/>
        </w:rPr>
        <w:br w:type="page"/>
      </w:r>
    </w:p>
    <w:p w14:paraId="541435BA" w14:textId="77777777" w:rsidR="0020526E" w:rsidRPr="006A20DF" w:rsidRDefault="0020526E" w:rsidP="0020526E">
      <w:pPr>
        <w:pStyle w:val="AnnexNo"/>
        <w:rPr>
          <w:lang w:val="es-ES"/>
        </w:rPr>
      </w:pPr>
      <w:bookmarkStart w:id="8" w:name="Annex1"/>
      <w:bookmarkEnd w:id="8"/>
      <w:r w:rsidRPr="006A20DF">
        <w:rPr>
          <w:lang w:val="es-ES"/>
        </w:rPr>
        <w:lastRenderedPageBreak/>
        <w:t>ANEXO 1</w:t>
      </w:r>
    </w:p>
    <w:p w14:paraId="265DF2C5" w14:textId="77777777" w:rsidR="0020526E" w:rsidRPr="006A20DF" w:rsidRDefault="0020526E" w:rsidP="006A20DF">
      <w:pPr>
        <w:pStyle w:val="Annextitle"/>
        <w:rPr>
          <w:lang w:val="es-ES"/>
        </w:rPr>
      </w:pPr>
      <w:r w:rsidRPr="006A20DF">
        <w:rPr>
          <w:lang w:val="es-ES"/>
        </w:rPr>
        <w:t>Resumen de la valoración de Fiji</w:t>
      </w:r>
    </w:p>
    <w:tbl>
      <w:tblPr>
        <w:tblStyle w:val="TableGrid"/>
        <w:tblW w:w="0" w:type="auto"/>
        <w:tblLayout w:type="fixed"/>
        <w:tblLook w:val="04A0" w:firstRow="1" w:lastRow="0" w:firstColumn="1" w:lastColumn="0" w:noHBand="0" w:noVBand="1"/>
      </w:tblPr>
      <w:tblGrid>
        <w:gridCol w:w="1980"/>
        <w:gridCol w:w="7770"/>
      </w:tblGrid>
      <w:tr w:rsidR="0020526E" w:rsidRPr="006A20DF" w14:paraId="01C8330C" w14:textId="77777777" w:rsidTr="009C4DEA">
        <w:trPr>
          <w:trHeight w:val="300"/>
        </w:trPr>
        <w:tc>
          <w:tcPr>
            <w:tcW w:w="1980" w:type="dxa"/>
          </w:tcPr>
          <w:p w14:paraId="7D372D01" w14:textId="77777777" w:rsidR="0020526E" w:rsidRPr="006A20DF" w:rsidRDefault="0020526E" w:rsidP="006A20DF">
            <w:pPr>
              <w:pStyle w:val="Tablehead"/>
            </w:pPr>
            <w:r w:rsidRPr="006A20DF">
              <w:t>Criterio</w:t>
            </w:r>
          </w:p>
        </w:tc>
        <w:tc>
          <w:tcPr>
            <w:tcW w:w="7770" w:type="dxa"/>
          </w:tcPr>
          <w:p w14:paraId="48C67D78" w14:textId="77777777" w:rsidR="0020526E" w:rsidRPr="006A20DF" w:rsidRDefault="0020526E" w:rsidP="006A20DF">
            <w:pPr>
              <w:pStyle w:val="Tablehead"/>
            </w:pPr>
            <w:r w:rsidRPr="006A20DF">
              <w:t>Evaluación</w:t>
            </w:r>
          </w:p>
        </w:tc>
      </w:tr>
      <w:tr w:rsidR="0020526E" w:rsidRPr="006A20DF" w14:paraId="040AA3F4" w14:textId="77777777" w:rsidTr="009C4DEA">
        <w:trPr>
          <w:trHeight w:val="300"/>
        </w:trPr>
        <w:tc>
          <w:tcPr>
            <w:tcW w:w="1980" w:type="dxa"/>
          </w:tcPr>
          <w:p w14:paraId="785B0DA7" w14:textId="77777777" w:rsidR="0020526E" w:rsidRPr="006A20DF" w:rsidRDefault="0020526E" w:rsidP="001C0DCA">
            <w:pPr>
              <w:pStyle w:val="Tabletext"/>
              <w:rPr>
                <w:lang w:val="es-ES"/>
              </w:rPr>
            </w:pPr>
            <w:r w:rsidRPr="006A20DF">
              <w:rPr>
                <w:lang w:val="es-ES"/>
              </w:rPr>
              <w:t>Pertinencia</w:t>
            </w:r>
          </w:p>
        </w:tc>
        <w:tc>
          <w:tcPr>
            <w:tcW w:w="7770" w:type="dxa"/>
          </w:tcPr>
          <w:p w14:paraId="5827A5A6" w14:textId="77777777" w:rsidR="0020526E" w:rsidRPr="006A20DF" w:rsidRDefault="0020526E" w:rsidP="009C4DEA">
            <w:pPr>
              <w:pStyle w:val="Tabletext"/>
              <w:rPr>
                <w:lang w:val="es-ES"/>
              </w:rPr>
            </w:pPr>
            <w:r w:rsidRPr="006A20DF">
              <w:rPr>
                <w:lang w:val="es-ES"/>
              </w:rPr>
              <w:t>Sector de las TIC más desarrollado en el Pacífico con capacidad para respaldar las necesidades regionales en TIC y las iniciativas de la UIT.</w:t>
            </w:r>
          </w:p>
        </w:tc>
      </w:tr>
      <w:tr w:rsidR="0020526E" w:rsidRPr="006A20DF" w14:paraId="4EF867DB" w14:textId="77777777" w:rsidTr="009C4DEA">
        <w:trPr>
          <w:trHeight w:val="300"/>
        </w:trPr>
        <w:tc>
          <w:tcPr>
            <w:tcW w:w="1980" w:type="dxa"/>
          </w:tcPr>
          <w:p w14:paraId="27408888" w14:textId="77777777" w:rsidR="0020526E" w:rsidRPr="006A20DF" w:rsidRDefault="0020526E" w:rsidP="009C4DEA">
            <w:pPr>
              <w:pStyle w:val="Tabletext"/>
              <w:rPr>
                <w:lang w:val="es-ES"/>
              </w:rPr>
            </w:pPr>
            <w:r w:rsidRPr="006A20DF">
              <w:rPr>
                <w:lang w:val="es-ES"/>
              </w:rPr>
              <w:t>Exclusividad</w:t>
            </w:r>
          </w:p>
        </w:tc>
        <w:tc>
          <w:tcPr>
            <w:tcW w:w="7770" w:type="dxa"/>
          </w:tcPr>
          <w:p w14:paraId="71C2886B" w14:textId="77777777" w:rsidR="0020526E" w:rsidRPr="006A20DF" w:rsidRDefault="0020526E" w:rsidP="009C4DEA">
            <w:pPr>
              <w:pStyle w:val="Tabletext"/>
              <w:rPr>
                <w:lang w:val="es-ES"/>
              </w:rPr>
            </w:pPr>
            <w:r w:rsidRPr="006A20DF">
              <w:rPr>
                <w:lang w:val="es-ES"/>
              </w:rPr>
              <w:t>Ya es sede de oficinas de organismos regionales de las Naciones Unidas; no tiene una presencia subregional de la UIT; evita la duplicación de esfuerzos de la UIT.</w:t>
            </w:r>
          </w:p>
        </w:tc>
      </w:tr>
      <w:tr w:rsidR="0020526E" w:rsidRPr="006A20DF" w14:paraId="7A5CC007" w14:textId="77777777" w:rsidTr="009C4DEA">
        <w:trPr>
          <w:trHeight w:val="300"/>
        </w:trPr>
        <w:tc>
          <w:tcPr>
            <w:tcW w:w="1980" w:type="dxa"/>
          </w:tcPr>
          <w:p w14:paraId="2AB5277C" w14:textId="77777777" w:rsidR="0020526E" w:rsidRPr="006A20DF" w:rsidRDefault="0020526E" w:rsidP="009C4DEA">
            <w:pPr>
              <w:pStyle w:val="Tabletext"/>
              <w:rPr>
                <w:lang w:val="es-ES"/>
              </w:rPr>
            </w:pPr>
            <w:r w:rsidRPr="006A20DF">
              <w:rPr>
                <w:lang w:val="es-ES"/>
              </w:rPr>
              <w:t>Viabilidad</w:t>
            </w:r>
          </w:p>
        </w:tc>
        <w:tc>
          <w:tcPr>
            <w:tcW w:w="7770" w:type="dxa"/>
          </w:tcPr>
          <w:p w14:paraId="02B87B3F" w14:textId="77777777" w:rsidR="0020526E" w:rsidRPr="006A20DF" w:rsidRDefault="0020526E" w:rsidP="009C4DEA">
            <w:pPr>
              <w:pStyle w:val="Tabletext"/>
              <w:rPr>
                <w:lang w:val="es-ES"/>
              </w:rPr>
            </w:pPr>
            <w:r w:rsidRPr="006A20DF">
              <w:rPr>
                <w:lang w:val="es-ES"/>
              </w:rPr>
              <w:t>Fuerte infraestructura, economía estable; El Gobierno de Fiji apoya las operaciones/programas/proyectos de la UIT; El Gobierno de Fiji ha celebrado múltiples eventos de la UIT a nivel nacional y para la región del Pacífico.</w:t>
            </w:r>
          </w:p>
        </w:tc>
      </w:tr>
      <w:tr w:rsidR="0020526E" w:rsidRPr="006A20DF" w14:paraId="01518846" w14:textId="77777777" w:rsidTr="009C4DEA">
        <w:trPr>
          <w:trHeight w:val="300"/>
        </w:trPr>
        <w:tc>
          <w:tcPr>
            <w:tcW w:w="1980" w:type="dxa"/>
          </w:tcPr>
          <w:p w14:paraId="533FC9D3" w14:textId="77777777" w:rsidR="0020526E" w:rsidRPr="006A20DF" w:rsidRDefault="0020526E" w:rsidP="009C4DEA">
            <w:pPr>
              <w:pStyle w:val="Tabletext"/>
              <w:rPr>
                <w:lang w:val="es-ES"/>
              </w:rPr>
            </w:pPr>
            <w:r w:rsidRPr="006A20DF">
              <w:rPr>
                <w:lang w:val="es-ES"/>
              </w:rPr>
              <w:t>Seguridad</w:t>
            </w:r>
          </w:p>
        </w:tc>
        <w:tc>
          <w:tcPr>
            <w:tcW w:w="7770" w:type="dxa"/>
          </w:tcPr>
          <w:p w14:paraId="512E892E" w14:textId="77777777" w:rsidR="0020526E" w:rsidRPr="006A20DF" w:rsidRDefault="0020526E" w:rsidP="009C4DEA">
            <w:pPr>
              <w:pStyle w:val="Tabletext"/>
              <w:rPr>
                <w:lang w:val="es-ES"/>
              </w:rPr>
            </w:pPr>
            <w:r w:rsidRPr="006A20DF">
              <w:rPr>
                <w:lang w:val="es-ES"/>
              </w:rPr>
              <w:t>Departamento de Seguridad: conflicto armado mínimo; nivel mínimo de terrorismo; delincuencia moderada; nivel mínimo de desorden público; alto nivel de riesgo; clasificación basada en la dificultad de las condiciones de vida: A.</w:t>
            </w:r>
          </w:p>
        </w:tc>
      </w:tr>
      <w:tr w:rsidR="0020526E" w:rsidRPr="006A20DF" w14:paraId="6489BDA1" w14:textId="77777777" w:rsidTr="009C4DEA">
        <w:trPr>
          <w:trHeight w:val="300"/>
        </w:trPr>
        <w:tc>
          <w:tcPr>
            <w:tcW w:w="1980" w:type="dxa"/>
          </w:tcPr>
          <w:p w14:paraId="2FE5A1C0" w14:textId="77777777" w:rsidR="0020526E" w:rsidRPr="006A20DF" w:rsidRDefault="0020526E" w:rsidP="009C4DEA">
            <w:pPr>
              <w:pStyle w:val="Tabletext"/>
              <w:rPr>
                <w:lang w:val="es-ES"/>
              </w:rPr>
            </w:pPr>
            <w:r w:rsidRPr="006A20DF">
              <w:rPr>
                <w:lang w:val="es-ES"/>
              </w:rPr>
              <w:t>Proximidad</w:t>
            </w:r>
          </w:p>
        </w:tc>
        <w:tc>
          <w:tcPr>
            <w:tcW w:w="7770" w:type="dxa"/>
          </w:tcPr>
          <w:p w14:paraId="177AFEB2" w14:textId="77777777" w:rsidR="0020526E" w:rsidRPr="006A20DF" w:rsidRDefault="0020526E" w:rsidP="009C4DEA">
            <w:pPr>
              <w:pStyle w:val="Tabletext"/>
              <w:rPr>
                <w:lang w:val="es-ES"/>
              </w:rPr>
            </w:pPr>
            <w:r w:rsidRPr="006A20DF">
              <w:rPr>
                <w:lang w:val="es-ES"/>
              </w:rPr>
              <w:t>Presencia de la Oficina multipaís de las Naciones Unidas; presencia de agencias de desarrollo regionales existentes y organismos de las Naciones Unidas; posibilidad de mejorar las sinergias con los organismos de las Naciones Unidas.</w:t>
            </w:r>
          </w:p>
        </w:tc>
      </w:tr>
      <w:tr w:rsidR="0020526E" w:rsidRPr="006A20DF" w14:paraId="404861EF" w14:textId="77777777" w:rsidTr="009C4DEA">
        <w:trPr>
          <w:trHeight w:val="300"/>
        </w:trPr>
        <w:tc>
          <w:tcPr>
            <w:tcW w:w="1980" w:type="dxa"/>
          </w:tcPr>
          <w:p w14:paraId="133CAC36" w14:textId="77777777" w:rsidR="0020526E" w:rsidRPr="006A20DF" w:rsidRDefault="0020526E" w:rsidP="00205DBE">
            <w:pPr>
              <w:pStyle w:val="Tabletext"/>
              <w:rPr>
                <w:rFonts w:eastAsiaTheme="minorEastAsia"/>
                <w:lang w:val="es-ES"/>
              </w:rPr>
            </w:pPr>
            <w:r w:rsidRPr="006A20DF">
              <w:rPr>
                <w:lang w:val="es-ES"/>
              </w:rPr>
              <w:t>Accesibilidad</w:t>
            </w:r>
          </w:p>
        </w:tc>
        <w:tc>
          <w:tcPr>
            <w:tcW w:w="7770" w:type="dxa"/>
          </w:tcPr>
          <w:p w14:paraId="19A73FD4" w14:textId="77777777" w:rsidR="0020526E" w:rsidRPr="006A20DF" w:rsidRDefault="0020526E" w:rsidP="00205DBE">
            <w:pPr>
              <w:pStyle w:val="Tabletext"/>
              <w:rPr>
                <w:lang w:val="es-ES"/>
              </w:rPr>
            </w:pPr>
            <w:r w:rsidRPr="006A20DF">
              <w:rPr>
                <w:lang w:val="es-ES"/>
              </w:rPr>
              <w:t>Importante centro de transporte internacional; ubicación central con conectividad excelente con las naciones del Pacífico; fácil acceso para la colaboración regional; visado en la llegada para la mayoría de los viajeros internacionales.</w:t>
            </w:r>
          </w:p>
        </w:tc>
      </w:tr>
    </w:tbl>
    <w:p w14:paraId="33E1F753" w14:textId="77777777" w:rsidR="0020526E" w:rsidRPr="006A20DF" w:rsidRDefault="0020526E" w:rsidP="0020526E">
      <w:pPr>
        <w:pStyle w:val="Tablefin"/>
        <w:rPr>
          <w:lang w:val="es-ES"/>
        </w:rPr>
      </w:pPr>
    </w:p>
    <w:p w14:paraId="7ED9FB66" w14:textId="77777777" w:rsidR="0020526E" w:rsidRPr="006A20DF" w:rsidRDefault="0020526E" w:rsidP="006A20DF">
      <w:pPr>
        <w:pStyle w:val="Headingb"/>
        <w:rPr>
          <w:rFonts w:eastAsiaTheme="minorEastAsia"/>
          <w:lang w:val="es-ES"/>
        </w:rPr>
      </w:pPr>
      <w:r w:rsidRPr="006A20DF">
        <w:t>Pertinencia</w:t>
      </w:r>
    </w:p>
    <w:p w14:paraId="0B8E6681" w14:textId="77777777" w:rsidR="0020526E" w:rsidRPr="006A20DF" w:rsidRDefault="0020526E" w:rsidP="00850852">
      <w:pPr>
        <w:jc w:val="both"/>
        <w:rPr>
          <w:lang w:val="es-ES"/>
        </w:rPr>
      </w:pPr>
      <w:r w:rsidRPr="006A20DF">
        <w:rPr>
          <w:lang w:val="es-ES"/>
        </w:rPr>
        <w:t>Fiji es pertinente en el examen de la mejora de la presencia regional de la UIT en el Pacífico debido a su sector de las TIC comparativamente desarrollado y su función establecida como importante centro regional. El país tiene capacidad para atender las necesidades regionales en materia de TIC y las iniciativas de la UIT, y su entorno digital e institucional existente proporciona una base para respaldar una mayor participación con los Estados Miembros del Pacífico.</w:t>
      </w:r>
    </w:p>
    <w:p w14:paraId="70FF0C72" w14:textId="77777777" w:rsidR="0020526E" w:rsidRPr="00DB2B97" w:rsidRDefault="0020526E" w:rsidP="00850852">
      <w:pPr>
        <w:jc w:val="both"/>
        <w:rPr>
          <w:spacing w:val="-2"/>
          <w:lang w:val="es-ES"/>
        </w:rPr>
      </w:pPr>
      <w:r w:rsidRPr="00DB2B97">
        <w:rPr>
          <w:spacing w:val="-2"/>
          <w:lang w:val="es-ES"/>
        </w:rPr>
        <w:t>En el contexto del estudio de viabilidad, la pertinencia de Fiji también guarda relación con su capacidad para actuar de plataforma de colaboración regional. La presencia de instituciones, asociados para el desarrollo y mecanismos de coordinación regional en Fiji contribuye a su posible utilidad como lugar a partir del cual la UIT podría fortalecer su apoyo prestado a múltiples países del Pacífico.</w:t>
      </w:r>
    </w:p>
    <w:p w14:paraId="038D6A5A" w14:textId="77777777" w:rsidR="0020526E" w:rsidRPr="006A20DF" w:rsidRDefault="0020526E" w:rsidP="006A20DF">
      <w:pPr>
        <w:pStyle w:val="Headingb"/>
        <w:rPr>
          <w:rFonts w:eastAsiaTheme="minorEastAsia"/>
          <w:lang w:val="es-ES"/>
        </w:rPr>
      </w:pPr>
      <w:r w:rsidRPr="006A20DF">
        <w:rPr>
          <w:lang w:val="es-ES"/>
        </w:rPr>
        <w:t>Exclusividad</w:t>
      </w:r>
    </w:p>
    <w:p w14:paraId="6335B8C3" w14:textId="77777777" w:rsidR="0020526E" w:rsidRPr="006A20DF" w:rsidRDefault="0020526E" w:rsidP="00850852">
      <w:pPr>
        <w:jc w:val="both"/>
        <w:rPr>
          <w:lang w:val="es-ES"/>
        </w:rPr>
      </w:pPr>
      <w:r w:rsidRPr="006A20DF">
        <w:rPr>
          <w:lang w:val="es-ES"/>
        </w:rPr>
        <w:t>Con respecto a la exclusividad, Fiji ya acoge a varias oficinas regionales de organismos de las Naciones Unidas y asociados para el desarrollo. Sin embargo, no hay una presencia subregional específica de la UIT en Fiji. Por lo tanto, una presencia de la UIT en Fiji no duplicaría a una oficina existente de la Unión en el plano subregional.</w:t>
      </w:r>
    </w:p>
    <w:p w14:paraId="1EFE0847" w14:textId="77777777" w:rsidR="0020526E" w:rsidRPr="006A20DF" w:rsidRDefault="0020526E" w:rsidP="00850852">
      <w:pPr>
        <w:jc w:val="both"/>
        <w:rPr>
          <w:lang w:val="es-ES"/>
        </w:rPr>
      </w:pPr>
      <w:r w:rsidRPr="006A20DF">
        <w:rPr>
          <w:lang w:val="es-ES"/>
        </w:rPr>
        <w:t>La presencia de otros organismos regionales y las Naciones Unidas debería entenderse en este contexto como una oportunidad para la coordinación en lugar de una duplicación de la presencia institucional de la UIT. La mejora de la presencia de la UIT necesitaría ser distinta tanto en su mandato como en su función, contribuyendo al mismo tiempo a una mejor coordinación con las estructuras existentes de las Naciones Unidas y los asociados para el desarrollo.</w:t>
      </w:r>
    </w:p>
    <w:p w14:paraId="129053CD" w14:textId="77777777" w:rsidR="0020526E" w:rsidRPr="006A20DF" w:rsidRDefault="0020526E" w:rsidP="006A20DF">
      <w:pPr>
        <w:pStyle w:val="Headingb"/>
        <w:rPr>
          <w:rFonts w:eastAsiaTheme="minorEastAsia"/>
          <w:lang w:val="es-ES"/>
        </w:rPr>
      </w:pPr>
      <w:r w:rsidRPr="006A20DF">
        <w:rPr>
          <w:lang w:val="es-ES"/>
        </w:rPr>
        <w:lastRenderedPageBreak/>
        <w:t>Viabilidad</w:t>
      </w:r>
    </w:p>
    <w:p w14:paraId="45EBA84E" w14:textId="77777777" w:rsidR="0020526E" w:rsidRPr="006A20DF" w:rsidRDefault="0020526E" w:rsidP="00850852">
      <w:pPr>
        <w:jc w:val="both"/>
        <w:rPr>
          <w:lang w:val="es-ES"/>
        </w:rPr>
      </w:pPr>
      <w:r w:rsidRPr="006A20DF">
        <w:rPr>
          <w:lang w:val="es-ES"/>
        </w:rPr>
        <w:t>Fiji presenta varios elementos pertinentes para la viabilidad. El país goza de una fuerte infraestructura, una economía relativamente estable y una experiencia demostrada en la acogida y el apoyo de actividades regionales y nacionales. El Gobierno de Fiji ha prestado apoyo a las operaciones, los programas y los proyectos de la UIT, y ha acogido múltiples eventos de la Unión, tanto a nivel nacional como para toda la región del Pacífico.</w:t>
      </w:r>
    </w:p>
    <w:p w14:paraId="7CA48117" w14:textId="77777777" w:rsidR="0020526E" w:rsidRPr="006A20DF" w:rsidRDefault="0020526E" w:rsidP="00850852">
      <w:pPr>
        <w:jc w:val="both"/>
        <w:rPr>
          <w:lang w:val="es-ES"/>
        </w:rPr>
      </w:pPr>
      <w:r w:rsidRPr="006A20DF">
        <w:rPr>
          <w:lang w:val="es-ES"/>
        </w:rPr>
        <w:t>Estos factores indican que Fiji ofrece un entorno operacional en el que los requisitos prácticos de la presencia de la UIT podrían ser considerados. La disponibilidad de las infraestructuras, la experiencia con actividades internacionales y regionales, y un compromiso existente con la UIT son factores pertinentes para valorar si los recursos y las condiciones del país anfitrión serían suficientes para respaldar la creación y el funcionamiento sostenido.</w:t>
      </w:r>
    </w:p>
    <w:p w14:paraId="4DF93781" w14:textId="77777777" w:rsidR="0020526E" w:rsidRPr="006A20DF" w:rsidRDefault="0020526E" w:rsidP="006A20DF">
      <w:pPr>
        <w:pStyle w:val="Headingb"/>
        <w:rPr>
          <w:rFonts w:eastAsiaTheme="minorEastAsia"/>
          <w:lang w:val="es-ES"/>
        </w:rPr>
      </w:pPr>
      <w:r w:rsidRPr="006A20DF">
        <w:rPr>
          <w:lang w:val="es-ES"/>
        </w:rPr>
        <w:t>Seguridad</w:t>
      </w:r>
    </w:p>
    <w:p w14:paraId="6CD33C48" w14:textId="77777777" w:rsidR="0020526E" w:rsidRPr="006A20DF" w:rsidRDefault="0020526E" w:rsidP="00850852">
      <w:pPr>
        <w:jc w:val="both"/>
        <w:rPr>
          <w:lang w:val="es-ES"/>
        </w:rPr>
      </w:pPr>
      <w:r w:rsidRPr="006A20DF">
        <w:rPr>
          <w:lang w:val="es-ES"/>
        </w:rPr>
        <w:t>En la evaluación disponible relacionada con el Departamento de Seguridad para Fiji se muestran niveles mínimos de conflicto armado, terrorismo y desorden público, un nivel moderado de delincuencia y un alto nivel de peligro. Fiji también tiene una clasificación de tipo A basada en la dificultad de las condiciones de vida.</w:t>
      </w:r>
    </w:p>
    <w:p w14:paraId="7EBC8FFC" w14:textId="77777777" w:rsidR="0020526E" w:rsidRPr="006A20DF" w:rsidRDefault="0020526E" w:rsidP="00850852">
      <w:pPr>
        <w:jc w:val="both"/>
        <w:rPr>
          <w:lang w:val="es-ES"/>
        </w:rPr>
      </w:pPr>
      <w:r w:rsidRPr="006A20DF">
        <w:rPr>
          <w:lang w:val="es-ES"/>
        </w:rPr>
        <w:t>Según los criterios de seguridad del Consejo de la UIT, estos factores sugieren que Fiji presenta un entorno de seguridad generalmente gestionable, a pesar de que sigue requiriendo debida atención a los peligros naturales y otros requisitos pertinentes de gestión de la seguridad. Toda planificación relativa a la creación tendría que ser coherente con los procesos del Departamento de Seguridad y las normas de seguridad aplicables de las Naciones Unidas.</w:t>
      </w:r>
    </w:p>
    <w:p w14:paraId="22ECC43D" w14:textId="77777777" w:rsidR="0020526E" w:rsidRPr="006A20DF" w:rsidRDefault="0020526E" w:rsidP="006A20DF">
      <w:pPr>
        <w:pStyle w:val="Headingb"/>
        <w:rPr>
          <w:rFonts w:eastAsiaTheme="minorEastAsia"/>
          <w:lang w:val="es-ES"/>
        </w:rPr>
      </w:pPr>
      <w:r w:rsidRPr="006A20DF">
        <w:rPr>
          <w:lang w:val="es-ES"/>
        </w:rPr>
        <w:t>Proximidad</w:t>
      </w:r>
    </w:p>
    <w:p w14:paraId="70311E37" w14:textId="77777777" w:rsidR="0020526E" w:rsidRPr="006A20DF" w:rsidRDefault="0020526E" w:rsidP="00850852">
      <w:pPr>
        <w:jc w:val="both"/>
        <w:rPr>
          <w:lang w:val="es-ES"/>
        </w:rPr>
      </w:pPr>
      <w:r w:rsidRPr="006A20DF">
        <w:rPr>
          <w:lang w:val="es-ES"/>
        </w:rPr>
        <w:t>Fiji presenta ventajas de proximidad debido a su función como centro regional y a la presencia de la Oficina multipaís de las Naciones Unidas. También es sede de varios organismos regionales de desarrollo y organismos de las Naciones Unidas, lo que genera potencial para la mejora de la coordinación y las sinergias con asociados activos en el Pacífico.</w:t>
      </w:r>
    </w:p>
    <w:p w14:paraId="27611DD1" w14:textId="77777777" w:rsidR="0020526E" w:rsidRPr="006A20DF" w:rsidRDefault="0020526E" w:rsidP="00850852">
      <w:pPr>
        <w:jc w:val="both"/>
        <w:rPr>
          <w:rFonts w:eastAsiaTheme="minorEastAsia"/>
          <w:lang w:val="es-ES"/>
        </w:rPr>
      </w:pPr>
      <w:r w:rsidRPr="006A20DF">
        <w:rPr>
          <w:lang w:val="es-ES"/>
        </w:rPr>
        <w:t>A nivel funcional, la proximidad no debe entenderse exclusivamente como una distancia geográfica. También incluye la proximidad con las plataformas de coordinación regional, las instituciones asociadas y los mecanismos mediante los cuales se organiza el apoyo a los Estados Miembros del Pacífico. Partiendo de esta base, Fiji presenta varias características pertinentes para el criterio de proximidad.</w:t>
      </w:r>
    </w:p>
    <w:p w14:paraId="53C19BE3" w14:textId="77777777" w:rsidR="0020526E" w:rsidRPr="006A20DF" w:rsidRDefault="0020526E" w:rsidP="006A20DF">
      <w:pPr>
        <w:pStyle w:val="Headingb"/>
        <w:rPr>
          <w:lang w:val="es-ES"/>
        </w:rPr>
      </w:pPr>
      <w:r w:rsidRPr="006A20DF">
        <w:rPr>
          <w:lang w:val="es-ES"/>
        </w:rPr>
        <w:t>Accesibilidad</w:t>
      </w:r>
    </w:p>
    <w:p w14:paraId="45863FD0" w14:textId="77777777" w:rsidR="0020526E" w:rsidRPr="006A20DF" w:rsidRDefault="0020526E" w:rsidP="00850852">
      <w:pPr>
        <w:jc w:val="both"/>
        <w:rPr>
          <w:lang w:val="es-ES"/>
        </w:rPr>
      </w:pPr>
      <w:r w:rsidRPr="006A20DF">
        <w:rPr>
          <w:lang w:val="es-ES"/>
        </w:rPr>
        <w:t>Fiji tiene sólidas características de accesibilidad en el contexto del Pacífico. Es un importante centro de transporte internacional y tiene una conectividad comparablemente sólida con los países del Pacífico. Esto ofrece ventajas prácticas para la colaboración regional, la participación en reuniones y misiones, y el movimiento del personal y los socios en toda la subregión.</w:t>
      </w:r>
    </w:p>
    <w:p w14:paraId="4A4ADB10" w14:textId="77777777" w:rsidR="0020526E" w:rsidRPr="006A20DF" w:rsidRDefault="0020526E" w:rsidP="00850852">
      <w:pPr>
        <w:jc w:val="both"/>
        <w:rPr>
          <w:rFonts w:eastAsiaTheme="minorEastAsia"/>
          <w:lang w:val="es-ES"/>
        </w:rPr>
      </w:pPr>
      <w:r w:rsidRPr="006A20DF">
        <w:rPr>
          <w:lang w:val="es-ES"/>
        </w:rPr>
        <w:t>La disponibilidad de acuerdos de visados en la llegada al país para muchos viajeros internacionales respalda también la accesibilidad de Fiji. Estos factores son pertinentes para considerar si la presencia de la UIT en Fiji ofrecería conexiones adecuadas con los países a los que serviría la oficina.</w:t>
      </w:r>
    </w:p>
    <w:p w14:paraId="34C2E01C" w14:textId="77777777" w:rsidR="0020526E" w:rsidRPr="006A20DF" w:rsidRDefault="0020526E" w:rsidP="0020526E">
      <w:pPr>
        <w:rPr>
          <w:lang w:val="es-ES"/>
        </w:rPr>
      </w:pPr>
      <w:r w:rsidRPr="006A20DF">
        <w:rPr>
          <w:lang w:val="es-ES"/>
        </w:rPr>
        <w:br w:type="page"/>
      </w:r>
    </w:p>
    <w:p w14:paraId="331C7035" w14:textId="77777777" w:rsidR="0020526E" w:rsidRPr="006A20DF" w:rsidRDefault="0020526E" w:rsidP="0020526E">
      <w:pPr>
        <w:pStyle w:val="AnnexNo"/>
        <w:rPr>
          <w:lang w:val="es-ES"/>
        </w:rPr>
      </w:pPr>
      <w:bookmarkStart w:id="9" w:name="Annex2"/>
      <w:bookmarkEnd w:id="9"/>
      <w:r w:rsidRPr="006A20DF">
        <w:rPr>
          <w:lang w:val="es-ES"/>
        </w:rPr>
        <w:lastRenderedPageBreak/>
        <w:t>ANEXO 2</w:t>
      </w:r>
    </w:p>
    <w:p w14:paraId="65097984" w14:textId="77777777" w:rsidR="0020526E" w:rsidRPr="006A20DF" w:rsidRDefault="0020526E" w:rsidP="006A20DF">
      <w:pPr>
        <w:pStyle w:val="Headingb"/>
        <w:rPr>
          <w:lang w:val="es-ES"/>
        </w:rPr>
      </w:pPr>
      <w:r w:rsidRPr="006A20DF">
        <w:rPr>
          <w:lang w:val="es-ES"/>
        </w:rPr>
        <w:t>Cálculo de los elementos financieros</w:t>
      </w:r>
    </w:p>
    <w:p w14:paraId="3787BC1B" w14:textId="4F6F5DA9" w:rsidR="0020526E" w:rsidRPr="006A20DF" w:rsidRDefault="0020526E" w:rsidP="00850852">
      <w:pPr>
        <w:spacing w:after="120"/>
        <w:jc w:val="both"/>
        <w:rPr>
          <w:lang w:val="es-ES"/>
        </w:rPr>
      </w:pPr>
      <w:r w:rsidRPr="006A20DF">
        <w:rPr>
          <w:lang w:val="es-ES"/>
        </w:rPr>
        <w:t>Para las operaciones de cualquier Oficina de la UIT, en la Regla Financiera 5.1 se establecen 9</w:t>
      </w:r>
      <w:r w:rsidR="00850852">
        <w:rPr>
          <w:lang w:val="es-ES"/>
        </w:rPr>
        <w:t> </w:t>
      </w:r>
      <w:r w:rsidRPr="006A20DF">
        <w:rPr>
          <w:lang w:val="es-ES"/>
        </w:rPr>
        <w:t>categorías de costes, detallados en el siguiente cuadro. El análisis de costes de una posible Oficina de la UIT en Suva (Fiji) se organiza de conformidad con estas categorías de gastos. Esto ofrece un marco coherente para clasificar los componentes de costes del personal y no asociados al personal utilizados ampliamente en los documentos financieros de la UIT.</w:t>
      </w:r>
    </w:p>
    <w:tbl>
      <w:tblPr>
        <w:tblStyle w:val="TableGrid"/>
        <w:tblW w:w="0" w:type="auto"/>
        <w:jc w:val="center"/>
        <w:tblLayout w:type="fixed"/>
        <w:tblLook w:val="04A0" w:firstRow="1" w:lastRow="0" w:firstColumn="1" w:lastColumn="0" w:noHBand="0" w:noVBand="1"/>
      </w:tblPr>
      <w:tblGrid>
        <w:gridCol w:w="1413"/>
        <w:gridCol w:w="2268"/>
        <w:gridCol w:w="6058"/>
      </w:tblGrid>
      <w:tr w:rsidR="0020526E" w:rsidRPr="006A20DF" w14:paraId="26CE343D" w14:textId="77777777" w:rsidTr="009C4DEA">
        <w:trPr>
          <w:cantSplit/>
          <w:tblHeader/>
          <w:jc w:val="center"/>
        </w:trPr>
        <w:tc>
          <w:tcPr>
            <w:tcW w:w="1413" w:type="dxa"/>
          </w:tcPr>
          <w:p w14:paraId="070CCED1" w14:textId="77777777" w:rsidR="0020526E" w:rsidRPr="006A20DF" w:rsidRDefault="0020526E" w:rsidP="00624111">
            <w:pPr>
              <w:pStyle w:val="Tablehead"/>
              <w:rPr>
                <w:lang w:val="es-ES"/>
              </w:rPr>
            </w:pPr>
            <w:r w:rsidRPr="006A20DF">
              <w:rPr>
                <w:lang w:val="es-ES"/>
              </w:rPr>
              <w:t>Categoría</w:t>
            </w:r>
          </w:p>
        </w:tc>
        <w:tc>
          <w:tcPr>
            <w:tcW w:w="2268" w:type="dxa"/>
          </w:tcPr>
          <w:p w14:paraId="1166CA9F" w14:textId="77777777" w:rsidR="0020526E" w:rsidRPr="006A20DF" w:rsidRDefault="0020526E" w:rsidP="00624111">
            <w:pPr>
              <w:pStyle w:val="Tablehead"/>
              <w:rPr>
                <w:lang w:val="es-ES"/>
              </w:rPr>
            </w:pPr>
            <w:r w:rsidRPr="006A20DF">
              <w:rPr>
                <w:lang w:val="es-ES"/>
              </w:rPr>
              <w:t>Categoría de gasto</w:t>
            </w:r>
          </w:p>
        </w:tc>
        <w:tc>
          <w:tcPr>
            <w:tcW w:w="6058" w:type="dxa"/>
          </w:tcPr>
          <w:p w14:paraId="2F77ED0F" w14:textId="77777777" w:rsidR="0020526E" w:rsidRPr="006A20DF" w:rsidRDefault="0020526E" w:rsidP="00624111">
            <w:pPr>
              <w:pStyle w:val="Tablehead"/>
              <w:rPr>
                <w:lang w:val="es-ES"/>
              </w:rPr>
            </w:pPr>
            <w:r w:rsidRPr="006A20DF">
              <w:rPr>
                <w:lang w:val="es-ES"/>
              </w:rPr>
              <w:t>Descripción</w:t>
            </w:r>
          </w:p>
        </w:tc>
      </w:tr>
      <w:tr w:rsidR="0020526E" w:rsidRPr="006A20DF" w14:paraId="4F7D02B5" w14:textId="77777777" w:rsidTr="009C4DEA">
        <w:trPr>
          <w:cantSplit/>
          <w:jc w:val="center"/>
        </w:trPr>
        <w:tc>
          <w:tcPr>
            <w:tcW w:w="1413" w:type="dxa"/>
          </w:tcPr>
          <w:p w14:paraId="4FB6CF31" w14:textId="77777777" w:rsidR="0020526E" w:rsidRPr="006A20DF" w:rsidRDefault="0020526E" w:rsidP="00624111">
            <w:pPr>
              <w:pStyle w:val="Tabletext"/>
              <w:rPr>
                <w:lang w:val="es-ES"/>
              </w:rPr>
            </w:pPr>
            <w:r w:rsidRPr="006A20DF">
              <w:rPr>
                <w:lang w:val="es-ES"/>
              </w:rPr>
              <w:t>Categoría 1</w:t>
            </w:r>
          </w:p>
        </w:tc>
        <w:tc>
          <w:tcPr>
            <w:tcW w:w="2268" w:type="dxa"/>
          </w:tcPr>
          <w:p w14:paraId="33376C22" w14:textId="77777777" w:rsidR="0020526E" w:rsidRPr="006A20DF" w:rsidRDefault="0020526E" w:rsidP="009C4DEA">
            <w:pPr>
              <w:pStyle w:val="Tabletext"/>
              <w:rPr>
                <w:sz w:val="20"/>
                <w:lang w:val="es-ES"/>
              </w:rPr>
            </w:pPr>
            <w:r w:rsidRPr="006A20DF">
              <w:rPr>
                <w:lang w:val="es-ES"/>
              </w:rPr>
              <w:t>Costes del personal, incluidos los sueldos y subsidios</w:t>
            </w:r>
          </w:p>
        </w:tc>
        <w:tc>
          <w:tcPr>
            <w:tcW w:w="6058" w:type="dxa"/>
          </w:tcPr>
          <w:p w14:paraId="703C2C51" w14:textId="77777777" w:rsidR="0020526E" w:rsidRPr="006A20DF" w:rsidRDefault="0020526E" w:rsidP="00667328">
            <w:pPr>
              <w:pStyle w:val="Tabletext"/>
              <w:rPr>
                <w:lang w:val="es-ES"/>
              </w:rPr>
            </w:pPr>
            <w:r w:rsidRPr="006A20DF">
              <w:rPr>
                <w:lang w:val="es-ES"/>
              </w:rPr>
              <w:t>Cubre la remuneración periódica abonada a los titulares de puestos de plantilla y al personal de conferencias y con contratos de corta duración, con exclusión del personal contratado en el marco de acuerdos de servicios especiales Esto incluye el sueldo de base, el ajuste por lugar de destino, la asignación de idiomas y la asignación de no residencia, las ayudas familiares y las horas extraordinarias.</w:t>
            </w:r>
          </w:p>
        </w:tc>
      </w:tr>
      <w:tr w:rsidR="0020526E" w:rsidRPr="006A20DF" w14:paraId="3E9C7BE9" w14:textId="77777777" w:rsidTr="009C4DEA">
        <w:trPr>
          <w:cantSplit/>
          <w:jc w:val="center"/>
        </w:trPr>
        <w:tc>
          <w:tcPr>
            <w:tcW w:w="1413" w:type="dxa"/>
          </w:tcPr>
          <w:p w14:paraId="09DDA729" w14:textId="77777777" w:rsidR="0020526E" w:rsidRPr="006A20DF" w:rsidRDefault="0020526E" w:rsidP="009C4DEA">
            <w:pPr>
              <w:pStyle w:val="Tabletext"/>
              <w:rPr>
                <w:sz w:val="20"/>
                <w:lang w:val="es-ES"/>
              </w:rPr>
            </w:pPr>
            <w:r w:rsidRPr="006A20DF">
              <w:rPr>
                <w:lang w:val="es-ES"/>
              </w:rPr>
              <w:t>Categoría</w:t>
            </w:r>
            <w:r w:rsidRPr="006A20DF">
              <w:rPr>
                <w:color w:val="000000"/>
                <w:sz w:val="20"/>
                <w:lang w:val="es-ES"/>
              </w:rPr>
              <w:t xml:space="preserve"> 2</w:t>
            </w:r>
          </w:p>
        </w:tc>
        <w:tc>
          <w:tcPr>
            <w:tcW w:w="2268" w:type="dxa"/>
          </w:tcPr>
          <w:p w14:paraId="1762755D" w14:textId="77777777" w:rsidR="0020526E" w:rsidRPr="006A20DF" w:rsidRDefault="0020526E" w:rsidP="00624111">
            <w:pPr>
              <w:pStyle w:val="Tabletext"/>
              <w:rPr>
                <w:lang w:val="es-ES"/>
              </w:rPr>
            </w:pPr>
            <w:r w:rsidRPr="006A20DF">
              <w:rPr>
                <w:lang w:val="es-ES"/>
              </w:rPr>
              <w:t>Otros costes del personal</w:t>
            </w:r>
          </w:p>
        </w:tc>
        <w:tc>
          <w:tcPr>
            <w:tcW w:w="6058" w:type="dxa"/>
          </w:tcPr>
          <w:p w14:paraId="373D1D5E" w14:textId="77777777" w:rsidR="0020526E" w:rsidRPr="006A20DF" w:rsidRDefault="0020526E" w:rsidP="009C4DEA">
            <w:pPr>
              <w:pStyle w:val="Tabletext"/>
              <w:rPr>
                <w:lang w:val="es-ES"/>
              </w:rPr>
            </w:pPr>
            <w:r w:rsidRPr="006A20DF">
              <w:rPr>
                <w:lang w:val="es-ES"/>
              </w:rPr>
              <w:t>Cubre los costes relacionados con el personal como la contribución de la Unión a las pensiones y al seguro de enfermedad, el servicio médico de las Naciones Unidas, el seguro colectivo de accidentes, las asignaciones escolares y los gastos de viaje, los viajes con motivo de nombramientos y ceses en el servicio, los subsidios de instalación y repatriación, los viajes al país de origen, las vacaciones acumuladas pagadas, las indemnizaciones por despido y los gastos de mudanza.</w:t>
            </w:r>
          </w:p>
        </w:tc>
      </w:tr>
      <w:tr w:rsidR="0020526E" w:rsidRPr="006A20DF" w14:paraId="0B61AFA5" w14:textId="77777777" w:rsidTr="009C4DEA">
        <w:trPr>
          <w:cantSplit/>
          <w:jc w:val="center"/>
        </w:trPr>
        <w:tc>
          <w:tcPr>
            <w:tcW w:w="1413" w:type="dxa"/>
          </w:tcPr>
          <w:p w14:paraId="144A6E8B" w14:textId="77777777" w:rsidR="0020526E" w:rsidRPr="006A20DF" w:rsidRDefault="0020526E" w:rsidP="00624111">
            <w:pPr>
              <w:pStyle w:val="Tabletext"/>
              <w:rPr>
                <w:lang w:val="es-ES"/>
              </w:rPr>
            </w:pPr>
            <w:r w:rsidRPr="006A20DF">
              <w:rPr>
                <w:lang w:val="es-ES"/>
              </w:rPr>
              <w:t>Categoría 3</w:t>
            </w:r>
          </w:p>
        </w:tc>
        <w:tc>
          <w:tcPr>
            <w:tcW w:w="2268" w:type="dxa"/>
          </w:tcPr>
          <w:p w14:paraId="067F7642" w14:textId="77777777" w:rsidR="0020526E" w:rsidRPr="006A20DF" w:rsidRDefault="0020526E" w:rsidP="00624111">
            <w:pPr>
              <w:pStyle w:val="Tabletext"/>
              <w:rPr>
                <w:lang w:val="es-ES"/>
              </w:rPr>
            </w:pPr>
            <w:r w:rsidRPr="006A20DF">
              <w:rPr>
                <w:lang w:val="es-ES"/>
              </w:rPr>
              <w:t>Viajes en misión</w:t>
            </w:r>
          </w:p>
        </w:tc>
        <w:tc>
          <w:tcPr>
            <w:tcW w:w="6058" w:type="dxa"/>
          </w:tcPr>
          <w:p w14:paraId="62E87873" w14:textId="77777777" w:rsidR="0020526E" w:rsidRPr="006A20DF" w:rsidRDefault="0020526E" w:rsidP="009C4DEA">
            <w:pPr>
              <w:pStyle w:val="Tabletext"/>
              <w:rPr>
                <w:lang w:val="es-ES"/>
              </w:rPr>
            </w:pPr>
            <w:r w:rsidRPr="006A20DF">
              <w:rPr>
                <w:lang w:val="es-ES"/>
              </w:rPr>
              <w:t>Cubre los viajes oficiales para las misiones, conferencias y reuniones, incluidos los billetes de viaje, las dietas, los gastos menores y el seguro. También incluye los viajes de los delegados que asisten a las sesiones del Consejo, las misiones del personal de los Sectores y la Secretaría General y sus consultores, y los programas de becas. Los viajes relacionados con la contratación, las vacaciones en el país de origen y la repatriación están excluidos de esta categoría.</w:t>
            </w:r>
          </w:p>
        </w:tc>
      </w:tr>
      <w:tr w:rsidR="0020526E" w:rsidRPr="006A20DF" w14:paraId="3DA455A7" w14:textId="77777777" w:rsidTr="009C4DEA">
        <w:trPr>
          <w:cantSplit/>
          <w:jc w:val="center"/>
        </w:trPr>
        <w:tc>
          <w:tcPr>
            <w:tcW w:w="1413" w:type="dxa"/>
          </w:tcPr>
          <w:p w14:paraId="3D9BF494" w14:textId="77777777" w:rsidR="0020526E" w:rsidRPr="006A20DF" w:rsidRDefault="0020526E" w:rsidP="009C4DEA">
            <w:pPr>
              <w:pStyle w:val="Tabletext"/>
              <w:rPr>
                <w:lang w:val="es-ES"/>
              </w:rPr>
            </w:pPr>
            <w:r w:rsidRPr="006A20DF">
              <w:rPr>
                <w:lang w:val="es-ES"/>
              </w:rPr>
              <w:t>Categoría 4</w:t>
            </w:r>
          </w:p>
        </w:tc>
        <w:tc>
          <w:tcPr>
            <w:tcW w:w="2268" w:type="dxa"/>
          </w:tcPr>
          <w:p w14:paraId="2302AEFA" w14:textId="77777777" w:rsidR="0020526E" w:rsidRPr="006A20DF" w:rsidRDefault="0020526E" w:rsidP="009C4DEA">
            <w:pPr>
              <w:pStyle w:val="Tabletext"/>
              <w:rPr>
                <w:lang w:val="es-ES"/>
              </w:rPr>
            </w:pPr>
            <w:r w:rsidRPr="006A20DF">
              <w:rPr>
                <w:lang w:val="es-ES"/>
              </w:rPr>
              <w:t>Servicios por contrata</w:t>
            </w:r>
          </w:p>
        </w:tc>
        <w:tc>
          <w:tcPr>
            <w:tcW w:w="6058" w:type="dxa"/>
          </w:tcPr>
          <w:p w14:paraId="38FF8529" w14:textId="77777777" w:rsidR="0020526E" w:rsidRPr="006A20DF" w:rsidRDefault="0020526E" w:rsidP="009C4DEA">
            <w:pPr>
              <w:pStyle w:val="Tabletext"/>
              <w:rPr>
                <w:sz w:val="20"/>
                <w:lang w:val="es-ES"/>
              </w:rPr>
            </w:pPr>
            <w:r w:rsidRPr="006A20DF">
              <w:rPr>
                <w:lang w:val="es-ES"/>
              </w:rPr>
              <w:t>Cubre los gastos, honorarios y viajes desde y hacia el lugar de residencia de los consultores y las empresas contratadas para los trabajos y acuerdos contractuales. Los acuerdos de servicios especiales se incluyen en esta categoría, así como los costes de formación y los servicios comprados externamente como los servicios de impresión e informática.</w:t>
            </w:r>
          </w:p>
        </w:tc>
      </w:tr>
      <w:tr w:rsidR="0020526E" w:rsidRPr="006A20DF" w14:paraId="10B08156" w14:textId="77777777" w:rsidTr="009C4DEA">
        <w:trPr>
          <w:cantSplit/>
          <w:jc w:val="center"/>
        </w:trPr>
        <w:tc>
          <w:tcPr>
            <w:tcW w:w="1413" w:type="dxa"/>
          </w:tcPr>
          <w:p w14:paraId="6476C6C0" w14:textId="77777777" w:rsidR="0020526E" w:rsidRPr="006A20DF" w:rsidRDefault="0020526E" w:rsidP="009C4DEA">
            <w:pPr>
              <w:pStyle w:val="Tabletext"/>
              <w:rPr>
                <w:lang w:val="es-ES"/>
              </w:rPr>
            </w:pPr>
            <w:r w:rsidRPr="006A20DF">
              <w:rPr>
                <w:lang w:val="es-ES"/>
              </w:rPr>
              <w:t>Categoría 5</w:t>
            </w:r>
          </w:p>
        </w:tc>
        <w:tc>
          <w:tcPr>
            <w:tcW w:w="2268" w:type="dxa"/>
          </w:tcPr>
          <w:p w14:paraId="3BB3A0D9" w14:textId="77777777" w:rsidR="0020526E" w:rsidRPr="006A20DF" w:rsidRDefault="0020526E" w:rsidP="009C4DEA">
            <w:pPr>
              <w:pStyle w:val="Tabletext"/>
              <w:rPr>
                <w:lang w:val="es-ES"/>
              </w:rPr>
            </w:pPr>
            <w:r w:rsidRPr="006A20DF">
              <w:rPr>
                <w:lang w:val="es-ES"/>
              </w:rPr>
              <w:t>Alquiler y mantenimiento de instalaciones y equipos</w:t>
            </w:r>
          </w:p>
        </w:tc>
        <w:tc>
          <w:tcPr>
            <w:tcW w:w="6058" w:type="dxa"/>
          </w:tcPr>
          <w:p w14:paraId="752E6A4A" w14:textId="77777777" w:rsidR="0020526E" w:rsidRPr="006A20DF" w:rsidRDefault="0020526E" w:rsidP="009C4DEA">
            <w:pPr>
              <w:pStyle w:val="Tabletext"/>
              <w:rPr>
                <w:sz w:val="20"/>
                <w:lang w:val="es-ES"/>
              </w:rPr>
            </w:pPr>
            <w:r w:rsidRPr="006A20DF">
              <w:rPr>
                <w:lang w:val="es-ES"/>
              </w:rPr>
              <w:t>Cubre el alquiler de las salas de conferencia, las salas de reuniones, los espacios de almacenamiento y aparcamiento, los equipos informáticos y otras máquinas de oficina, así como el mantenimiento de edificios, terrenos, vehículos, equipos técnicos e informáticos y los seguros relacionados contra los incendios, las inundaciones y otros daños.</w:t>
            </w:r>
          </w:p>
        </w:tc>
      </w:tr>
      <w:tr w:rsidR="0020526E" w:rsidRPr="006A20DF" w14:paraId="5D471417" w14:textId="77777777" w:rsidTr="009C4DEA">
        <w:trPr>
          <w:cantSplit/>
          <w:jc w:val="center"/>
        </w:trPr>
        <w:tc>
          <w:tcPr>
            <w:tcW w:w="1413" w:type="dxa"/>
          </w:tcPr>
          <w:p w14:paraId="5E5E7BCF" w14:textId="77777777" w:rsidR="0020526E" w:rsidRPr="006A20DF" w:rsidRDefault="0020526E" w:rsidP="009C4DEA">
            <w:pPr>
              <w:pStyle w:val="Tabletext"/>
              <w:rPr>
                <w:lang w:val="es-ES"/>
              </w:rPr>
            </w:pPr>
            <w:r w:rsidRPr="006A20DF">
              <w:rPr>
                <w:lang w:val="es-ES"/>
              </w:rPr>
              <w:t>Categoría 6</w:t>
            </w:r>
          </w:p>
        </w:tc>
        <w:tc>
          <w:tcPr>
            <w:tcW w:w="2268" w:type="dxa"/>
          </w:tcPr>
          <w:p w14:paraId="69C09D8C" w14:textId="77777777" w:rsidR="0020526E" w:rsidRPr="006A20DF" w:rsidRDefault="0020526E" w:rsidP="009C4DEA">
            <w:pPr>
              <w:pStyle w:val="Tabletext"/>
              <w:rPr>
                <w:lang w:val="es-ES"/>
              </w:rPr>
            </w:pPr>
            <w:r w:rsidRPr="006A20DF">
              <w:rPr>
                <w:lang w:val="es-ES"/>
              </w:rPr>
              <w:t>Materiales y suministros</w:t>
            </w:r>
          </w:p>
        </w:tc>
        <w:tc>
          <w:tcPr>
            <w:tcW w:w="6058" w:type="dxa"/>
          </w:tcPr>
          <w:p w14:paraId="1D68EC89" w14:textId="77777777" w:rsidR="0020526E" w:rsidRPr="006A20DF" w:rsidRDefault="0020526E" w:rsidP="009C4DEA">
            <w:pPr>
              <w:pStyle w:val="Tabletext"/>
              <w:rPr>
                <w:sz w:val="20"/>
                <w:lang w:val="es-ES"/>
              </w:rPr>
            </w:pPr>
            <w:r w:rsidRPr="006A20DF">
              <w:rPr>
                <w:lang w:val="es-ES"/>
              </w:rPr>
              <w:t>Cubre el material de oficina, los insumos de impresión, los formularios, mapas, diarios, libros y sistemas de encuadernación, y los suministros y programas informáticos.</w:t>
            </w:r>
          </w:p>
        </w:tc>
      </w:tr>
      <w:tr w:rsidR="0020526E" w:rsidRPr="006A20DF" w14:paraId="3C026733" w14:textId="77777777" w:rsidTr="009C4DEA">
        <w:trPr>
          <w:cantSplit/>
          <w:jc w:val="center"/>
        </w:trPr>
        <w:tc>
          <w:tcPr>
            <w:tcW w:w="1413" w:type="dxa"/>
          </w:tcPr>
          <w:p w14:paraId="0ADAABC6" w14:textId="77777777" w:rsidR="0020526E" w:rsidRPr="006A20DF" w:rsidRDefault="0020526E" w:rsidP="009C4DEA">
            <w:pPr>
              <w:pStyle w:val="Tabletext"/>
              <w:rPr>
                <w:lang w:val="es-ES"/>
              </w:rPr>
            </w:pPr>
            <w:r w:rsidRPr="006A20DF">
              <w:rPr>
                <w:lang w:val="es-ES"/>
              </w:rPr>
              <w:lastRenderedPageBreak/>
              <w:t>Categoría 7</w:t>
            </w:r>
          </w:p>
        </w:tc>
        <w:tc>
          <w:tcPr>
            <w:tcW w:w="2268" w:type="dxa"/>
          </w:tcPr>
          <w:p w14:paraId="01FC7040" w14:textId="77777777" w:rsidR="0020526E" w:rsidRPr="006A20DF" w:rsidRDefault="0020526E" w:rsidP="009C4DEA">
            <w:pPr>
              <w:pStyle w:val="Tabletext"/>
              <w:rPr>
                <w:lang w:val="es-ES"/>
              </w:rPr>
            </w:pPr>
            <w:r w:rsidRPr="006A20DF">
              <w:rPr>
                <w:lang w:val="es-ES"/>
              </w:rPr>
              <w:t>Adquisición de locales, mobiliario y equipos</w:t>
            </w:r>
          </w:p>
        </w:tc>
        <w:tc>
          <w:tcPr>
            <w:tcW w:w="6058" w:type="dxa"/>
          </w:tcPr>
          <w:p w14:paraId="4C6AE5E5" w14:textId="3C54CC04" w:rsidR="0020526E" w:rsidRPr="006A20DF" w:rsidRDefault="0020526E" w:rsidP="009C4DEA">
            <w:pPr>
              <w:pStyle w:val="Tabletext"/>
              <w:rPr>
                <w:lang w:val="es-ES"/>
              </w:rPr>
            </w:pPr>
            <w:r w:rsidRPr="006A20DF">
              <w:rPr>
                <w:lang w:val="es-ES"/>
              </w:rPr>
              <w:t xml:space="preserve">Cubre elementos de naturaleza capitalizable, como las cuotas para la compra de los edificios y otras instalaciones de la Unión, y la compra de mobiliario, </w:t>
            </w:r>
            <w:r w:rsidR="00D44033" w:rsidRPr="006A20DF">
              <w:rPr>
                <w:lang w:val="es-ES"/>
              </w:rPr>
              <w:t>computadoras</w:t>
            </w:r>
            <w:r w:rsidRPr="006A20DF">
              <w:rPr>
                <w:lang w:val="es-ES"/>
              </w:rPr>
              <w:t xml:space="preserve"> y otros equipos e instalaciones técnicas.</w:t>
            </w:r>
          </w:p>
        </w:tc>
      </w:tr>
      <w:tr w:rsidR="0020526E" w:rsidRPr="006A20DF" w14:paraId="266A3176" w14:textId="77777777" w:rsidTr="009C4DEA">
        <w:trPr>
          <w:cantSplit/>
          <w:jc w:val="center"/>
        </w:trPr>
        <w:tc>
          <w:tcPr>
            <w:tcW w:w="1413" w:type="dxa"/>
          </w:tcPr>
          <w:p w14:paraId="433DD450" w14:textId="77777777" w:rsidR="0020526E" w:rsidRPr="006A20DF" w:rsidRDefault="0020526E" w:rsidP="009C4DEA">
            <w:pPr>
              <w:pStyle w:val="Tabletext"/>
              <w:rPr>
                <w:lang w:val="es-ES"/>
              </w:rPr>
            </w:pPr>
            <w:r w:rsidRPr="006A20DF">
              <w:rPr>
                <w:lang w:val="es-ES"/>
              </w:rPr>
              <w:t>Categoría 8</w:t>
            </w:r>
          </w:p>
        </w:tc>
        <w:tc>
          <w:tcPr>
            <w:tcW w:w="2268" w:type="dxa"/>
          </w:tcPr>
          <w:p w14:paraId="3606D129" w14:textId="77777777" w:rsidR="0020526E" w:rsidRPr="006A20DF" w:rsidRDefault="0020526E" w:rsidP="009C4DEA">
            <w:pPr>
              <w:pStyle w:val="Tabletext"/>
              <w:rPr>
                <w:lang w:val="es-ES"/>
              </w:rPr>
            </w:pPr>
            <w:r w:rsidRPr="006A20DF">
              <w:rPr>
                <w:lang w:val="es-ES"/>
              </w:rPr>
              <w:t>Servicios públicos e instalaciones</w:t>
            </w:r>
          </w:p>
        </w:tc>
        <w:tc>
          <w:tcPr>
            <w:tcW w:w="6058" w:type="dxa"/>
          </w:tcPr>
          <w:p w14:paraId="3E92F267" w14:textId="77777777" w:rsidR="0020526E" w:rsidRPr="006A20DF" w:rsidRDefault="0020526E" w:rsidP="009C4DEA">
            <w:pPr>
              <w:pStyle w:val="Tabletext"/>
              <w:rPr>
                <w:lang w:val="es-ES"/>
              </w:rPr>
            </w:pPr>
            <w:r w:rsidRPr="006A20DF">
              <w:rPr>
                <w:lang w:val="es-ES"/>
              </w:rPr>
              <w:t>Cubre los servicios oficiales como la electricidad, el gas, el agua, los servicios postales, telefónicos y telegráficos, la calefacción y el mantenimiento de edificios.</w:t>
            </w:r>
          </w:p>
        </w:tc>
      </w:tr>
      <w:tr w:rsidR="0020526E" w:rsidRPr="006A20DF" w14:paraId="51D384B9" w14:textId="77777777" w:rsidTr="009C4DEA">
        <w:trPr>
          <w:cantSplit/>
          <w:jc w:val="center"/>
        </w:trPr>
        <w:tc>
          <w:tcPr>
            <w:tcW w:w="1413" w:type="dxa"/>
          </w:tcPr>
          <w:p w14:paraId="52F83FC0" w14:textId="77777777" w:rsidR="0020526E" w:rsidRPr="006A20DF" w:rsidRDefault="0020526E" w:rsidP="009C4DEA">
            <w:pPr>
              <w:pStyle w:val="Tabletext"/>
              <w:rPr>
                <w:lang w:val="es-ES"/>
              </w:rPr>
            </w:pPr>
            <w:r w:rsidRPr="006A20DF">
              <w:rPr>
                <w:lang w:val="es-ES"/>
              </w:rPr>
              <w:t>Categoría 9</w:t>
            </w:r>
          </w:p>
        </w:tc>
        <w:tc>
          <w:tcPr>
            <w:tcW w:w="2268" w:type="dxa"/>
          </w:tcPr>
          <w:p w14:paraId="18B29852" w14:textId="77777777" w:rsidR="0020526E" w:rsidRPr="006A20DF" w:rsidRDefault="0020526E" w:rsidP="00624111">
            <w:pPr>
              <w:pStyle w:val="Tabletext"/>
              <w:rPr>
                <w:lang w:val="es-ES"/>
              </w:rPr>
            </w:pPr>
            <w:r w:rsidRPr="006A20DF">
              <w:rPr>
                <w:lang w:val="es-ES"/>
              </w:rPr>
              <w:t>Auditoría de cuentas, cotizaciones a otros organismos y varios</w:t>
            </w:r>
          </w:p>
        </w:tc>
        <w:tc>
          <w:tcPr>
            <w:tcW w:w="6058" w:type="dxa"/>
          </w:tcPr>
          <w:p w14:paraId="168A4707" w14:textId="77777777" w:rsidR="0020526E" w:rsidRPr="006A20DF" w:rsidRDefault="0020526E" w:rsidP="009C4DEA">
            <w:pPr>
              <w:pStyle w:val="Tabletext"/>
              <w:rPr>
                <w:lang w:val="es-ES"/>
              </w:rPr>
            </w:pPr>
            <w:r w:rsidRPr="006A20DF">
              <w:rPr>
                <w:lang w:val="es-ES"/>
              </w:rPr>
              <w:t>Cubre la auditoría externa anual obligatoria de las cuentas de la Unión y la participación de la UIT en los consejos y servicios interinstitucionales de las Naciones Unidas, incluidos órganos como la Dependencia Común de Inspección, el Comité de Alto Nivel sobre Gestión y la Junta Interinstitucional para Sistemas de Información. También cubre gastos varios que están previstos pero no pueden clasificarse razonablemente en otras categorías, como los gastos de representación y de hospitalidad.</w:t>
            </w:r>
          </w:p>
        </w:tc>
      </w:tr>
    </w:tbl>
    <w:p w14:paraId="3A979B5A" w14:textId="77777777" w:rsidR="0020526E" w:rsidRPr="006A20DF" w:rsidRDefault="0020526E" w:rsidP="0020526E">
      <w:pPr>
        <w:tabs>
          <w:tab w:val="clear" w:pos="567"/>
          <w:tab w:val="clear" w:pos="1134"/>
          <w:tab w:val="clear" w:pos="1701"/>
          <w:tab w:val="clear" w:pos="2268"/>
          <w:tab w:val="clear" w:pos="2835"/>
        </w:tabs>
        <w:overflowPunct/>
        <w:autoSpaceDE/>
        <w:autoSpaceDN/>
        <w:adjustRightInd/>
        <w:spacing w:before="0"/>
        <w:textAlignment w:val="auto"/>
        <w:rPr>
          <w:b/>
          <w:sz w:val="28"/>
          <w:szCs w:val="28"/>
          <w:lang w:val="es-ES"/>
        </w:rPr>
      </w:pPr>
      <w:r w:rsidRPr="006A20DF">
        <w:rPr>
          <w:lang w:val="es-ES"/>
        </w:rPr>
        <w:br w:type="page"/>
      </w:r>
    </w:p>
    <w:p w14:paraId="652FA5FB" w14:textId="12C635E8" w:rsidR="0020526E" w:rsidRPr="006A20DF" w:rsidRDefault="0020526E" w:rsidP="0020526E">
      <w:pPr>
        <w:pStyle w:val="AnnexNo"/>
        <w:rPr>
          <w:lang w:val="es-ES"/>
        </w:rPr>
      </w:pPr>
      <w:bookmarkStart w:id="10" w:name="Annex3"/>
      <w:bookmarkEnd w:id="10"/>
      <w:r w:rsidRPr="006A20DF">
        <w:rPr>
          <w:lang w:val="es-ES"/>
        </w:rPr>
        <w:lastRenderedPageBreak/>
        <w:t>ANEXO 3</w:t>
      </w:r>
    </w:p>
    <w:p w14:paraId="395125C9" w14:textId="77777777" w:rsidR="0020526E" w:rsidRPr="006A20DF" w:rsidRDefault="0020526E" w:rsidP="0053612B">
      <w:pPr>
        <w:pStyle w:val="Tabletitle"/>
        <w:spacing w:before="360"/>
        <w:rPr>
          <w:lang w:val="es-ES"/>
        </w:rPr>
      </w:pPr>
      <w:r w:rsidRPr="006A20DF">
        <w:rPr>
          <w:lang w:val="es-ES"/>
        </w:rPr>
        <w:t>Estimación del sueldo anual por grado y país del personal (CHF)</w:t>
      </w:r>
    </w:p>
    <w:tbl>
      <w:tblPr>
        <w:tblStyle w:val="TableGrid"/>
        <w:tblW w:w="2972" w:type="dxa"/>
        <w:jc w:val="center"/>
        <w:tblLayout w:type="fixed"/>
        <w:tblLook w:val="04A0" w:firstRow="1" w:lastRow="0" w:firstColumn="1" w:lastColumn="0" w:noHBand="0" w:noVBand="1"/>
      </w:tblPr>
      <w:tblGrid>
        <w:gridCol w:w="1129"/>
        <w:gridCol w:w="1843"/>
      </w:tblGrid>
      <w:tr w:rsidR="0020526E" w:rsidRPr="0053612B" w14:paraId="74D2CC50" w14:textId="77777777" w:rsidTr="009C4DEA">
        <w:trPr>
          <w:cantSplit/>
          <w:jc w:val="center"/>
        </w:trPr>
        <w:tc>
          <w:tcPr>
            <w:tcW w:w="1129" w:type="dxa"/>
          </w:tcPr>
          <w:p w14:paraId="79236090" w14:textId="77777777" w:rsidR="0020526E" w:rsidRPr="0053612B" w:rsidRDefault="0020526E" w:rsidP="0053612B">
            <w:pPr>
              <w:pStyle w:val="Tablehead"/>
            </w:pPr>
            <w:r w:rsidRPr="0053612B">
              <w:t>Personal</w:t>
            </w:r>
          </w:p>
        </w:tc>
        <w:tc>
          <w:tcPr>
            <w:tcW w:w="1843" w:type="dxa"/>
          </w:tcPr>
          <w:p w14:paraId="5D3C7EA1" w14:textId="77777777" w:rsidR="0020526E" w:rsidRPr="0053612B" w:rsidRDefault="0020526E" w:rsidP="0053612B">
            <w:pPr>
              <w:pStyle w:val="Tablehead"/>
            </w:pPr>
            <w:r w:rsidRPr="0053612B">
              <w:t>Fiji</w:t>
            </w:r>
          </w:p>
        </w:tc>
      </w:tr>
      <w:tr w:rsidR="0020526E" w:rsidRPr="0053612B" w14:paraId="49807D6D" w14:textId="77777777" w:rsidTr="009C4DEA">
        <w:trPr>
          <w:cantSplit/>
          <w:jc w:val="center"/>
        </w:trPr>
        <w:tc>
          <w:tcPr>
            <w:tcW w:w="1129" w:type="dxa"/>
          </w:tcPr>
          <w:p w14:paraId="55F5137F" w14:textId="77777777" w:rsidR="0020526E" w:rsidRPr="0053612B" w:rsidRDefault="0020526E" w:rsidP="0053612B">
            <w:pPr>
              <w:pStyle w:val="Tabletext"/>
              <w:jc w:val="center"/>
            </w:pPr>
            <w:r w:rsidRPr="0053612B">
              <w:t>P5</w:t>
            </w:r>
          </w:p>
        </w:tc>
        <w:tc>
          <w:tcPr>
            <w:tcW w:w="1843" w:type="dxa"/>
          </w:tcPr>
          <w:p w14:paraId="35F9C17C" w14:textId="0B693965" w:rsidR="0020526E" w:rsidRPr="0053612B" w:rsidRDefault="0020526E" w:rsidP="00DB2B97">
            <w:pPr>
              <w:pStyle w:val="Tabletext"/>
              <w:ind w:right="283"/>
              <w:jc w:val="right"/>
            </w:pPr>
            <w:r w:rsidRPr="0053612B">
              <w:t>193</w:t>
            </w:r>
            <w:r w:rsidR="00713F96" w:rsidRPr="0053612B">
              <w:t> </w:t>
            </w:r>
            <w:r w:rsidRPr="0053612B">
              <w:t>206</w:t>
            </w:r>
          </w:p>
        </w:tc>
      </w:tr>
      <w:tr w:rsidR="0020526E" w:rsidRPr="0053612B" w14:paraId="2689D7E7" w14:textId="77777777" w:rsidTr="009C4DEA">
        <w:trPr>
          <w:cantSplit/>
          <w:jc w:val="center"/>
        </w:trPr>
        <w:tc>
          <w:tcPr>
            <w:tcW w:w="1129" w:type="dxa"/>
          </w:tcPr>
          <w:p w14:paraId="61588E18" w14:textId="77777777" w:rsidR="0020526E" w:rsidRPr="0053612B" w:rsidRDefault="0020526E" w:rsidP="0053612B">
            <w:pPr>
              <w:pStyle w:val="Tabletext"/>
              <w:jc w:val="center"/>
            </w:pPr>
            <w:r w:rsidRPr="0053612B">
              <w:t>P3</w:t>
            </w:r>
          </w:p>
        </w:tc>
        <w:tc>
          <w:tcPr>
            <w:tcW w:w="1843" w:type="dxa"/>
          </w:tcPr>
          <w:p w14:paraId="1D502435" w14:textId="24D2AFBB" w:rsidR="0020526E" w:rsidRPr="0053612B" w:rsidRDefault="0020526E" w:rsidP="00DB2B97">
            <w:pPr>
              <w:pStyle w:val="Tabletext"/>
              <w:ind w:right="283"/>
              <w:jc w:val="right"/>
            </w:pPr>
            <w:r w:rsidRPr="0053612B">
              <w:t>140</w:t>
            </w:r>
            <w:r w:rsidR="00713F96" w:rsidRPr="0053612B">
              <w:t> </w:t>
            </w:r>
            <w:r w:rsidRPr="0053612B">
              <w:t>937</w:t>
            </w:r>
          </w:p>
        </w:tc>
      </w:tr>
      <w:tr w:rsidR="0020526E" w:rsidRPr="0053612B" w14:paraId="1153439B" w14:textId="77777777" w:rsidTr="009C4DEA">
        <w:trPr>
          <w:cantSplit/>
          <w:jc w:val="center"/>
        </w:trPr>
        <w:tc>
          <w:tcPr>
            <w:tcW w:w="1129" w:type="dxa"/>
          </w:tcPr>
          <w:p w14:paraId="112C79CF" w14:textId="77777777" w:rsidR="0020526E" w:rsidRPr="0053612B" w:rsidRDefault="0020526E" w:rsidP="0053612B">
            <w:pPr>
              <w:pStyle w:val="Tabletext"/>
              <w:jc w:val="center"/>
            </w:pPr>
            <w:r w:rsidRPr="0053612B">
              <w:t>G5</w:t>
            </w:r>
          </w:p>
        </w:tc>
        <w:tc>
          <w:tcPr>
            <w:tcW w:w="1843" w:type="dxa"/>
          </w:tcPr>
          <w:p w14:paraId="7249B936" w14:textId="7C0D4548" w:rsidR="0020526E" w:rsidRPr="0053612B" w:rsidRDefault="0020526E" w:rsidP="00DB2B97">
            <w:pPr>
              <w:pStyle w:val="Tabletext"/>
              <w:ind w:right="283"/>
              <w:jc w:val="right"/>
            </w:pPr>
            <w:r w:rsidRPr="0053612B">
              <w:t>46</w:t>
            </w:r>
            <w:r w:rsidR="00713F96" w:rsidRPr="0053612B">
              <w:t> </w:t>
            </w:r>
            <w:r w:rsidRPr="0053612B">
              <w:t>934</w:t>
            </w:r>
          </w:p>
        </w:tc>
      </w:tr>
    </w:tbl>
    <w:p w14:paraId="425555DE" w14:textId="481323B4" w:rsidR="0020526E" w:rsidRPr="006A20DF" w:rsidRDefault="0020526E" w:rsidP="0020526E">
      <w:pPr>
        <w:pStyle w:val="Tablefin"/>
        <w:rPr>
          <w:lang w:val="es-ES"/>
        </w:rPr>
      </w:pPr>
    </w:p>
    <w:p w14:paraId="5ECC0734" w14:textId="77777777" w:rsidR="0020526E" w:rsidRPr="006A20DF" w:rsidRDefault="0020526E" w:rsidP="00721819">
      <w:pPr>
        <w:pStyle w:val="Tabletitle"/>
        <w:rPr>
          <w:lang w:val="es-ES"/>
        </w:rPr>
      </w:pPr>
      <w:r w:rsidRPr="006A20DF">
        <w:rPr>
          <w:lang w:val="es-ES"/>
        </w:rPr>
        <w:t>Estimación presupuestaria total de gastos no relacionados con el personal para las instalaciones de la PIFS (todas con 3 trabajadores)</w:t>
      </w:r>
    </w:p>
    <w:tbl>
      <w:tblPr>
        <w:tblStyle w:val="TableGrid"/>
        <w:tblW w:w="9830" w:type="dxa"/>
        <w:jc w:val="center"/>
        <w:tblLayout w:type="fixed"/>
        <w:tblCellMar>
          <w:left w:w="28" w:type="dxa"/>
          <w:right w:w="28" w:type="dxa"/>
        </w:tblCellMar>
        <w:tblLook w:val="04A0" w:firstRow="1" w:lastRow="0" w:firstColumn="1" w:lastColumn="0" w:noHBand="0" w:noVBand="1"/>
      </w:tblPr>
      <w:tblGrid>
        <w:gridCol w:w="988"/>
        <w:gridCol w:w="2693"/>
        <w:gridCol w:w="1276"/>
        <w:gridCol w:w="1275"/>
        <w:gridCol w:w="1276"/>
        <w:gridCol w:w="1276"/>
        <w:gridCol w:w="1046"/>
      </w:tblGrid>
      <w:tr w:rsidR="0020526E" w:rsidRPr="00874A17" w14:paraId="6EBD5F36" w14:textId="77777777" w:rsidTr="00660F43">
        <w:trPr>
          <w:cantSplit/>
          <w:jc w:val="center"/>
        </w:trPr>
        <w:tc>
          <w:tcPr>
            <w:tcW w:w="988" w:type="dxa"/>
            <w:hideMark/>
          </w:tcPr>
          <w:p w14:paraId="543D42C3" w14:textId="49E2E528" w:rsidR="0020526E" w:rsidRPr="00874A17" w:rsidRDefault="0020526E" w:rsidP="0053612B">
            <w:pPr>
              <w:pStyle w:val="Tablehead"/>
            </w:pPr>
            <w:r w:rsidRPr="00874A17">
              <w:t>Categoría</w:t>
            </w:r>
          </w:p>
        </w:tc>
        <w:tc>
          <w:tcPr>
            <w:tcW w:w="2693" w:type="dxa"/>
            <w:noWrap/>
            <w:hideMark/>
          </w:tcPr>
          <w:p w14:paraId="4D3709C2" w14:textId="77777777" w:rsidR="0020526E" w:rsidRPr="00874A17" w:rsidRDefault="0020526E" w:rsidP="0053612B">
            <w:pPr>
              <w:pStyle w:val="Tablehead"/>
            </w:pPr>
            <w:r w:rsidRPr="00874A17">
              <w:t>Partidas presupuestarias</w:t>
            </w:r>
          </w:p>
        </w:tc>
        <w:tc>
          <w:tcPr>
            <w:tcW w:w="1276" w:type="dxa"/>
            <w:noWrap/>
            <w:hideMark/>
          </w:tcPr>
          <w:p w14:paraId="537E25ED" w14:textId="7E68F3C2" w:rsidR="0020526E" w:rsidRPr="00874A17" w:rsidRDefault="0020526E" w:rsidP="0053612B">
            <w:pPr>
              <w:pStyle w:val="Tablehead"/>
            </w:pPr>
            <w:r w:rsidRPr="00874A17">
              <w:t xml:space="preserve">Presupuesto del año 1 </w:t>
            </w:r>
            <w:r w:rsidR="00850852" w:rsidRPr="00874A17">
              <w:br/>
            </w:r>
            <w:r w:rsidRPr="00874A17">
              <w:t>(CHF)</w:t>
            </w:r>
          </w:p>
        </w:tc>
        <w:tc>
          <w:tcPr>
            <w:tcW w:w="1275" w:type="dxa"/>
            <w:noWrap/>
            <w:hideMark/>
          </w:tcPr>
          <w:p w14:paraId="2981D5C2" w14:textId="1B5C51BD" w:rsidR="0020526E" w:rsidRPr="00874A17" w:rsidRDefault="0020526E" w:rsidP="0053612B">
            <w:pPr>
              <w:pStyle w:val="Tablehead"/>
            </w:pPr>
            <w:r w:rsidRPr="00874A17">
              <w:t xml:space="preserve">Presupuesto del año 2 </w:t>
            </w:r>
            <w:r w:rsidR="00850852" w:rsidRPr="00874A17">
              <w:br/>
            </w:r>
            <w:r w:rsidRPr="00874A17">
              <w:t>(CHF)</w:t>
            </w:r>
          </w:p>
        </w:tc>
        <w:tc>
          <w:tcPr>
            <w:tcW w:w="1276" w:type="dxa"/>
          </w:tcPr>
          <w:p w14:paraId="74F23316" w14:textId="3FB887AB" w:rsidR="0020526E" w:rsidRPr="00874A17" w:rsidRDefault="0020526E" w:rsidP="0053612B">
            <w:pPr>
              <w:pStyle w:val="Tablehead"/>
            </w:pPr>
            <w:r w:rsidRPr="00874A17">
              <w:t xml:space="preserve">Presupuesto del año 3 </w:t>
            </w:r>
            <w:r w:rsidR="00850852" w:rsidRPr="00874A17">
              <w:br/>
            </w:r>
            <w:r w:rsidRPr="00874A17">
              <w:t>(CHF)</w:t>
            </w:r>
          </w:p>
        </w:tc>
        <w:tc>
          <w:tcPr>
            <w:tcW w:w="1276" w:type="dxa"/>
          </w:tcPr>
          <w:p w14:paraId="0A9EDB5E" w14:textId="253973F4" w:rsidR="0020526E" w:rsidRPr="00874A17" w:rsidRDefault="0020526E" w:rsidP="0053612B">
            <w:pPr>
              <w:pStyle w:val="Tablehead"/>
            </w:pPr>
            <w:r w:rsidRPr="00874A17">
              <w:t xml:space="preserve">Presupuesto del año 4 </w:t>
            </w:r>
            <w:r w:rsidR="00850852" w:rsidRPr="00874A17">
              <w:br/>
            </w:r>
            <w:r w:rsidRPr="00874A17">
              <w:t>(CHF)</w:t>
            </w:r>
          </w:p>
        </w:tc>
        <w:tc>
          <w:tcPr>
            <w:tcW w:w="1046" w:type="dxa"/>
          </w:tcPr>
          <w:p w14:paraId="0B5248BE" w14:textId="28222066" w:rsidR="0020526E" w:rsidRPr="00874A17" w:rsidRDefault="0020526E" w:rsidP="0053612B">
            <w:pPr>
              <w:pStyle w:val="Tablehead"/>
            </w:pPr>
            <w:proofErr w:type="gramStart"/>
            <w:r w:rsidRPr="00874A17">
              <w:t>Total</w:t>
            </w:r>
            <w:proofErr w:type="gramEnd"/>
            <w:r w:rsidRPr="00874A17">
              <w:t xml:space="preserve"> para los 4 años </w:t>
            </w:r>
            <w:r w:rsidR="00850852" w:rsidRPr="00874A17">
              <w:br/>
            </w:r>
            <w:r w:rsidRPr="00874A17">
              <w:t>(CHF)</w:t>
            </w:r>
          </w:p>
        </w:tc>
      </w:tr>
      <w:tr w:rsidR="0020526E" w:rsidRPr="00874A17" w14:paraId="12484915" w14:textId="77777777" w:rsidTr="00660F43">
        <w:trPr>
          <w:cantSplit/>
          <w:jc w:val="center"/>
        </w:trPr>
        <w:tc>
          <w:tcPr>
            <w:tcW w:w="988" w:type="dxa"/>
          </w:tcPr>
          <w:p w14:paraId="71FA91AD" w14:textId="77777777" w:rsidR="0020526E" w:rsidRPr="00874A17" w:rsidRDefault="0020526E" w:rsidP="0053612B">
            <w:pPr>
              <w:pStyle w:val="Tabletext"/>
              <w:rPr>
                <w:sz w:val="20"/>
                <w:lang w:val="es-ES"/>
              </w:rPr>
            </w:pPr>
            <w:r w:rsidRPr="00874A17">
              <w:rPr>
                <w:sz w:val="20"/>
                <w:lang w:val="es-ES"/>
              </w:rPr>
              <w:t>Cat. 2</w:t>
            </w:r>
          </w:p>
        </w:tc>
        <w:tc>
          <w:tcPr>
            <w:tcW w:w="2693" w:type="dxa"/>
            <w:noWrap/>
          </w:tcPr>
          <w:p w14:paraId="34B38BD1" w14:textId="77777777" w:rsidR="0020526E" w:rsidRPr="00874A17" w:rsidRDefault="0020526E" w:rsidP="0053612B">
            <w:pPr>
              <w:pStyle w:val="Tabletext"/>
              <w:rPr>
                <w:sz w:val="20"/>
                <w:lang w:val="es-ES"/>
              </w:rPr>
            </w:pPr>
            <w:r w:rsidRPr="00874A17">
              <w:rPr>
                <w:sz w:val="20"/>
                <w:lang w:val="es-ES"/>
              </w:rPr>
              <w:t>Asignación escolar</w:t>
            </w:r>
          </w:p>
        </w:tc>
        <w:tc>
          <w:tcPr>
            <w:tcW w:w="1276" w:type="dxa"/>
            <w:noWrap/>
          </w:tcPr>
          <w:p w14:paraId="67078F0A" w14:textId="56A00A60" w:rsidR="0020526E" w:rsidRPr="00874A17" w:rsidRDefault="0020526E" w:rsidP="00874A17">
            <w:pPr>
              <w:pStyle w:val="Tabletext"/>
              <w:ind w:right="283"/>
              <w:jc w:val="right"/>
              <w:rPr>
                <w:sz w:val="20"/>
                <w:lang w:val="es-ES"/>
              </w:rPr>
            </w:pPr>
            <w:r w:rsidRPr="00874A17">
              <w:rPr>
                <w:sz w:val="20"/>
                <w:lang w:val="es-ES"/>
              </w:rPr>
              <w:t>30</w:t>
            </w:r>
            <w:r w:rsidR="001C0DCA" w:rsidRPr="00874A17">
              <w:rPr>
                <w:sz w:val="20"/>
                <w:lang w:val="es-ES"/>
              </w:rPr>
              <w:t> </w:t>
            </w:r>
            <w:r w:rsidRPr="00874A17">
              <w:rPr>
                <w:sz w:val="20"/>
                <w:lang w:val="es-ES"/>
              </w:rPr>
              <w:t>000</w:t>
            </w:r>
          </w:p>
        </w:tc>
        <w:tc>
          <w:tcPr>
            <w:tcW w:w="1275" w:type="dxa"/>
            <w:noWrap/>
          </w:tcPr>
          <w:p w14:paraId="280762BA" w14:textId="44FC0B45" w:rsidR="0020526E" w:rsidRPr="00874A17" w:rsidRDefault="0020526E" w:rsidP="00874A17">
            <w:pPr>
              <w:pStyle w:val="Tabletext"/>
              <w:ind w:right="283"/>
              <w:jc w:val="right"/>
              <w:rPr>
                <w:sz w:val="20"/>
                <w:lang w:val="es-ES"/>
              </w:rPr>
            </w:pPr>
            <w:r w:rsidRPr="00874A17">
              <w:rPr>
                <w:sz w:val="20"/>
                <w:lang w:val="es-ES"/>
              </w:rPr>
              <w:t>30</w:t>
            </w:r>
            <w:r w:rsidR="001C0DCA" w:rsidRPr="00874A17">
              <w:rPr>
                <w:sz w:val="20"/>
                <w:lang w:val="es-ES"/>
              </w:rPr>
              <w:t> </w:t>
            </w:r>
            <w:r w:rsidRPr="00874A17">
              <w:rPr>
                <w:sz w:val="20"/>
                <w:lang w:val="es-ES"/>
              </w:rPr>
              <w:t>000</w:t>
            </w:r>
          </w:p>
        </w:tc>
        <w:tc>
          <w:tcPr>
            <w:tcW w:w="1276" w:type="dxa"/>
          </w:tcPr>
          <w:p w14:paraId="3E634938" w14:textId="1DD36A8A" w:rsidR="0020526E" w:rsidRPr="00874A17" w:rsidRDefault="0020526E" w:rsidP="00874A17">
            <w:pPr>
              <w:pStyle w:val="Tabletext"/>
              <w:ind w:right="283"/>
              <w:jc w:val="right"/>
              <w:rPr>
                <w:sz w:val="20"/>
                <w:lang w:val="es-ES"/>
              </w:rPr>
            </w:pPr>
            <w:r w:rsidRPr="00874A17">
              <w:rPr>
                <w:sz w:val="20"/>
                <w:lang w:val="es-ES"/>
              </w:rPr>
              <w:t>30</w:t>
            </w:r>
            <w:r w:rsidR="001C0DCA" w:rsidRPr="00874A17">
              <w:rPr>
                <w:sz w:val="20"/>
                <w:lang w:val="es-ES"/>
              </w:rPr>
              <w:t> </w:t>
            </w:r>
            <w:r w:rsidRPr="00874A17">
              <w:rPr>
                <w:sz w:val="20"/>
                <w:lang w:val="es-ES"/>
              </w:rPr>
              <w:t>000</w:t>
            </w:r>
          </w:p>
        </w:tc>
        <w:tc>
          <w:tcPr>
            <w:tcW w:w="1276" w:type="dxa"/>
          </w:tcPr>
          <w:p w14:paraId="01FCC669" w14:textId="11BE8C63" w:rsidR="0020526E" w:rsidRPr="00874A17" w:rsidRDefault="0020526E" w:rsidP="00874A17">
            <w:pPr>
              <w:pStyle w:val="Tabletext"/>
              <w:ind w:right="283"/>
              <w:jc w:val="right"/>
              <w:rPr>
                <w:sz w:val="20"/>
                <w:lang w:val="es-ES"/>
              </w:rPr>
            </w:pPr>
            <w:r w:rsidRPr="00874A17">
              <w:rPr>
                <w:sz w:val="20"/>
                <w:lang w:val="es-ES"/>
              </w:rPr>
              <w:t>30</w:t>
            </w:r>
            <w:r w:rsidR="001C0DCA" w:rsidRPr="00874A17">
              <w:rPr>
                <w:sz w:val="20"/>
                <w:lang w:val="es-ES"/>
              </w:rPr>
              <w:t> </w:t>
            </w:r>
            <w:r w:rsidRPr="00874A17">
              <w:rPr>
                <w:sz w:val="20"/>
                <w:lang w:val="es-ES"/>
              </w:rPr>
              <w:t>000</w:t>
            </w:r>
          </w:p>
        </w:tc>
        <w:tc>
          <w:tcPr>
            <w:tcW w:w="1046" w:type="dxa"/>
          </w:tcPr>
          <w:p w14:paraId="59544E2F" w14:textId="2C74B1FA" w:rsidR="0020526E" w:rsidRPr="00874A17" w:rsidRDefault="0020526E" w:rsidP="00874A17">
            <w:pPr>
              <w:pStyle w:val="Tabletext"/>
              <w:ind w:right="283"/>
              <w:jc w:val="right"/>
              <w:rPr>
                <w:sz w:val="20"/>
                <w:lang w:val="es-ES"/>
              </w:rPr>
            </w:pPr>
            <w:r w:rsidRPr="00874A17">
              <w:rPr>
                <w:sz w:val="20"/>
                <w:lang w:val="es-ES"/>
              </w:rPr>
              <w:t>120</w:t>
            </w:r>
            <w:r w:rsidR="001C0DCA" w:rsidRPr="00874A17">
              <w:rPr>
                <w:sz w:val="20"/>
                <w:lang w:val="es-ES"/>
              </w:rPr>
              <w:t> </w:t>
            </w:r>
            <w:r w:rsidRPr="00874A17">
              <w:rPr>
                <w:sz w:val="20"/>
                <w:lang w:val="es-ES"/>
              </w:rPr>
              <w:t>000</w:t>
            </w:r>
          </w:p>
        </w:tc>
      </w:tr>
      <w:tr w:rsidR="0020526E" w:rsidRPr="00874A17" w14:paraId="7FF0630B" w14:textId="77777777" w:rsidTr="00660F43">
        <w:trPr>
          <w:cantSplit/>
          <w:jc w:val="center"/>
        </w:trPr>
        <w:tc>
          <w:tcPr>
            <w:tcW w:w="988" w:type="dxa"/>
          </w:tcPr>
          <w:p w14:paraId="7A28533D" w14:textId="77777777" w:rsidR="0020526E" w:rsidRPr="00874A17" w:rsidRDefault="0020526E" w:rsidP="0053612B">
            <w:pPr>
              <w:pStyle w:val="Tabletext"/>
              <w:rPr>
                <w:sz w:val="20"/>
                <w:lang w:val="es-ES"/>
              </w:rPr>
            </w:pPr>
            <w:r w:rsidRPr="00874A17">
              <w:rPr>
                <w:sz w:val="20"/>
                <w:lang w:val="es-ES"/>
              </w:rPr>
              <w:t>Cat. 2</w:t>
            </w:r>
          </w:p>
        </w:tc>
        <w:tc>
          <w:tcPr>
            <w:tcW w:w="2693" w:type="dxa"/>
            <w:noWrap/>
          </w:tcPr>
          <w:p w14:paraId="780E363B" w14:textId="77777777" w:rsidR="0020526E" w:rsidRPr="00874A17" w:rsidRDefault="0020526E" w:rsidP="0053612B">
            <w:pPr>
              <w:pStyle w:val="Tabletext"/>
              <w:rPr>
                <w:sz w:val="20"/>
                <w:lang w:val="es-ES"/>
              </w:rPr>
            </w:pPr>
            <w:r w:rsidRPr="00874A17">
              <w:rPr>
                <w:sz w:val="20"/>
                <w:lang w:val="es-ES"/>
              </w:rPr>
              <w:t>Vacaciones al país de origen</w:t>
            </w:r>
          </w:p>
        </w:tc>
        <w:tc>
          <w:tcPr>
            <w:tcW w:w="1276" w:type="dxa"/>
            <w:noWrap/>
          </w:tcPr>
          <w:p w14:paraId="54436500" w14:textId="77777777" w:rsidR="0020526E" w:rsidRPr="00874A17" w:rsidRDefault="0020526E" w:rsidP="00874A17">
            <w:pPr>
              <w:pStyle w:val="Tabletext"/>
              <w:ind w:right="283"/>
              <w:jc w:val="right"/>
              <w:rPr>
                <w:sz w:val="20"/>
                <w:lang w:val="es-ES"/>
              </w:rPr>
            </w:pPr>
            <w:r w:rsidRPr="00874A17">
              <w:rPr>
                <w:sz w:val="20"/>
                <w:lang w:val="es-ES"/>
              </w:rPr>
              <w:t>0</w:t>
            </w:r>
          </w:p>
        </w:tc>
        <w:tc>
          <w:tcPr>
            <w:tcW w:w="1275" w:type="dxa"/>
            <w:noWrap/>
          </w:tcPr>
          <w:p w14:paraId="38869CAC"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1F354D00" w14:textId="03716C40" w:rsidR="0020526E" w:rsidRPr="00874A17" w:rsidRDefault="0020526E" w:rsidP="00874A17">
            <w:pPr>
              <w:pStyle w:val="Tabletext"/>
              <w:ind w:right="283"/>
              <w:jc w:val="right"/>
              <w:rPr>
                <w:sz w:val="20"/>
                <w:lang w:val="es-ES"/>
              </w:rPr>
            </w:pPr>
            <w:r w:rsidRPr="00874A17">
              <w:rPr>
                <w:sz w:val="20"/>
                <w:lang w:val="es-ES"/>
              </w:rPr>
              <w:t>50</w:t>
            </w:r>
            <w:r w:rsidR="001C0DCA" w:rsidRPr="00874A17">
              <w:rPr>
                <w:sz w:val="20"/>
                <w:lang w:val="es-ES"/>
              </w:rPr>
              <w:t> </w:t>
            </w:r>
            <w:r w:rsidRPr="00874A17">
              <w:rPr>
                <w:sz w:val="20"/>
                <w:lang w:val="es-ES"/>
              </w:rPr>
              <w:t>000</w:t>
            </w:r>
          </w:p>
        </w:tc>
        <w:tc>
          <w:tcPr>
            <w:tcW w:w="1276" w:type="dxa"/>
          </w:tcPr>
          <w:p w14:paraId="5AD7BCA9" w14:textId="77777777" w:rsidR="0020526E" w:rsidRPr="00874A17" w:rsidRDefault="0020526E" w:rsidP="00874A17">
            <w:pPr>
              <w:pStyle w:val="Tabletext"/>
              <w:ind w:right="283"/>
              <w:jc w:val="right"/>
              <w:rPr>
                <w:sz w:val="20"/>
                <w:lang w:val="es-ES"/>
              </w:rPr>
            </w:pPr>
            <w:r w:rsidRPr="00874A17">
              <w:rPr>
                <w:sz w:val="20"/>
                <w:lang w:val="es-ES"/>
              </w:rPr>
              <w:t>0</w:t>
            </w:r>
          </w:p>
        </w:tc>
        <w:tc>
          <w:tcPr>
            <w:tcW w:w="1046" w:type="dxa"/>
          </w:tcPr>
          <w:p w14:paraId="216D7A0F" w14:textId="0FDE56E2" w:rsidR="0020526E" w:rsidRPr="00874A17" w:rsidRDefault="0020526E" w:rsidP="00874A17">
            <w:pPr>
              <w:pStyle w:val="Tabletext"/>
              <w:ind w:right="283"/>
              <w:jc w:val="right"/>
              <w:rPr>
                <w:sz w:val="20"/>
                <w:lang w:val="es-ES"/>
              </w:rPr>
            </w:pPr>
            <w:r w:rsidRPr="00874A17">
              <w:rPr>
                <w:sz w:val="20"/>
                <w:lang w:val="es-ES"/>
              </w:rPr>
              <w:t>50</w:t>
            </w:r>
            <w:r w:rsidR="001C0DCA" w:rsidRPr="00874A17">
              <w:rPr>
                <w:sz w:val="20"/>
                <w:lang w:val="es-ES"/>
              </w:rPr>
              <w:t> </w:t>
            </w:r>
            <w:r w:rsidRPr="00874A17">
              <w:rPr>
                <w:sz w:val="20"/>
                <w:lang w:val="es-ES"/>
              </w:rPr>
              <w:t>000</w:t>
            </w:r>
          </w:p>
        </w:tc>
      </w:tr>
      <w:tr w:rsidR="0020526E" w:rsidRPr="00874A17" w14:paraId="0996D014" w14:textId="77777777" w:rsidTr="00660F43">
        <w:trPr>
          <w:cantSplit/>
          <w:jc w:val="center"/>
        </w:trPr>
        <w:tc>
          <w:tcPr>
            <w:tcW w:w="988" w:type="dxa"/>
            <w:noWrap/>
            <w:hideMark/>
          </w:tcPr>
          <w:p w14:paraId="441495C8" w14:textId="77777777" w:rsidR="0020526E" w:rsidRPr="00874A17" w:rsidRDefault="0020526E" w:rsidP="0053612B">
            <w:pPr>
              <w:pStyle w:val="Tabletext"/>
              <w:rPr>
                <w:sz w:val="20"/>
                <w:lang w:val="es-ES"/>
              </w:rPr>
            </w:pPr>
            <w:r w:rsidRPr="00874A17">
              <w:rPr>
                <w:sz w:val="20"/>
                <w:lang w:val="es-ES"/>
              </w:rPr>
              <w:t>Cat. 3</w:t>
            </w:r>
          </w:p>
        </w:tc>
        <w:tc>
          <w:tcPr>
            <w:tcW w:w="2693" w:type="dxa"/>
            <w:noWrap/>
            <w:hideMark/>
          </w:tcPr>
          <w:p w14:paraId="64C2EC00" w14:textId="77777777" w:rsidR="0020526E" w:rsidRPr="00874A17" w:rsidRDefault="0020526E" w:rsidP="0053612B">
            <w:pPr>
              <w:pStyle w:val="Tabletext"/>
              <w:rPr>
                <w:sz w:val="20"/>
                <w:lang w:val="es-ES"/>
              </w:rPr>
            </w:pPr>
            <w:r w:rsidRPr="00874A17">
              <w:rPr>
                <w:sz w:val="20"/>
                <w:lang w:val="es-ES"/>
              </w:rPr>
              <w:t>Costes de misión/Viajes en misión (desde y hacia la sede)</w:t>
            </w:r>
          </w:p>
        </w:tc>
        <w:tc>
          <w:tcPr>
            <w:tcW w:w="1276" w:type="dxa"/>
            <w:noWrap/>
            <w:hideMark/>
          </w:tcPr>
          <w:p w14:paraId="24E4ADBE" w14:textId="77777777" w:rsidR="0020526E" w:rsidRPr="00874A17" w:rsidRDefault="0020526E" w:rsidP="00874A17">
            <w:pPr>
              <w:pStyle w:val="Tabletext"/>
              <w:ind w:right="283"/>
              <w:jc w:val="right"/>
              <w:rPr>
                <w:sz w:val="20"/>
                <w:lang w:val="es-ES"/>
              </w:rPr>
            </w:pPr>
            <w:r w:rsidRPr="00874A17">
              <w:rPr>
                <w:sz w:val="20"/>
                <w:lang w:val="es-ES"/>
              </w:rPr>
              <w:t>0</w:t>
            </w:r>
          </w:p>
        </w:tc>
        <w:tc>
          <w:tcPr>
            <w:tcW w:w="1275" w:type="dxa"/>
            <w:noWrap/>
            <w:hideMark/>
          </w:tcPr>
          <w:p w14:paraId="73EA2185"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7814E0CD"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5401117B" w14:textId="77777777" w:rsidR="0020526E" w:rsidRPr="00874A17" w:rsidRDefault="0020526E" w:rsidP="00874A17">
            <w:pPr>
              <w:pStyle w:val="Tabletext"/>
              <w:ind w:right="283"/>
              <w:jc w:val="right"/>
              <w:rPr>
                <w:sz w:val="20"/>
                <w:lang w:val="es-ES"/>
              </w:rPr>
            </w:pPr>
            <w:r w:rsidRPr="00874A17">
              <w:rPr>
                <w:sz w:val="20"/>
                <w:lang w:val="es-ES"/>
              </w:rPr>
              <w:t>0</w:t>
            </w:r>
          </w:p>
        </w:tc>
        <w:tc>
          <w:tcPr>
            <w:tcW w:w="1046" w:type="dxa"/>
          </w:tcPr>
          <w:p w14:paraId="48088302" w14:textId="77777777" w:rsidR="0020526E" w:rsidRPr="00874A17" w:rsidRDefault="0020526E" w:rsidP="00874A17">
            <w:pPr>
              <w:pStyle w:val="Tabletext"/>
              <w:ind w:right="283"/>
              <w:jc w:val="right"/>
              <w:rPr>
                <w:sz w:val="20"/>
                <w:lang w:val="es-ES"/>
              </w:rPr>
            </w:pPr>
            <w:r w:rsidRPr="00874A17">
              <w:rPr>
                <w:sz w:val="20"/>
                <w:lang w:val="es-ES"/>
              </w:rPr>
              <w:t>0</w:t>
            </w:r>
          </w:p>
        </w:tc>
      </w:tr>
      <w:tr w:rsidR="0020526E" w:rsidRPr="00874A17" w14:paraId="1DD50CAF" w14:textId="77777777" w:rsidTr="00660F43">
        <w:trPr>
          <w:cantSplit/>
          <w:jc w:val="center"/>
        </w:trPr>
        <w:tc>
          <w:tcPr>
            <w:tcW w:w="988" w:type="dxa"/>
            <w:noWrap/>
            <w:hideMark/>
          </w:tcPr>
          <w:p w14:paraId="79B93567" w14:textId="77777777" w:rsidR="0020526E" w:rsidRPr="00874A17" w:rsidRDefault="0020526E" w:rsidP="0053612B">
            <w:pPr>
              <w:pStyle w:val="Tabletext"/>
              <w:rPr>
                <w:sz w:val="20"/>
                <w:lang w:val="es-ES"/>
              </w:rPr>
            </w:pPr>
            <w:r w:rsidRPr="00874A17">
              <w:rPr>
                <w:sz w:val="20"/>
                <w:lang w:val="es-ES"/>
              </w:rPr>
              <w:t>Cat. 3</w:t>
            </w:r>
          </w:p>
        </w:tc>
        <w:tc>
          <w:tcPr>
            <w:tcW w:w="2693" w:type="dxa"/>
            <w:noWrap/>
            <w:hideMark/>
          </w:tcPr>
          <w:p w14:paraId="51429BB7" w14:textId="77777777" w:rsidR="0020526E" w:rsidRPr="00874A17" w:rsidRDefault="0020526E" w:rsidP="0053612B">
            <w:pPr>
              <w:pStyle w:val="Tabletext"/>
              <w:rPr>
                <w:sz w:val="20"/>
                <w:lang w:val="es-ES"/>
              </w:rPr>
            </w:pPr>
            <w:r w:rsidRPr="00874A17">
              <w:rPr>
                <w:sz w:val="20"/>
                <w:lang w:val="es-ES"/>
              </w:rPr>
              <w:t>Viajes en misión para la instalación inicial (desde y hacia la sede)</w:t>
            </w:r>
          </w:p>
        </w:tc>
        <w:tc>
          <w:tcPr>
            <w:tcW w:w="1276" w:type="dxa"/>
            <w:noWrap/>
            <w:hideMark/>
          </w:tcPr>
          <w:p w14:paraId="035C9985" w14:textId="6DD5BFFC" w:rsidR="0020526E" w:rsidRPr="00874A17" w:rsidRDefault="0020526E" w:rsidP="00874A17">
            <w:pPr>
              <w:pStyle w:val="Tabletext"/>
              <w:ind w:right="283"/>
              <w:jc w:val="right"/>
              <w:rPr>
                <w:sz w:val="20"/>
                <w:lang w:val="es-ES"/>
              </w:rPr>
            </w:pPr>
            <w:r w:rsidRPr="00874A17">
              <w:rPr>
                <w:sz w:val="20"/>
                <w:lang w:val="es-ES"/>
              </w:rPr>
              <w:t>7</w:t>
            </w:r>
            <w:r w:rsidR="001C0DCA" w:rsidRPr="00874A17">
              <w:rPr>
                <w:sz w:val="20"/>
                <w:lang w:val="es-ES"/>
              </w:rPr>
              <w:t> </w:t>
            </w:r>
            <w:r w:rsidRPr="00874A17">
              <w:rPr>
                <w:sz w:val="20"/>
                <w:lang w:val="es-ES"/>
              </w:rPr>
              <w:t>286</w:t>
            </w:r>
          </w:p>
        </w:tc>
        <w:tc>
          <w:tcPr>
            <w:tcW w:w="1275" w:type="dxa"/>
            <w:noWrap/>
            <w:hideMark/>
          </w:tcPr>
          <w:p w14:paraId="127A3539"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75587E21"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5EEBC18E" w14:textId="77777777" w:rsidR="0020526E" w:rsidRPr="00874A17" w:rsidRDefault="0020526E" w:rsidP="00874A17">
            <w:pPr>
              <w:pStyle w:val="Tabletext"/>
              <w:ind w:right="283"/>
              <w:jc w:val="right"/>
              <w:rPr>
                <w:sz w:val="20"/>
                <w:lang w:val="es-ES"/>
              </w:rPr>
            </w:pPr>
            <w:r w:rsidRPr="00874A17">
              <w:rPr>
                <w:sz w:val="20"/>
                <w:lang w:val="es-ES"/>
              </w:rPr>
              <w:t>0</w:t>
            </w:r>
          </w:p>
        </w:tc>
        <w:tc>
          <w:tcPr>
            <w:tcW w:w="1046" w:type="dxa"/>
          </w:tcPr>
          <w:p w14:paraId="156D514F" w14:textId="743F0102" w:rsidR="0020526E" w:rsidRPr="00874A17" w:rsidRDefault="0020526E" w:rsidP="00874A17">
            <w:pPr>
              <w:pStyle w:val="Tabletext"/>
              <w:ind w:right="283"/>
              <w:jc w:val="right"/>
              <w:rPr>
                <w:sz w:val="20"/>
                <w:lang w:val="es-ES"/>
              </w:rPr>
            </w:pPr>
            <w:r w:rsidRPr="00874A17">
              <w:rPr>
                <w:sz w:val="20"/>
                <w:lang w:val="es-ES"/>
              </w:rPr>
              <w:t>7</w:t>
            </w:r>
            <w:r w:rsidR="001C0DCA" w:rsidRPr="00874A17">
              <w:rPr>
                <w:sz w:val="20"/>
                <w:lang w:val="es-ES"/>
              </w:rPr>
              <w:t> </w:t>
            </w:r>
            <w:r w:rsidRPr="00874A17">
              <w:rPr>
                <w:sz w:val="20"/>
                <w:lang w:val="es-ES"/>
              </w:rPr>
              <w:t>286</w:t>
            </w:r>
          </w:p>
        </w:tc>
      </w:tr>
      <w:tr w:rsidR="0020526E" w:rsidRPr="00874A17" w14:paraId="1352CFB4" w14:textId="77777777" w:rsidTr="00660F43">
        <w:trPr>
          <w:cantSplit/>
          <w:jc w:val="center"/>
        </w:trPr>
        <w:tc>
          <w:tcPr>
            <w:tcW w:w="988" w:type="dxa"/>
            <w:noWrap/>
            <w:hideMark/>
          </w:tcPr>
          <w:p w14:paraId="115445E8" w14:textId="77777777" w:rsidR="0020526E" w:rsidRPr="00874A17" w:rsidRDefault="0020526E" w:rsidP="0053612B">
            <w:pPr>
              <w:pStyle w:val="Tabletext"/>
              <w:rPr>
                <w:sz w:val="20"/>
                <w:lang w:val="es-ES"/>
              </w:rPr>
            </w:pPr>
            <w:r w:rsidRPr="00874A17">
              <w:rPr>
                <w:sz w:val="20"/>
                <w:lang w:val="es-ES"/>
              </w:rPr>
              <w:t>Cat. 4</w:t>
            </w:r>
          </w:p>
        </w:tc>
        <w:tc>
          <w:tcPr>
            <w:tcW w:w="2693" w:type="dxa"/>
            <w:noWrap/>
            <w:hideMark/>
          </w:tcPr>
          <w:p w14:paraId="690A8ED3" w14:textId="77777777" w:rsidR="0020526E" w:rsidRPr="00874A17" w:rsidRDefault="0020526E" w:rsidP="0053612B">
            <w:pPr>
              <w:pStyle w:val="Tabletext"/>
              <w:rPr>
                <w:sz w:val="20"/>
                <w:lang w:val="es-ES"/>
              </w:rPr>
            </w:pPr>
            <w:r w:rsidRPr="00874A17">
              <w:rPr>
                <w:sz w:val="20"/>
                <w:lang w:val="es-ES"/>
              </w:rPr>
              <w:t>Servicios por contrata</w:t>
            </w:r>
          </w:p>
        </w:tc>
        <w:tc>
          <w:tcPr>
            <w:tcW w:w="1276" w:type="dxa"/>
            <w:noWrap/>
            <w:hideMark/>
          </w:tcPr>
          <w:p w14:paraId="551621AC" w14:textId="77777777" w:rsidR="0020526E" w:rsidRPr="00874A17" w:rsidRDefault="0020526E" w:rsidP="00874A17">
            <w:pPr>
              <w:pStyle w:val="Tabletext"/>
              <w:ind w:right="283"/>
              <w:jc w:val="right"/>
              <w:rPr>
                <w:sz w:val="20"/>
                <w:lang w:val="es-ES"/>
              </w:rPr>
            </w:pPr>
            <w:r w:rsidRPr="00874A17">
              <w:rPr>
                <w:sz w:val="20"/>
                <w:lang w:val="es-ES"/>
              </w:rPr>
              <w:t>0</w:t>
            </w:r>
          </w:p>
        </w:tc>
        <w:tc>
          <w:tcPr>
            <w:tcW w:w="1275" w:type="dxa"/>
            <w:noWrap/>
            <w:hideMark/>
          </w:tcPr>
          <w:p w14:paraId="4D16A856"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7944D7CF"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611827F8" w14:textId="77777777" w:rsidR="0020526E" w:rsidRPr="00874A17" w:rsidRDefault="0020526E" w:rsidP="00874A17">
            <w:pPr>
              <w:pStyle w:val="Tabletext"/>
              <w:ind w:right="283"/>
              <w:jc w:val="right"/>
              <w:rPr>
                <w:sz w:val="20"/>
                <w:lang w:val="es-ES"/>
              </w:rPr>
            </w:pPr>
            <w:r w:rsidRPr="00874A17">
              <w:rPr>
                <w:sz w:val="20"/>
                <w:lang w:val="es-ES"/>
              </w:rPr>
              <w:t>0</w:t>
            </w:r>
          </w:p>
        </w:tc>
        <w:tc>
          <w:tcPr>
            <w:tcW w:w="1046" w:type="dxa"/>
          </w:tcPr>
          <w:p w14:paraId="76C23406" w14:textId="77777777" w:rsidR="0020526E" w:rsidRPr="00874A17" w:rsidRDefault="0020526E" w:rsidP="00874A17">
            <w:pPr>
              <w:pStyle w:val="Tabletext"/>
              <w:ind w:right="283"/>
              <w:jc w:val="right"/>
              <w:rPr>
                <w:sz w:val="20"/>
                <w:lang w:val="es-ES"/>
              </w:rPr>
            </w:pPr>
            <w:r w:rsidRPr="00874A17">
              <w:rPr>
                <w:sz w:val="20"/>
                <w:lang w:val="es-ES"/>
              </w:rPr>
              <w:t>0</w:t>
            </w:r>
          </w:p>
        </w:tc>
      </w:tr>
      <w:tr w:rsidR="0020526E" w:rsidRPr="00874A17" w14:paraId="12A0575D" w14:textId="77777777" w:rsidTr="00660F43">
        <w:trPr>
          <w:cantSplit/>
          <w:jc w:val="center"/>
        </w:trPr>
        <w:tc>
          <w:tcPr>
            <w:tcW w:w="988" w:type="dxa"/>
            <w:noWrap/>
            <w:hideMark/>
          </w:tcPr>
          <w:p w14:paraId="6AF6FA3D" w14:textId="77777777" w:rsidR="0020526E" w:rsidRPr="00874A17" w:rsidRDefault="0020526E" w:rsidP="0053612B">
            <w:pPr>
              <w:pStyle w:val="Tabletext"/>
              <w:rPr>
                <w:sz w:val="20"/>
                <w:lang w:val="es-ES"/>
              </w:rPr>
            </w:pPr>
            <w:r w:rsidRPr="00874A17">
              <w:rPr>
                <w:sz w:val="20"/>
                <w:lang w:val="es-ES"/>
              </w:rPr>
              <w:t>Cat. 5</w:t>
            </w:r>
          </w:p>
        </w:tc>
        <w:tc>
          <w:tcPr>
            <w:tcW w:w="2693" w:type="dxa"/>
            <w:noWrap/>
            <w:hideMark/>
          </w:tcPr>
          <w:p w14:paraId="1FEAEBCD" w14:textId="77777777" w:rsidR="0020526E" w:rsidRPr="00874A17" w:rsidRDefault="0020526E" w:rsidP="0053612B">
            <w:pPr>
              <w:pStyle w:val="Tabletext"/>
              <w:rPr>
                <w:sz w:val="20"/>
                <w:lang w:val="es-ES"/>
              </w:rPr>
            </w:pPr>
            <w:r w:rsidRPr="00874A17">
              <w:rPr>
                <w:sz w:val="20"/>
                <w:lang w:val="es-ES"/>
              </w:rPr>
              <w:t>Alquiler (informática y otros equipos)</w:t>
            </w:r>
          </w:p>
        </w:tc>
        <w:tc>
          <w:tcPr>
            <w:tcW w:w="1276" w:type="dxa"/>
            <w:noWrap/>
            <w:hideMark/>
          </w:tcPr>
          <w:p w14:paraId="1264D1D8" w14:textId="77777777" w:rsidR="0020526E" w:rsidRPr="00874A17" w:rsidRDefault="0020526E" w:rsidP="00874A17">
            <w:pPr>
              <w:pStyle w:val="Tabletext"/>
              <w:ind w:right="283"/>
              <w:jc w:val="right"/>
              <w:rPr>
                <w:sz w:val="20"/>
                <w:lang w:val="es-ES"/>
              </w:rPr>
            </w:pPr>
            <w:r w:rsidRPr="00874A17">
              <w:rPr>
                <w:sz w:val="20"/>
                <w:lang w:val="es-ES"/>
              </w:rPr>
              <w:t>0</w:t>
            </w:r>
          </w:p>
        </w:tc>
        <w:tc>
          <w:tcPr>
            <w:tcW w:w="1275" w:type="dxa"/>
            <w:noWrap/>
            <w:hideMark/>
          </w:tcPr>
          <w:p w14:paraId="40D3120D"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7C685A9B"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4A68DD00" w14:textId="77777777" w:rsidR="0020526E" w:rsidRPr="00874A17" w:rsidRDefault="0020526E" w:rsidP="00874A17">
            <w:pPr>
              <w:pStyle w:val="Tabletext"/>
              <w:ind w:right="283"/>
              <w:jc w:val="right"/>
              <w:rPr>
                <w:sz w:val="20"/>
                <w:lang w:val="es-ES"/>
              </w:rPr>
            </w:pPr>
            <w:r w:rsidRPr="00874A17">
              <w:rPr>
                <w:sz w:val="20"/>
                <w:lang w:val="es-ES"/>
              </w:rPr>
              <w:t>0</w:t>
            </w:r>
          </w:p>
        </w:tc>
        <w:tc>
          <w:tcPr>
            <w:tcW w:w="1046" w:type="dxa"/>
          </w:tcPr>
          <w:p w14:paraId="33F32A08" w14:textId="77777777" w:rsidR="0020526E" w:rsidRPr="00874A17" w:rsidRDefault="0020526E" w:rsidP="00874A17">
            <w:pPr>
              <w:pStyle w:val="Tabletext"/>
              <w:ind w:right="283"/>
              <w:jc w:val="right"/>
              <w:rPr>
                <w:sz w:val="20"/>
                <w:lang w:val="es-ES"/>
              </w:rPr>
            </w:pPr>
            <w:r w:rsidRPr="00874A17">
              <w:rPr>
                <w:sz w:val="20"/>
                <w:lang w:val="es-ES"/>
              </w:rPr>
              <w:t>0</w:t>
            </w:r>
          </w:p>
        </w:tc>
      </w:tr>
      <w:tr w:rsidR="0020526E" w:rsidRPr="00874A17" w14:paraId="48B61730" w14:textId="77777777" w:rsidTr="00660F43">
        <w:trPr>
          <w:cantSplit/>
          <w:jc w:val="center"/>
        </w:trPr>
        <w:tc>
          <w:tcPr>
            <w:tcW w:w="988" w:type="dxa"/>
            <w:noWrap/>
            <w:hideMark/>
          </w:tcPr>
          <w:p w14:paraId="2C445830" w14:textId="77777777" w:rsidR="0020526E" w:rsidRPr="00874A17" w:rsidRDefault="0020526E" w:rsidP="0053612B">
            <w:pPr>
              <w:pStyle w:val="Tabletext"/>
              <w:rPr>
                <w:sz w:val="20"/>
                <w:lang w:val="es-ES"/>
              </w:rPr>
            </w:pPr>
            <w:r w:rsidRPr="00874A17">
              <w:rPr>
                <w:sz w:val="20"/>
                <w:lang w:val="es-ES"/>
              </w:rPr>
              <w:t>Cat. 7</w:t>
            </w:r>
          </w:p>
        </w:tc>
        <w:tc>
          <w:tcPr>
            <w:tcW w:w="2693" w:type="dxa"/>
            <w:noWrap/>
            <w:hideMark/>
          </w:tcPr>
          <w:p w14:paraId="54F7F544" w14:textId="77777777" w:rsidR="0020526E" w:rsidRPr="00874A17" w:rsidRDefault="0020526E" w:rsidP="0053612B">
            <w:pPr>
              <w:pStyle w:val="Tabletext"/>
              <w:rPr>
                <w:sz w:val="20"/>
                <w:lang w:val="es-ES"/>
              </w:rPr>
            </w:pPr>
            <w:r w:rsidRPr="00874A17">
              <w:rPr>
                <w:sz w:val="20"/>
                <w:lang w:val="es-ES"/>
              </w:rPr>
              <w:t>Equipos informáticos (ciclo de vida trienal)</w:t>
            </w:r>
          </w:p>
        </w:tc>
        <w:tc>
          <w:tcPr>
            <w:tcW w:w="1276" w:type="dxa"/>
            <w:noWrap/>
            <w:hideMark/>
          </w:tcPr>
          <w:p w14:paraId="478904A6" w14:textId="1BA84B36" w:rsidR="0020526E" w:rsidRPr="00874A17" w:rsidRDefault="0020526E" w:rsidP="00874A17">
            <w:pPr>
              <w:pStyle w:val="Tabletext"/>
              <w:ind w:right="283"/>
              <w:jc w:val="right"/>
              <w:rPr>
                <w:sz w:val="20"/>
                <w:lang w:val="es-ES"/>
              </w:rPr>
            </w:pPr>
            <w:r w:rsidRPr="00874A17">
              <w:rPr>
                <w:sz w:val="20"/>
                <w:lang w:val="es-ES"/>
              </w:rPr>
              <w:t>10</w:t>
            </w:r>
            <w:r w:rsidR="001C0DCA" w:rsidRPr="00874A17">
              <w:rPr>
                <w:sz w:val="20"/>
                <w:lang w:val="es-ES"/>
              </w:rPr>
              <w:t> </w:t>
            </w:r>
            <w:r w:rsidRPr="00874A17">
              <w:rPr>
                <w:sz w:val="20"/>
                <w:lang w:val="es-ES"/>
              </w:rPr>
              <w:t>583</w:t>
            </w:r>
          </w:p>
        </w:tc>
        <w:tc>
          <w:tcPr>
            <w:tcW w:w="1275" w:type="dxa"/>
            <w:noWrap/>
            <w:hideMark/>
          </w:tcPr>
          <w:p w14:paraId="6E843110"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605B2E11"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25033ABD" w14:textId="42AC9968" w:rsidR="0020526E" w:rsidRPr="00874A17" w:rsidRDefault="0020526E" w:rsidP="00874A17">
            <w:pPr>
              <w:pStyle w:val="Tabletext"/>
              <w:ind w:right="283"/>
              <w:jc w:val="right"/>
              <w:rPr>
                <w:sz w:val="20"/>
                <w:lang w:val="es-ES"/>
              </w:rPr>
            </w:pPr>
            <w:r w:rsidRPr="00874A17">
              <w:rPr>
                <w:sz w:val="20"/>
                <w:lang w:val="es-ES"/>
              </w:rPr>
              <w:t>10</w:t>
            </w:r>
            <w:r w:rsidR="001C0DCA" w:rsidRPr="00874A17">
              <w:rPr>
                <w:sz w:val="20"/>
                <w:lang w:val="es-ES"/>
              </w:rPr>
              <w:t> </w:t>
            </w:r>
            <w:r w:rsidRPr="00874A17">
              <w:rPr>
                <w:sz w:val="20"/>
                <w:lang w:val="es-ES"/>
              </w:rPr>
              <w:t>583</w:t>
            </w:r>
          </w:p>
        </w:tc>
        <w:tc>
          <w:tcPr>
            <w:tcW w:w="1046" w:type="dxa"/>
          </w:tcPr>
          <w:p w14:paraId="07F1221B" w14:textId="02C2896D" w:rsidR="0020526E" w:rsidRPr="00874A17" w:rsidRDefault="0020526E" w:rsidP="00874A17">
            <w:pPr>
              <w:pStyle w:val="Tabletext"/>
              <w:ind w:right="283"/>
              <w:jc w:val="right"/>
              <w:rPr>
                <w:sz w:val="20"/>
                <w:lang w:val="es-ES"/>
              </w:rPr>
            </w:pPr>
            <w:r w:rsidRPr="00874A17">
              <w:rPr>
                <w:sz w:val="20"/>
                <w:lang w:val="es-ES"/>
              </w:rPr>
              <w:t>21</w:t>
            </w:r>
            <w:r w:rsidR="001C0DCA" w:rsidRPr="00874A17">
              <w:rPr>
                <w:sz w:val="20"/>
                <w:lang w:val="es-ES"/>
              </w:rPr>
              <w:t> </w:t>
            </w:r>
            <w:r w:rsidRPr="00874A17">
              <w:rPr>
                <w:sz w:val="20"/>
                <w:lang w:val="es-ES"/>
              </w:rPr>
              <w:t>166</w:t>
            </w:r>
          </w:p>
        </w:tc>
      </w:tr>
      <w:tr w:rsidR="0020526E" w:rsidRPr="00874A17" w14:paraId="486A7133" w14:textId="77777777" w:rsidTr="00660F43">
        <w:trPr>
          <w:cantSplit/>
          <w:jc w:val="center"/>
        </w:trPr>
        <w:tc>
          <w:tcPr>
            <w:tcW w:w="988" w:type="dxa"/>
            <w:noWrap/>
            <w:hideMark/>
          </w:tcPr>
          <w:p w14:paraId="0CA45AD1" w14:textId="77777777" w:rsidR="0020526E" w:rsidRPr="00874A17" w:rsidRDefault="0020526E" w:rsidP="0053612B">
            <w:pPr>
              <w:pStyle w:val="Tabletext"/>
              <w:rPr>
                <w:sz w:val="20"/>
                <w:lang w:val="es-ES"/>
              </w:rPr>
            </w:pPr>
            <w:r w:rsidRPr="00874A17">
              <w:rPr>
                <w:sz w:val="20"/>
                <w:lang w:val="es-ES"/>
              </w:rPr>
              <w:t>Cat. 7</w:t>
            </w:r>
          </w:p>
        </w:tc>
        <w:tc>
          <w:tcPr>
            <w:tcW w:w="2693" w:type="dxa"/>
            <w:noWrap/>
            <w:hideMark/>
          </w:tcPr>
          <w:p w14:paraId="183CB741" w14:textId="77777777" w:rsidR="0020526E" w:rsidRPr="00874A17" w:rsidRDefault="0020526E" w:rsidP="0053612B">
            <w:pPr>
              <w:pStyle w:val="Tabletext"/>
              <w:rPr>
                <w:sz w:val="20"/>
                <w:lang w:val="es-ES"/>
              </w:rPr>
            </w:pPr>
            <w:r w:rsidRPr="00874A17">
              <w:rPr>
                <w:sz w:val="20"/>
                <w:lang w:val="es-ES"/>
              </w:rPr>
              <w:t>Mobiliario (ciclo de vida cuadrienal)</w:t>
            </w:r>
          </w:p>
        </w:tc>
        <w:tc>
          <w:tcPr>
            <w:tcW w:w="1276" w:type="dxa"/>
            <w:noWrap/>
            <w:hideMark/>
          </w:tcPr>
          <w:p w14:paraId="6C4EFC59" w14:textId="77777777" w:rsidR="0020526E" w:rsidRPr="00874A17" w:rsidRDefault="0020526E" w:rsidP="00874A17">
            <w:pPr>
              <w:pStyle w:val="Tabletext"/>
              <w:ind w:right="283"/>
              <w:jc w:val="right"/>
              <w:rPr>
                <w:sz w:val="20"/>
                <w:lang w:val="es-ES"/>
              </w:rPr>
            </w:pPr>
            <w:r w:rsidRPr="00874A17">
              <w:rPr>
                <w:sz w:val="20"/>
                <w:lang w:val="es-ES"/>
              </w:rPr>
              <w:t>0</w:t>
            </w:r>
          </w:p>
        </w:tc>
        <w:tc>
          <w:tcPr>
            <w:tcW w:w="1275" w:type="dxa"/>
            <w:noWrap/>
            <w:hideMark/>
          </w:tcPr>
          <w:p w14:paraId="2D33C3F7"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35F1A848"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12D1ABEC" w14:textId="77777777" w:rsidR="0020526E" w:rsidRPr="00874A17" w:rsidRDefault="0020526E" w:rsidP="00874A17">
            <w:pPr>
              <w:pStyle w:val="Tabletext"/>
              <w:ind w:right="283"/>
              <w:jc w:val="right"/>
              <w:rPr>
                <w:sz w:val="20"/>
                <w:lang w:val="es-ES"/>
              </w:rPr>
            </w:pPr>
            <w:r w:rsidRPr="00874A17">
              <w:rPr>
                <w:sz w:val="20"/>
                <w:lang w:val="es-ES"/>
              </w:rPr>
              <w:t>0</w:t>
            </w:r>
          </w:p>
        </w:tc>
        <w:tc>
          <w:tcPr>
            <w:tcW w:w="1046" w:type="dxa"/>
          </w:tcPr>
          <w:p w14:paraId="10BD4771" w14:textId="77777777" w:rsidR="0020526E" w:rsidRPr="00874A17" w:rsidRDefault="0020526E" w:rsidP="00874A17">
            <w:pPr>
              <w:pStyle w:val="Tabletext"/>
              <w:ind w:right="283"/>
              <w:jc w:val="right"/>
              <w:rPr>
                <w:sz w:val="20"/>
                <w:lang w:val="es-ES"/>
              </w:rPr>
            </w:pPr>
            <w:r w:rsidRPr="00874A17">
              <w:rPr>
                <w:sz w:val="20"/>
                <w:lang w:val="es-ES"/>
              </w:rPr>
              <w:t>0</w:t>
            </w:r>
          </w:p>
        </w:tc>
      </w:tr>
      <w:tr w:rsidR="0020526E" w:rsidRPr="00874A17" w14:paraId="4A60F450" w14:textId="77777777" w:rsidTr="00660F43">
        <w:trPr>
          <w:cantSplit/>
          <w:jc w:val="center"/>
        </w:trPr>
        <w:tc>
          <w:tcPr>
            <w:tcW w:w="988" w:type="dxa"/>
            <w:noWrap/>
            <w:hideMark/>
          </w:tcPr>
          <w:p w14:paraId="36857F61" w14:textId="77777777" w:rsidR="0020526E" w:rsidRPr="00874A17" w:rsidRDefault="0020526E" w:rsidP="0053612B">
            <w:pPr>
              <w:pStyle w:val="Tabletext"/>
              <w:rPr>
                <w:sz w:val="20"/>
                <w:lang w:val="es-ES"/>
              </w:rPr>
            </w:pPr>
            <w:r w:rsidRPr="00874A17">
              <w:rPr>
                <w:sz w:val="20"/>
                <w:lang w:val="es-ES"/>
              </w:rPr>
              <w:t>Cat. 7</w:t>
            </w:r>
          </w:p>
        </w:tc>
        <w:tc>
          <w:tcPr>
            <w:tcW w:w="2693" w:type="dxa"/>
            <w:noWrap/>
            <w:hideMark/>
          </w:tcPr>
          <w:p w14:paraId="3A747B83" w14:textId="77777777" w:rsidR="0020526E" w:rsidRPr="00874A17" w:rsidRDefault="0020526E" w:rsidP="0053612B">
            <w:pPr>
              <w:pStyle w:val="Tabletext"/>
              <w:rPr>
                <w:sz w:val="20"/>
                <w:lang w:val="es-ES"/>
              </w:rPr>
            </w:pPr>
            <w:r w:rsidRPr="00874A17">
              <w:rPr>
                <w:sz w:val="20"/>
                <w:lang w:val="es-ES"/>
              </w:rPr>
              <w:t>Instalación</w:t>
            </w:r>
          </w:p>
        </w:tc>
        <w:tc>
          <w:tcPr>
            <w:tcW w:w="1276" w:type="dxa"/>
            <w:noWrap/>
            <w:hideMark/>
          </w:tcPr>
          <w:p w14:paraId="21B3312D" w14:textId="29553ACD" w:rsidR="0020526E" w:rsidRPr="00874A17" w:rsidRDefault="0020526E" w:rsidP="00874A17">
            <w:pPr>
              <w:pStyle w:val="Tabletext"/>
              <w:ind w:right="283"/>
              <w:jc w:val="right"/>
              <w:rPr>
                <w:sz w:val="20"/>
                <w:lang w:val="es-ES"/>
              </w:rPr>
            </w:pPr>
            <w:r w:rsidRPr="00874A17">
              <w:rPr>
                <w:sz w:val="20"/>
                <w:lang w:val="es-ES"/>
              </w:rPr>
              <w:t>21</w:t>
            </w:r>
            <w:r w:rsidR="001C0DCA" w:rsidRPr="00874A17">
              <w:rPr>
                <w:sz w:val="20"/>
                <w:lang w:val="es-ES"/>
              </w:rPr>
              <w:t> </w:t>
            </w:r>
            <w:r w:rsidRPr="00874A17">
              <w:rPr>
                <w:sz w:val="20"/>
                <w:lang w:val="es-ES"/>
              </w:rPr>
              <w:t>000</w:t>
            </w:r>
          </w:p>
        </w:tc>
        <w:tc>
          <w:tcPr>
            <w:tcW w:w="1275" w:type="dxa"/>
            <w:noWrap/>
            <w:hideMark/>
          </w:tcPr>
          <w:p w14:paraId="727243FE"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24A74D67"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41513213" w14:textId="77777777" w:rsidR="0020526E" w:rsidRPr="00874A17" w:rsidRDefault="0020526E" w:rsidP="00874A17">
            <w:pPr>
              <w:pStyle w:val="Tabletext"/>
              <w:ind w:right="283"/>
              <w:jc w:val="right"/>
              <w:rPr>
                <w:sz w:val="20"/>
                <w:lang w:val="es-ES"/>
              </w:rPr>
            </w:pPr>
            <w:r w:rsidRPr="00874A17">
              <w:rPr>
                <w:sz w:val="20"/>
                <w:lang w:val="es-ES"/>
              </w:rPr>
              <w:t>0</w:t>
            </w:r>
          </w:p>
        </w:tc>
        <w:tc>
          <w:tcPr>
            <w:tcW w:w="1046" w:type="dxa"/>
          </w:tcPr>
          <w:p w14:paraId="62FACB95" w14:textId="1521FC16" w:rsidR="0020526E" w:rsidRPr="00874A17" w:rsidRDefault="0020526E" w:rsidP="00874A17">
            <w:pPr>
              <w:pStyle w:val="Tabletext"/>
              <w:ind w:right="283"/>
              <w:jc w:val="right"/>
              <w:rPr>
                <w:sz w:val="20"/>
                <w:lang w:val="es-ES"/>
              </w:rPr>
            </w:pPr>
            <w:r w:rsidRPr="00874A17">
              <w:rPr>
                <w:sz w:val="20"/>
                <w:lang w:val="es-ES"/>
              </w:rPr>
              <w:t>21</w:t>
            </w:r>
            <w:r w:rsidR="001C0DCA" w:rsidRPr="00874A17">
              <w:rPr>
                <w:sz w:val="20"/>
                <w:lang w:val="es-ES"/>
              </w:rPr>
              <w:t> </w:t>
            </w:r>
            <w:r w:rsidRPr="00874A17">
              <w:rPr>
                <w:sz w:val="20"/>
                <w:lang w:val="es-ES"/>
              </w:rPr>
              <w:t>000</w:t>
            </w:r>
          </w:p>
        </w:tc>
      </w:tr>
      <w:tr w:rsidR="0020526E" w:rsidRPr="00874A17" w14:paraId="3AB90495" w14:textId="77777777" w:rsidTr="00660F43">
        <w:trPr>
          <w:cantSplit/>
          <w:jc w:val="center"/>
        </w:trPr>
        <w:tc>
          <w:tcPr>
            <w:tcW w:w="988" w:type="dxa"/>
            <w:noWrap/>
            <w:hideMark/>
          </w:tcPr>
          <w:p w14:paraId="04896B18" w14:textId="77777777" w:rsidR="0020526E" w:rsidRPr="00874A17" w:rsidRDefault="0020526E" w:rsidP="0053612B">
            <w:pPr>
              <w:pStyle w:val="Tabletext"/>
              <w:rPr>
                <w:sz w:val="20"/>
                <w:lang w:val="es-ES"/>
              </w:rPr>
            </w:pPr>
            <w:r w:rsidRPr="00874A17">
              <w:rPr>
                <w:sz w:val="20"/>
                <w:lang w:val="es-ES"/>
              </w:rPr>
              <w:t>Cat. 7</w:t>
            </w:r>
          </w:p>
        </w:tc>
        <w:tc>
          <w:tcPr>
            <w:tcW w:w="2693" w:type="dxa"/>
            <w:noWrap/>
            <w:hideMark/>
          </w:tcPr>
          <w:p w14:paraId="26DE3CE1" w14:textId="77777777" w:rsidR="0020526E" w:rsidRPr="00874A17" w:rsidRDefault="0020526E" w:rsidP="0053612B">
            <w:pPr>
              <w:pStyle w:val="Tabletext"/>
              <w:rPr>
                <w:sz w:val="20"/>
                <w:lang w:val="es-ES"/>
              </w:rPr>
            </w:pPr>
            <w:r w:rsidRPr="00874A17">
              <w:rPr>
                <w:sz w:val="20"/>
                <w:lang w:val="es-ES"/>
              </w:rPr>
              <w:t>Seguridad SRM-MOSS/ RSM (Misión de seguridad + DSA)</w:t>
            </w:r>
          </w:p>
        </w:tc>
        <w:tc>
          <w:tcPr>
            <w:tcW w:w="1276" w:type="dxa"/>
            <w:noWrap/>
            <w:hideMark/>
          </w:tcPr>
          <w:p w14:paraId="36D25051" w14:textId="15490916" w:rsidR="0020526E" w:rsidRPr="00874A17" w:rsidRDefault="0020526E" w:rsidP="00874A17">
            <w:pPr>
              <w:pStyle w:val="Tabletext"/>
              <w:ind w:right="283"/>
              <w:jc w:val="right"/>
              <w:rPr>
                <w:sz w:val="20"/>
                <w:lang w:val="es-ES"/>
              </w:rPr>
            </w:pPr>
            <w:r w:rsidRPr="00874A17">
              <w:rPr>
                <w:sz w:val="20"/>
                <w:lang w:val="es-ES"/>
              </w:rPr>
              <w:t>46</w:t>
            </w:r>
            <w:r w:rsidR="001C0DCA" w:rsidRPr="00874A17">
              <w:rPr>
                <w:sz w:val="20"/>
                <w:lang w:val="es-ES"/>
              </w:rPr>
              <w:t> </w:t>
            </w:r>
            <w:r w:rsidRPr="00874A17">
              <w:rPr>
                <w:sz w:val="20"/>
                <w:lang w:val="es-ES"/>
              </w:rPr>
              <w:t>860</w:t>
            </w:r>
          </w:p>
        </w:tc>
        <w:tc>
          <w:tcPr>
            <w:tcW w:w="1275" w:type="dxa"/>
            <w:noWrap/>
            <w:hideMark/>
          </w:tcPr>
          <w:p w14:paraId="3D5FFF54"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26D3136E" w14:textId="77777777" w:rsidR="0020526E" w:rsidRPr="00874A17" w:rsidRDefault="0020526E" w:rsidP="00874A17">
            <w:pPr>
              <w:pStyle w:val="Tabletext"/>
              <w:ind w:right="283"/>
              <w:jc w:val="right"/>
              <w:rPr>
                <w:sz w:val="20"/>
                <w:lang w:val="es-ES"/>
              </w:rPr>
            </w:pPr>
            <w:r w:rsidRPr="00874A17">
              <w:rPr>
                <w:sz w:val="20"/>
                <w:lang w:val="es-ES"/>
              </w:rPr>
              <w:t>0</w:t>
            </w:r>
          </w:p>
        </w:tc>
        <w:tc>
          <w:tcPr>
            <w:tcW w:w="1276" w:type="dxa"/>
          </w:tcPr>
          <w:p w14:paraId="0A9D3B9B" w14:textId="77777777" w:rsidR="0020526E" w:rsidRPr="00874A17" w:rsidRDefault="0020526E" w:rsidP="00874A17">
            <w:pPr>
              <w:pStyle w:val="Tabletext"/>
              <w:ind w:right="283"/>
              <w:jc w:val="right"/>
              <w:rPr>
                <w:sz w:val="20"/>
                <w:lang w:val="es-ES"/>
              </w:rPr>
            </w:pPr>
            <w:r w:rsidRPr="00874A17">
              <w:rPr>
                <w:sz w:val="20"/>
                <w:lang w:val="es-ES"/>
              </w:rPr>
              <w:t>0</w:t>
            </w:r>
          </w:p>
        </w:tc>
        <w:tc>
          <w:tcPr>
            <w:tcW w:w="1046" w:type="dxa"/>
          </w:tcPr>
          <w:p w14:paraId="4D045837" w14:textId="38A9D8BB" w:rsidR="0020526E" w:rsidRPr="00874A17" w:rsidRDefault="0020526E" w:rsidP="00874A17">
            <w:pPr>
              <w:pStyle w:val="Tabletext"/>
              <w:ind w:right="283"/>
              <w:jc w:val="right"/>
              <w:rPr>
                <w:sz w:val="20"/>
                <w:lang w:val="es-ES"/>
              </w:rPr>
            </w:pPr>
            <w:r w:rsidRPr="00874A17">
              <w:rPr>
                <w:sz w:val="20"/>
                <w:lang w:val="es-ES"/>
              </w:rPr>
              <w:t>46</w:t>
            </w:r>
            <w:r w:rsidR="001C0DCA" w:rsidRPr="00874A17">
              <w:rPr>
                <w:sz w:val="20"/>
                <w:lang w:val="es-ES"/>
              </w:rPr>
              <w:t> </w:t>
            </w:r>
            <w:r w:rsidRPr="00874A17">
              <w:rPr>
                <w:sz w:val="20"/>
                <w:lang w:val="es-ES"/>
              </w:rPr>
              <w:t>860</w:t>
            </w:r>
          </w:p>
        </w:tc>
      </w:tr>
      <w:tr w:rsidR="0020526E" w:rsidRPr="00874A17" w14:paraId="295A41D2" w14:textId="77777777" w:rsidTr="00660F43">
        <w:trPr>
          <w:cantSplit/>
          <w:jc w:val="center"/>
        </w:trPr>
        <w:tc>
          <w:tcPr>
            <w:tcW w:w="988" w:type="dxa"/>
            <w:noWrap/>
            <w:hideMark/>
          </w:tcPr>
          <w:p w14:paraId="66F1905C" w14:textId="77777777" w:rsidR="0020526E" w:rsidRPr="00874A17" w:rsidRDefault="0020526E" w:rsidP="0053612B">
            <w:pPr>
              <w:pStyle w:val="Tabletext"/>
              <w:rPr>
                <w:sz w:val="20"/>
                <w:lang w:val="es-ES"/>
              </w:rPr>
            </w:pPr>
            <w:r w:rsidRPr="00874A17">
              <w:rPr>
                <w:sz w:val="20"/>
                <w:lang w:val="es-ES"/>
              </w:rPr>
              <w:t>Cat. 8</w:t>
            </w:r>
          </w:p>
        </w:tc>
        <w:tc>
          <w:tcPr>
            <w:tcW w:w="2693" w:type="dxa"/>
            <w:noWrap/>
            <w:hideMark/>
          </w:tcPr>
          <w:p w14:paraId="5C3BF728" w14:textId="77777777" w:rsidR="0020526E" w:rsidRPr="00874A17" w:rsidRDefault="0020526E" w:rsidP="0053612B">
            <w:pPr>
              <w:pStyle w:val="Tabletext"/>
              <w:rPr>
                <w:sz w:val="20"/>
                <w:lang w:val="es-ES"/>
              </w:rPr>
            </w:pPr>
            <w:r w:rsidRPr="00874A17">
              <w:rPr>
                <w:sz w:val="20"/>
                <w:lang w:val="es-ES"/>
              </w:rPr>
              <w:t>Servicios públicos</w:t>
            </w:r>
          </w:p>
        </w:tc>
        <w:tc>
          <w:tcPr>
            <w:tcW w:w="1276" w:type="dxa"/>
            <w:noWrap/>
            <w:hideMark/>
          </w:tcPr>
          <w:p w14:paraId="03859C4A" w14:textId="76D2A14E" w:rsidR="0020526E" w:rsidRPr="00874A17" w:rsidRDefault="0020526E" w:rsidP="00874A17">
            <w:pPr>
              <w:pStyle w:val="Tabletext"/>
              <w:ind w:right="283"/>
              <w:jc w:val="right"/>
              <w:rPr>
                <w:sz w:val="20"/>
                <w:lang w:val="es-ES"/>
              </w:rPr>
            </w:pPr>
            <w:r w:rsidRPr="00874A17">
              <w:rPr>
                <w:sz w:val="20"/>
                <w:lang w:val="es-ES"/>
              </w:rPr>
              <w:t>5</w:t>
            </w:r>
            <w:r w:rsidR="001C0DCA" w:rsidRPr="00874A17">
              <w:rPr>
                <w:sz w:val="20"/>
                <w:lang w:val="es-ES"/>
              </w:rPr>
              <w:t> </w:t>
            </w:r>
            <w:r w:rsidRPr="00874A17">
              <w:rPr>
                <w:sz w:val="20"/>
                <w:lang w:val="es-ES"/>
              </w:rPr>
              <w:t>000</w:t>
            </w:r>
          </w:p>
        </w:tc>
        <w:tc>
          <w:tcPr>
            <w:tcW w:w="1275" w:type="dxa"/>
            <w:noWrap/>
            <w:hideMark/>
          </w:tcPr>
          <w:p w14:paraId="37C985CB" w14:textId="091211E6" w:rsidR="0020526E" w:rsidRPr="00874A17" w:rsidRDefault="0020526E" w:rsidP="00874A17">
            <w:pPr>
              <w:pStyle w:val="Tabletext"/>
              <w:ind w:right="283"/>
              <w:jc w:val="right"/>
              <w:rPr>
                <w:sz w:val="20"/>
                <w:lang w:val="es-ES"/>
              </w:rPr>
            </w:pPr>
            <w:r w:rsidRPr="00874A17">
              <w:rPr>
                <w:sz w:val="20"/>
                <w:lang w:val="es-ES"/>
              </w:rPr>
              <w:t>5</w:t>
            </w:r>
            <w:r w:rsidR="001C0DCA" w:rsidRPr="00874A17">
              <w:rPr>
                <w:sz w:val="20"/>
                <w:lang w:val="es-ES"/>
              </w:rPr>
              <w:t> </w:t>
            </w:r>
            <w:r w:rsidRPr="00874A17">
              <w:rPr>
                <w:sz w:val="20"/>
                <w:lang w:val="es-ES"/>
              </w:rPr>
              <w:t>000</w:t>
            </w:r>
          </w:p>
        </w:tc>
        <w:tc>
          <w:tcPr>
            <w:tcW w:w="1276" w:type="dxa"/>
          </w:tcPr>
          <w:p w14:paraId="491E9E74" w14:textId="226E4423" w:rsidR="0020526E" w:rsidRPr="00874A17" w:rsidRDefault="0020526E" w:rsidP="00874A17">
            <w:pPr>
              <w:pStyle w:val="Tabletext"/>
              <w:ind w:right="283"/>
              <w:jc w:val="right"/>
              <w:rPr>
                <w:sz w:val="20"/>
                <w:lang w:val="es-ES"/>
              </w:rPr>
            </w:pPr>
            <w:r w:rsidRPr="00874A17">
              <w:rPr>
                <w:sz w:val="20"/>
                <w:lang w:val="es-ES"/>
              </w:rPr>
              <w:t>5</w:t>
            </w:r>
            <w:r w:rsidR="001C0DCA" w:rsidRPr="00874A17">
              <w:rPr>
                <w:sz w:val="20"/>
                <w:lang w:val="es-ES"/>
              </w:rPr>
              <w:t> </w:t>
            </w:r>
            <w:r w:rsidRPr="00874A17">
              <w:rPr>
                <w:sz w:val="20"/>
                <w:lang w:val="es-ES"/>
              </w:rPr>
              <w:t>000</w:t>
            </w:r>
          </w:p>
        </w:tc>
        <w:tc>
          <w:tcPr>
            <w:tcW w:w="1276" w:type="dxa"/>
          </w:tcPr>
          <w:p w14:paraId="36B19C96" w14:textId="4B3D6A14" w:rsidR="0020526E" w:rsidRPr="00874A17" w:rsidRDefault="0020526E" w:rsidP="00874A17">
            <w:pPr>
              <w:pStyle w:val="Tabletext"/>
              <w:ind w:right="283"/>
              <w:jc w:val="right"/>
              <w:rPr>
                <w:sz w:val="20"/>
                <w:lang w:val="es-ES"/>
              </w:rPr>
            </w:pPr>
            <w:r w:rsidRPr="00874A17">
              <w:rPr>
                <w:sz w:val="20"/>
                <w:lang w:val="es-ES"/>
              </w:rPr>
              <w:t>5</w:t>
            </w:r>
            <w:r w:rsidR="001C0DCA" w:rsidRPr="00874A17">
              <w:rPr>
                <w:sz w:val="20"/>
                <w:lang w:val="es-ES"/>
              </w:rPr>
              <w:t> </w:t>
            </w:r>
            <w:r w:rsidRPr="00874A17">
              <w:rPr>
                <w:sz w:val="20"/>
                <w:lang w:val="es-ES"/>
              </w:rPr>
              <w:t>000</w:t>
            </w:r>
          </w:p>
        </w:tc>
        <w:tc>
          <w:tcPr>
            <w:tcW w:w="1046" w:type="dxa"/>
          </w:tcPr>
          <w:p w14:paraId="56D0F52A" w14:textId="4C269999" w:rsidR="0020526E" w:rsidRPr="00874A17" w:rsidRDefault="0020526E" w:rsidP="00874A17">
            <w:pPr>
              <w:pStyle w:val="Tabletext"/>
              <w:ind w:right="283"/>
              <w:jc w:val="right"/>
              <w:rPr>
                <w:sz w:val="20"/>
                <w:lang w:val="es-ES"/>
              </w:rPr>
            </w:pPr>
            <w:r w:rsidRPr="00874A17">
              <w:rPr>
                <w:sz w:val="20"/>
                <w:lang w:val="es-ES"/>
              </w:rPr>
              <w:t>20</w:t>
            </w:r>
            <w:r w:rsidR="001C0DCA" w:rsidRPr="00874A17">
              <w:rPr>
                <w:sz w:val="20"/>
                <w:lang w:val="es-ES"/>
              </w:rPr>
              <w:t> </w:t>
            </w:r>
            <w:r w:rsidRPr="00874A17">
              <w:rPr>
                <w:sz w:val="20"/>
                <w:lang w:val="es-ES"/>
              </w:rPr>
              <w:t>000</w:t>
            </w:r>
          </w:p>
        </w:tc>
      </w:tr>
      <w:tr w:rsidR="0020526E" w:rsidRPr="00874A17" w14:paraId="7BD6F357" w14:textId="77777777" w:rsidTr="00660F43">
        <w:trPr>
          <w:cantSplit/>
          <w:jc w:val="center"/>
        </w:trPr>
        <w:tc>
          <w:tcPr>
            <w:tcW w:w="988" w:type="dxa"/>
            <w:tcBorders>
              <w:bottom w:val="double" w:sz="4" w:space="0" w:color="auto"/>
            </w:tcBorders>
            <w:noWrap/>
            <w:hideMark/>
          </w:tcPr>
          <w:p w14:paraId="069BEEE8" w14:textId="77777777" w:rsidR="0020526E" w:rsidRPr="00874A17" w:rsidRDefault="0020526E" w:rsidP="0053612B">
            <w:pPr>
              <w:pStyle w:val="Tabletext"/>
              <w:rPr>
                <w:sz w:val="20"/>
                <w:lang w:val="es-ES"/>
              </w:rPr>
            </w:pPr>
            <w:r w:rsidRPr="00874A17">
              <w:rPr>
                <w:sz w:val="20"/>
                <w:lang w:val="es-ES"/>
              </w:rPr>
              <w:t>Cat. 9</w:t>
            </w:r>
          </w:p>
        </w:tc>
        <w:tc>
          <w:tcPr>
            <w:tcW w:w="2693" w:type="dxa"/>
            <w:tcBorders>
              <w:bottom w:val="double" w:sz="4" w:space="0" w:color="auto"/>
            </w:tcBorders>
            <w:noWrap/>
            <w:hideMark/>
          </w:tcPr>
          <w:p w14:paraId="2728F70D" w14:textId="77777777" w:rsidR="0020526E" w:rsidRPr="00874A17" w:rsidRDefault="0020526E" w:rsidP="0053612B">
            <w:pPr>
              <w:pStyle w:val="Tabletext"/>
              <w:rPr>
                <w:sz w:val="20"/>
                <w:lang w:val="es-ES"/>
              </w:rPr>
            </w:pPr>
            <w:r w:rsidRPr="00874A17">
              <w:rPr>
                <w:sz w:val="20"/>
                <w:lang w:val="es-ES"/>
              </w:rPr>
              <w:t>Conceptos interinstitucionales, gastos bancarios, varios</w:t>
            </w:r>
          </w:p>
        </w:tc>
        <w:tc>
          <w:tcPr>
            <w:tcW w:w="1276" w:type="dxa"/>
            <w:tcBorders>
              <w:bottom w:val="double" w:sz="4" w:space="0" w:color="auto"/>
            </w:tcBorders>
            <w:noWrap/>
            <w:hideMark/>
          </w:tcPr>
          <w:p w14:paraId="699A6D1C" w14:textId="187A79FF" w:rsidR="0020526E" w:rsidRPr="00874A17" w:rsidRDefault="0020526E" w:rsidP="00874A17">
            <w:pPr>
              <w:pStyle w:val="Tabletext"/>
              <w:ind w:right="283"/>
              <w:jc w:val="right"/>
              <w:rPr>
                <w:sz w:val="20"/>
                <w:lang w:val="es-ES"/>
              </w:rPr>
            </w:pPr>
            <w:r w:rsidRPr="00874A17">
              <w:rPr>
                <w:sz w:val="20"/>
                <w:lang w:val="es-ES"/>
              </w:rPr>
              <w:t>20</w:t>
            </w:r>
            <w:r w:rsidR="001C0DCA" w:rsidRPr="00874A17">
              <w:rPr>
                <w:sz w:val="20"/>
                <w:lang w:val="es-ES"/>
              </w:rPr>
              <w:t> </w:t>
            </w:r>
            <w:r w:rsidRPr="00874A17">
              <w:rPr>
                <w:sz w:val="20"/>
                <w:lang w:val="es-ES"/>
              </w:rPr>
              <w:t>000</w:t>
            </w:r>
          </w:p>
        </w:tc>
        <w:tc>
          <w:tcPr>
            <w:tcW w:w="1275" w:type="dxa"/>
            <w:tcBorders>
              <w:bottom w:val="double" w:sz="4" w:space="0" w:color="auto"/>
            </w:tcBorders>
            <w:noWrap/>
            <w:hideMark/>
          </w:tcPr>
          <w:p w14:paraId="6458BEA2" w14:textId="661E3842" w:rsidR="0020526E" w:rsidRPr="00874A17" w:rsidRDefault="0020526E" w:rsidP="00874A17">
            <w:pPr>
              <w:pStyle w:val="Tabletext"/>
              <w:ind w:right="283"/>
              <w:jc w:val="right"/>
              <w:rPr>
                <w:sz w:val="20"/>
                <w:lang w:val="es-ES"/>
              </w:rPr>
            </w:pPr>
            <w:r w:rsidRPr="00874A17">
              <w:rPr>
                <w:sz w:val="20"/>
                <w:lang w:val="es-ES"/>
              </w:rPr>
              <w:t>20</w:t>
            </w:r>
            <w:r w:rsidR="001C0DCA" w:rsidRPr="00874A17">
              <w:rPr>
                <w:sz w:val="20"/>
                <w:lang w:val="es-ES"/>
              </w:rPr>
              <w:t> </w:t>
            </w:r>
            <w:r w:rsidRPr="00874A17">
              <w:rPr>
                <w:sz w:val="20"/>
                <w:lang w:val="es-ES"/>
              </w:rPr>
              <w:t>000</w:t>
            </w:r>
          </w:p>
        </w:tc>
        <w:tc>
          <w:tcPr>
            <w:tcW w:w="1276" w:type="dxa"/>
            <w:tcBorders>
              <w:bottom w:val="double" w:sz="4" w:space="0" w:color="auto"/>
            </w:tcBorders>
          </w:tcPr>
          <w:p w14:paraId="3B964988" w14:textId="46EE4FC8" w:rsidR="0020526E" w:rsidRPr="00874A17" w:rsidRDefault="0020526E" w:rsidP="00874A17">
            <w:pPr>
              <w:pStyle w:val="Tabletext"/>
              <w:ind w:right="283"/>
              <w:jc w:val="right"/>
              <w:rPr>
                <w:sz w:val="20"/>
                <w:lang w:val="es-ES"/>
              </w:rPr>
            </w:pPr>
            <w:r w:rsidRPr="00874A17">
              <w:rPr>
                <w:sz w:val="20"/>
                <w:lang w:val="es-ES"/>
              </w:rPr>
              <w:t>20</w:t>
            </w:r>
            <w:r w:rsidR="001C0DCA" w:rsidRPr="00874A17">
              <w:rPr>
                <w:sz w:val="20"/>
                <w:lang w:val="es-ES"/>
              </w:rPr>
              <w:t> </w:t>
            </w:r>
            <w:r w:rsidRPr="00874A17">
              <w:rPr>
                <w:sz w:val="20"/>
                <w:lang w:val="es-ES"/>
              </w:rPr>
              <w:t>000</w:t>
            </w:r>
          </w:p>
        </w:tc>
        <w:tc>
          <w:tcPr>
            <w:tcW w:w="1276" w:type="dxa"/>
            <w:tcBorders>
              <w:bottom w:val="double" w:sz="4" w:space="0" w:color="auto"/>
            </w:tcBorders>
          </w:tcPr>
          <w:p w14:paraId="0F8FC9D7" w14:textId="34402E36" w:rsidR="0020526E" w:rsidRPr="00874A17" w:rsidRDefault="0020526E" w:rsidP="00874A17">
            <w:pPr>
              <w:pStyle w:val="Tabletext"/>
              <w:ind w:right="283"/>
              <w:jc w:val="right"/>
              <w:rPr>
                <w:sz w:val="20"/>
                <w:lang w:val="es-ES"/>
              </w:rPr>
            </w:pPr>
            <w:r w:rsidRPr="00874A17">
              <w:rPr>
                <w:sz w:val="20"/>
                <w:lang w:val="es-ES"/>
              </w:rPr>
              <w:t>20</w:t>
            </w:r>
            <w:r w:rsidR="001C0DCA" w:rsidRPr="00874A17">
              <w:rPr>
                <w:sz w:val="20"/>
                <w:lang w:val="es-ES"/>
              </w:rPr>
              <w:t> </w:t>
            </w:r>
            <w:r w:rsidRPr="00874A17">
              <w:rPr>
                <w:sz w:val="20"/>
                <w:lang w:val="es-ES"/>
              </w:rPr>
              <w:t>000</w:t>
            </w:r>
          </w:p>
        </w:tc>
        <w:tc>
          <w:tcPr>
            <w:tcW w:w="1046" w:type="dxa"/>
            <w:tcBorders>
              <w:bottom w:val="double" w:sz="4" w:space="0" w:color="auto"/>
            </w:tcBorders>
          </w:tcPr>
          <w:p w14:paraId="1A3EF202" w14:textId="0AB9E05E" w:rsidR="0020526E" w:rsidRPr="00874A17" w:rsidRDefault="0020526E" w:rsidP="00874A17">
            <w:pPr>
              <w:pStyle w:val="Tabletext"/>
              <w:ind w:right="283"/>
              <w:jc w:val="right"/>
              <w:rPr>
                <w:sz w:val="20"/>
                <w:lang w:val="es-ES"/>
              </w:rPr>
            </w:pPr>
            <w:r w:rsidRPr="00874A17">
              <w:rPr>
                <w:sz w:val="20"/>
                <w:lang w:val="es-ES"/>
              </w:rPr>
              <w:t>80</w:t>
            </w:r>
            <w:r w:rsidR="001C0DCA" w:rsidRPr="00874A17">
              <w:rPr>
                <w:sz w:val="20"/>
                <w:lang w:val="es-ES"/>
              </w:rPr>
              <w:t> </w:t>
            </w:r>
            <w:r w:rsidRPr="00874A17">
              <w:rPr>
                <w:sz w:val="20"/>
                <w:lang w:val="es-ES"/>
              </w:rPr>
              <w:t>000</w:t>
            </w:r>
          </w:p>
        </w:tc>
      </w:tr>
      <w:tr w:rsidR="0020526E" w:rsidRPr="00874A17" w14:paraId="625EF87A" w14:textId="77777777" w:rsidTr="00660F43">
        <w:trPr>
          <w:cantSplit/>
          <w:jc w:val="center"/>
        </w:trPr>
        <w:tc>
          <w:tcPr>
            <w:tcW w:w="988" w:type="dxa"/>
            <w:tcBorders>
              <w:top w:val="double" w:sz="4" w:space="0" w:color="auto"/>
              <w:right w:val="nil"/>
            </w:tcBorders>
            <w:noWrap/>
            <w:hideMark/>
          </w:tcPr>
          <w:p w14:paraId="00424ECA" w14:textId="77777777" w:rsidR="0020526E" w:rsidRPr="00874A17" w:rsidRDefault="0020526E" w:rsidP="0053612B">
            <w:pPr>
              <w:pStyle w:val="Tabletext"/>
              <w:rPr>
                <w:b/>
                <w:bCs/>
                <w:sz w:val="20"/>
              </w:rPr>
            </w:pPr>
          </w:p>
        </w:tc>
        <w:tc>
          <w:tcPr>
            <w:tcW w:w="2693" w:type="dxa"/>
            <w:tcBorders>
              <w:top w:val="double" w:sz="4" w:space="0" w:color="auto"/>
              <w:left w:val="nil"/>
            </w:tcBorders>
            <w:noWrap/>
            <w:hideMark/>
          </w:tcPr>
          <w:p w14:paraId="0AD54A5E" w14:textId="77777777" w:rsidR="0020526E" w:rsidRPr="00874A17" w:rsidRDefault="0020526E" w:rsidP="00850852">
            <w:pPr>
              <w:pStyle w:val="Tabletext"/>
              <w:jc w:val="right"/>
              <w:rPr>
                <w:b/>
                <w:bCs/>
                <w:sz w:val="20"/>
              </w:rPr>
            </w:pPr>
            <w:r w:rsidRPr="00874A17">
              <w:rPr>
                <w:b/>
                <w:bCs/>
                <w:sz w:val="20"/>
              </w:rPr>
              <w:t>Costes totales</w:t>
            </w:r>
          </w:p>
        </w:tc>
        <w:tc>
          <w:tcPr>
            <w:tcW w:w="1276" w:type="dxa"/>
            <w:tcBorders>
              <w:top w:val="double" w:sz="4" w:space="0" w:color="auto"/>
            </w:tcBorders>
            <w:noWrap/>
            <w:hideMark/>
          </w:tcPr>
          <w:p w14:paraId="3392A75B" w14:textId="29ECC266" w:rsidR="0020526E" w:rsidRPr="00874A17" w:rsidRDefault="0020526E" w:rsidP="00874A17">
            <w:pPr>
              <w:pStyle w:val="Tabletext"/>
              <w:ind w:right="283"/>
              <w:jc w:val="right"/>
              <w:rPr>
                <w:b/>
                <w:bCs/>
                <w:sz w:val="20"/>
              </w:rPr>
            </w:pPr>
            <w:r w:rsidRPr="00874A17">
              <w:rPr>
                <w:b/>
                <w:bCs/>
                <w:sz w:val="20"/>
              </w:rPr>
              <w:t>140</w:t>
            </w:r>
            <w:r w:rsidR="001C0DCA" w:rsidRPr="00874A17">
              <w:rPr>
                <w:b/>
                <w:bCs/>
                <w:sz w:val="20"/>
              </w:rPr>
              <w:t> </w:t>
            </w:r>
            <w:r w:rsidRPr="00874A17">
              <w:rPr>
                <w:b/>
                <w:bCs/>
                <w:sz w:val="20"/>
              </w:rPr>
              <w:t>729</w:t>
            </w:r>
          </w:p>
        </w:tc>
        <w:tc>
          <w:tcPr>
            <w:tcW w:w="1275" w:type="dxa"/>
            <w:tcBorders>
              <w:top w:val="double" w:sz="4" w:space="0" w:color="auto"/>
            </w:tcBorders>
            <w:noWrap/>
            <w:hideMark/>
          </w:tcPr>
          <w:p w14:paraId="1C2B208C" w14:textId="52DF7794" w:rsidR="0020526E" w:rsidRPr="00874A17" w:rsidRDefault="0020526E" w:rsidP="00874A17">
            <w:pPr>
              <w:pStyle w:val="Tabletext"/>
              <w:ind w:right="283"/>
              <w:jc w:val="right"/>
              <w:rPr>
                <w:b/>
                <w:bCs/>
                <w:sz w:val="20"/>
              </w:rPr>
            </w:pPr>
            <w:r w:rsidRPr="00874A17">
              <w:rPr>
                <w:b/>
                <w:bCs/>
                <w:sz w:val="20"/>
              </w:rPr>
              <w:t>55</w:t>
            </w:r>
            <w:r w:rsidR="001C0DCA" w:rsidRPr="00874A17">
              <w:rPr>
                <w:b/>
                <w:bCs/>
                <w:sz w:val="20"/>
              </w:rPr>
              <w:t> </w:t>
            </w:r>
            <w:r w:rsidRPr="00874A17">
              <w:rPr>
                <w:b/>
                <w:bCs/>
                <w:sz w:val="20"/>
              </w:rPr>
              <w:t>000</w:t>
            </w:r>
          </w:p>
        </w:tc>
        <w:tc>
          <w:tcPr>
            <w:tcW w:w="1276" w:type="dxa"/>
            <w:tcBorders>
              <w:top w:val="double" w:sz="4" w:space="0" w:color="auto"/>
            </w:tcBorders>
          </w:tcPr>
          <w:p w14:paraId="3D8C64ED" w14:textId="40F9E688" w:rsidR="0020526E" w:rsidRPr="00874A17" w:rsidRDefault="0020526E" w:rsidP="00874A17">
            <w:pPr>
              <w:pStyle w:val="Tabletext"/>
              <w:ind w:right="283"/>
              <w:jc w:val="right"/>
              <w:rPr>
                <w:b/>
                <w:bCs/>
                <w:sz w:val="20"/>
              </w:rPr>
            </w:pPr>
            <w:r w:rsidRPr="00874A17">
              <w:rPr>
                <w:b/>
                <w:bCs/>
                <w:sz w:val="20"/>
              </w:rPr>
              <w:t>105</w:t>
            </w:r>
            <w:r w:rsidR="001C0DCA" w:rsidRPr="00874A17">
              <w:rPr>
                <w:b/>
                <w:bCs/>
                <w:sz w:val="20"/>
              </w:rPr>
              <w:t> </w:t>
            </w:r>
            <w:r w:rsidRPr="00874A17">
              <w:rPr>
                <w:b/>
                <w:bCs/>
                <w:sz w:val="20"/>
              </w:rPr>
              <w:t>000</w:t>
            </w:r>
          </w:p>
        </w:tc>
        <w:tc>
          <w:tcPr>
            <w:tcW w:w="1276" w:type="dxa"/>
            <w:tcBorders>
              <w:top w:val="double" w:sz="4" w:space="0" w:color="auto"/>
            </w:tcBorders>
          </w:tcPr>
          <w:p w14:paraId="4E08B3EC" w14:textId="030ADAC2" w:rsidR="0020526E" w:rsidRPr="00874A17" w:rsidRDefault="0020526E" w:rsidP="00874A17">
            <w:pPr>
              <w:pStyle w:val="Tabletext"/>
              <w:ind w:right="283"/>
              <w:jc w:val="right"/>
              <w:rPr>
                <w:b/>
                <w:bCs/>
                <w:sz w:val="20"/>
              </w:rPr>
            </w:pPr>
            <w:r w:rsidRPr="00874A17">
              <w:rPr>
                <w:b/>
                <w:bCs/>
                <w:sz w:val="20"/>
              </w:rPr>
              <w:t>65</w:t>
            </w:r>
            <w:r w:rsidR="001C0DCA" w:rsidRPr="00874A17">
              <w:rPr>
                <w:b/>
                <w:bCs/>
                <w:sz w:val="20"/>
              </w:rPr>
              <w:t> </w:t>
            </w:r>
            <w:r w:rsidRPr="00874A17">
              <w:rPr>
                <w:b/>
                <w:bCs/>
                <w:sz w:val="20"/>
              </w:rPr>
              <w:t>583</w:t>
            </w:r>
          </w:p>
        </w:tc>
        <w:tc>
          <w:tcPr>
            <w:tcW w:w="1046" w:type="dxa"/>
            <w:tcBorders>
              <w:top w:val="double" w:sz="4" w:space="0" w:color="auto"/>
            </w:tcBorders>
          </w:tcPr>
          <w:p w14:paraId="3EEB4265" w14:textId="3B1B65E8" w:rsidR="0020526E" w:rsidRPr="00874A17" w:rsidRDefault="0020526E" w:rsidP="00874A17">
            <w:pPr>
              <w:pStyle w:val="Tabletext"/>
              <w:ind w:right="283"/>
              <w:jc w:val="right"/>
              <w:rPr>
                <w:b/>
                <w:bCs/>
                <w:sz w:val="20"/>
              </w:rPr>
            </w:pPr>
            <w:r w:rsidRPr="00874A17">
              <w:rPr>
                <w:b/>
                <w:bCs/>
                <w:sz w:val="20"/>
              </w:rPr>
              <w:t>366</w:t>
            </w:r>
            <w:r w:rsidR="001C0DCA" w:rsidRPr="00874A17">
              <w:rPr>
                <w:b/>
                <w:bCs/>
                <w:sz w:val="20"/>
              </w:rPr>
              <w:t> </w:t>
            </w:r>
            <w:r w:rsidRPr="00874A17">
              <w:rPr>
                <w:b/>
                <w:bCs/>
                <w:sz w:val="20"/>
              </w:rPr>
              <w:t>312</w:t>
            </w:r>
          </w:p>
        </w:tc>
      </w:tr>
    </w:tbl>
    <w:p w14:paraId="706F4DB7" w14:textId="77777777" w:rsidR="0020526E" w:rsidRPr="006A20DF" w:rsidRDefault="0020526E" w:rsidP="0020526E">
      <w:pPr>
        <w:pStyle w:val="Tablefin"/>
        <w:rPr>
          <w:szCs w:val="22"/>
          <w:lang w:val="es-ES"/>
        </w:rPr>
      </w:pPr>
    </w:p>
    <w:bookmarkEnd w:id="7"/>
    <w:p w14:paraId="2687E031" w14:textId="77777777" w:rsidR="00DF148F" w:rsidRPr="006A20DF" w:rsidRDefault="00DF148F" w:rsidP="00411C49">
      <w:pPr>
        <w:pStyle w:val="Reasons"/>
        <w:rPr>
          <w:lang w:val="es-ES"/>
        </w:rPr>
      </w:pPr>
    </w:p>
    <w:p w14:paraId="45B07ADD" w14:textId="77777777" w:rsidR="00DF148F" w:rsidRPr="006A20DF" w:rsidRDefault="00DF148F">
      <w:pPr>
        <w:jc w:val="center"/>
        <w:rPr>
          <w:lang w:val="es-ES"/>
        </w:rPr>
      </w:pPr>
      <w:r w:rsidRPr="006A20DF">
        <w:rPr>
          <w:lang w:val="es-ES"/>
        </w:rPr>
        <w:t>______________</w:t>
      </w:r>
    </w:p>
    <w:sectPr w:rsidR="00DF148F" w:rsidRPr="006A20DF" w:rsidSect="00A70E95">
      <w:headerReference w:type="default" r:id="rId49"/>
      <w:footerReference w:type="first" r:id="rId50"/>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A06B8" w14:textId="77777777" w:rsidR="005567A0" w:rsidRDefault="005567A0">
      <w:r>
        <w:separator/>
      </w:r>
    </w:p>
  </w:endnote>
  <w:endnote w:type="continuationSeparator" w:id="0">
    <w:p w14:paraId="03E103C1" w14:textId="77777777" w:rsidR="005567A0" w:rsidRDefault="00556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EDA9" w14:textId="7828657B"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EE6D1A">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C6EC3" w14:textId="77777777" w:rsidR="005567A0" w:rsidRDefault="005567A0">
      <w:r>
        <w:t>____________________</w:t>
      </w:r>
    </w:p>
  </w:footnote>
  <w:footnote w:type="continuationSeparator" w:id="0">
    <w:p w14:paraId="5C2495E1" w14:textId="77777777" w:rsidR="005567A0" w:rsidRDefault="005567A0">
      <w:r>
        <w:continuationSeparator/>
      </w:r>
    </w:p>
  </w:footnote>
  <w:footnote w:id="1">
    <w:p w14:paraId="788D26FB" w14:textId="77C85692" w:rsidR="00C01429" w:rsidRPr="00721819" w:rsidRDefault="00C01429" w:rsidP="005640EC">
      <w:pPr>
        <w:pStyle w:val="FootnoteText"/>
      </w:pPr>
      <w:r>
        <w:rPr>
          <w:rStyle w:val="FootnoteReference"/>
        </w:rPr>
        <w:footnoteRef/>
      </w:r>
      <w:r>
        <w:tab/>
      </w:r>
      <w:r w:rsidRPr="00F625C7">
        <w:t xml:space="preserve">Puede consultarse el proyecto de </w:t>
      </w:r>
      <w:r w:rsidRPr="005640EC">
        <w:t>estudio</w:t>
      </w:r>
      <w:r w:rsidRPr="00F625C7">
        <w:t xml:space="preserve"> de viabilidad del Pacífico </w:t>
      </w:r>
      <w:r w:rsidRPr="00F625C7">
        <w:rPr>
          <w:szCs w:val="24"/>
        </w:rPr>
        <w:t xml:space="preserve">en </w:t>
      </w:r>
      <w:hyperlink r:id="rId1" w:history="1">
        <w:r w:rsidR="00077D19" w:rsidRPr="008F4DD6">
          <w:rPr>
            <w:rStyle w:val="Hyperlink"/>
            <w:szCs w:val="24"/>
          </w:rPr>
          <w:t>www.itu.int/en/ITU-D/Regional-Presence/AsiaPacific/Documents</w:t>
        </w:r>
        <w:r w:rsidR="00077D19" w:rsidRPr="008F4DD6">
          <w:rPr>
            <w:rStyle w:val="Hyperlink"/>
            <w:szCs w:val="24"/>
          </w:rPr>
          <w:t>/</w:t>
        </w:r>
        <w:r w:rsidR="00077D19" w:rsidRPr="008F4DD6">
          <w:rPr>
            <w:rStyle w:val="Hyperlink"/>
            <w:szCs w:val="24"/>
          </w:rPr>
          <w:t>Projects/Pacific%20Feasibility%20Study/07102026%20ITU%20Pacific%20Regional%20Presence%20Feasibility%20Study.pdf</w:t>
        </w:r>
      </w:hyperlink>
      <w:r w:rsidR="00077D19">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64C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D6C2C56" w14:textId="60F76F6B" w:rsidR="00255FA1" w:rsidRDefault="00255FA1" w:rsidP="00C43474">
    <w:pPr>
      <w:pStyle w:val="Header"/>
    </w:pPr>
    <w:r>
      <w:rPr>
        <w:lang w:val="en-US"/>
      </w:rPr>
      <w:t>PP</w:t>
    </w:r>
    <w:r w:rsidR="009D1BE0">
      <w:rPr>
        <w:lang w:val="en-US"/>
      </w:rPr>
      <w:t>2</w:t>
    </w:r>
    <w:r w:rsidR="009415B6">
      <w:rPr>
        <w:lang w:val="en-US"/>
      </w:rPr>
      <w:t>6</w:t>
    </w:r>
    <w:r>
      <w:t>/</w:t>
    </w:r>
    <w:r w:rsidR="00702DAB">
      <w:t>66</w:t>
    </w:r>
    <w:r w:rsidR="00075113">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F42883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4FBA13B2"/>
    <w:lvl w:ilvl="0">
      <w:start w:val="1"/>
      <w:numFmt w:val="bullet"/>
      <w:lvlText w:val=""/>
      <w:lvlJc w:val="left"/>
      <w:pPr>
        <w:tabs>
          <w:tab w:val="num" w:pos="360"/>
        </w:tabs>
        <w:ind w:left="360" w:hanging="360"/>
      </w:pPr>
      <w:rPr>
        <w:rFonts w:ascii="Symbol" w:hAnsi="Symbol" w:hint="default"/>
      </w:rPr>
    </w:lvl>
  </w:abstractNum>
  <w:num w:numId="1" w16cid:durableId="1805998491">
    <w:abstractNumId w:val="1"/>
  </w:num>
  <w:num w:numId="2" w16cid:durableId="1252009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41837"/>
    <w:rsid w:val="000507CA"/>
    <w:rsid w:val="00057402"/>
    <w:rsid w:val="00075113"/>
    <w:rsid w:val="00077D19"/>
    <w:rsid w:val="000863AB"/>
    <w:rsid w:val="000A1523"/>
    <w:rsid w:val="000B1752"/>
    <w:rsid w:val="000D09E7"/>
    <w:rsid w:val="0010546D"/>
    <w:rsid w:val="001069DD"/>
    <w:rsid w:val="00135F93"/>
    <w:rsid w:val="00146E80"/>
    <w:rsid w:val="001632E3"/>
    <w:rsid w:val="001C0DCA"/>
    <w:rsid w:val="001D4983"/>
    <w:rsid w:val="001D6EC3"/>
    <w:rsid w:val="001D787B"/>
    <w:rsid w:val="001E3D06"/>
    <w:rsid w:val="001F0B24"/>
    <w:rsid w:val="001F5B03"/>
    <w:rsid w:val="0020526E"/>
    <w:rsid w:val="00205DBE"/>
    <w:rsid w:val="00225F6B"/>
    <w:rsid w:val="00237C17"/>
    <w:rsid w:val="00242376"/>
    <w:rsid w:val="00253310"/>
    <w:rsid w:val="00255FA1"/>
    <w:rsid w:val="00262FF4"/>
    <w:rsid w:val="00277985"/>
    <w:rsid w:val="002C6527"/>
    <w:rsid w:val="002E44FC"/>
    <w:rsid w:val="003537B5"/>
    <w:rsid w:val="003707E5"/>
    <w:rsid w:val="00375610"/>
    <w:rsid w:val="00391611"/>
    <w:rsid w:val="003B032B"/>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3612B"/>
    <w:rsid w:val="005470E8"/>
    <w:rsid w:val="00550FCF"/>
    <w:rsid w:val="005567A0"/>
    <w:rsid w:val="00556958"/>
    <w:rsid w:val="005640EC"/>
    <w:rsid w:val="00567ED5"/>
    <w:rsid w:val="005A329F"/>
    <w:rsid w:val="005A6E9E"/>
    <w:rsid w:val="005D1164"/>
    <w:rsid w:val="005D6488"/>
    <w:rsid w:val="005F6278"/>
    <w:rsid w:val="00601280"/>
    <w:rsid w:val="00624111"/>
    <w:rsid w:val="00641DBD"/>
    <w:rsid w:val="006426C0"/>
    <w:rsid w:val="006455D2"/>
    <w:rsid w:val="006537F3"/>
    <w:rsid w:val="00660F43"/>
    <w:rsid w:val="00667328"/>
    <w:rsid w:val="006A20DF"/>
    <w:rsid w:val="006A2D79"/>
    <w:rsid w:val="006B5512"/>
    <w:rsid w:val="006C190D"/>
    <w:rsid w:val="006D2BB3"/>
    <w:rsid w:val="006D7EBD"/>
    <w:rsid w:val="00702DAB"/>
    <w:rsid w:val="00713F96"/>
    <w:rsid w:val="00716F6D"/>
    <w:rsid w:val="00720686"/>
    <w:rsid w:val="00721819"/>
    <w:rsid w:val="00737EFF"/>
    <w:rsid w:val="00750806"/>
    <w:rsid w:val="007875D2"/>
    <w:rsid w:val="007D61E2"/>
    <w:rsid w:val="007F6EBC"/>
    <w:rsid w:val="00810D8B"/>
    <w:rsid w:val="0083097D"/>
    <w:rsid w:val="00850852"/>
    <w:rsid w:val="00874A17"/>
    <w:rsid w:val="00882773"/>
    <w:rsid w:val="00894C54"/>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A1F73"/>
    <w:rsid w:val="00AB190D"/>
    <w:rsid w:val="00AB34CA"/>
    <w:rsid w:val="00AD400E"/>
    <w:rsid w:val="00AD5E24"/>
    <w:rsid w:val="00AF0DC5"/>
    <w:rsid w:val="00B012B7"/>
    <w:rsid w:val="00B30C52"/>
    <w:rsid w:val="00B501AB"/>
    <w:rsid w:val="00B73978"/>
    <w:rsid w:val="00B77C4D"/>
    <w:rsid w:val="00BB13FE"/>
    <w:rsid w:val="00BB5BBC"/>
    <w:rsid w:val="00BC7EE2"/>
    <w:rsid w:val="00BF32F2"/>
    <w:rsid w:val="00BF5475"/>
    <w:rsid w:val="00C00852"/>
    <w:rsid w:val="00C01429"/>
    <w:rsid w:val="00C20ED7"/>
    <w:rsid w:val="00C42D2D"/>
    <w:rsid w:val="00C43474"/>
    <w:rsid w:val="00C61A48"/>
    <w:rsid w:val="00C80F8F"/>
    <w:rsid w:val="00C84355"/>
    <w:rsid w:val="00C84A65"/>
    <w:rsid w:val="00CA3051"/>
    <w:rsid w:val="00CB3839"/>
    <w:rsid w:val="00CB6535"/>
    <w:rsid w:val="00CD20D9"/>
    <w:rsid w:val="00CD701A"/>
    <w:rsid w:val="00CF57EB"/>
    <w:rsid w:val="00D05AAE"/>
    <w:rsid w:val="00D05E6B"/>
    <w:rsid w:val="00D066F8"/>
    <w:rsid w:val="00D254A6"/>
    <w:rsid w:val="00D42B55"/>
    <w:rsid w:val="00D44033"/>
    <w:rsid w:val="00D57D70"/>
    <w:rsid w:val="00D70032"/>
    <w:rsid w:val="00DB0F64"/>
    <w:rsid w:val="00DB2B97"/>
    <w:rsid w:val="00DB66B6"/>
    <w:rsid w:val="00DE3E41"/>
    <w:rsid w:val="00DF148F"/>
    <w:rsid w:val="00E05D81"/>
    <w:rsid w:val="00E53DFC"/>
    <w:rsid w:val="00E66FC3"/>
    <w:rsid w:val="00E677DD"/>
    <w:rsid w:val="00E77F17"/>
    <w:rsid w:val="00E809D8"/>
    <w:rsid w:val="00E921EC"/>
    <w:rsid w:val="00EB23D0"/>
    <w:rsid w:val="00EC1558"/>
    <w:rsid w:val="00EC395A"/>
    <w:rsid w:val="00EE6D1A"/>
    <w:rsid w:val="00F01632"/>
    <w:rsid w:val="00F04858"/>
    <w:rsid w:val="00F13AA4"/>
    <w:rsid w:val="00F3510D"/>
    <w:rsid w:val="00F43C07"/>
    <w:rsid w:val="00F43D44"/>
    <w:rsid w:val="00F55ABE"/>
    <w:rsid w:val="00F625C7"/>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239E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5640EC"/>
    <w:pPr>
      <w:keepLines/>
      <w:tabs>
        <w:tab w:val="left" w:pos="256"/>
      </w:tabs>
      <w:ind w:left="256" w:hanging="256"/>
    </w:pPr>
    <w:rPr>
      <w:sz w:val="22"/>
      <w:szCs w:val="22"/>
      <w:lang w:val="es-ES"/>
    </w:r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D70032"/>
    <w:pPr>
      <w:tabs>
        <w:tab w:val="clear" w:pos="567"/>
        <w:tab w:val="clear" w:pos="1134"/>
        <w:tab w:val="clear" w:pos="1701"/>
        <w:tab w:val="clear" w:pos="2268"/>
        <w:tab w:val="clear" w:pos="2835"/>
      </w:tabs>
      <w:spacing w:before="40" w:after="40"/>
    </w:pPr>
    <w:rPr>
      <w:sz w:val="22"/>
    </w:rPr>
  </w:style>
  <w:style w:type="paragraph" w:customStyle="1" w:styleId="Tabletitle">
    <w:name w:val="Table_title"/>
    <w:basedOn w:val="TableNo"/>
    <w:next w:val="Tabletext"/>
    <w:rsid w:val="00850852"/>
    <w:pPr>
      <w:tabs>
        <w:tab w:val="clear" w:pos="567"/>
        <w:tab w:val="clear" w:pos="1134"/>
        <w:tab w:val="clear" w:pos="1701"/>
        <w:tab w:val="clear" w:pos="2268"/>
        <w:tab w:val="clear" w:pos="2835"/>
        <w:tab w:val="left" w:pos="2948"/>
        <w:tab w:val="left" w:pos="4082"/>
      </w:tabs>
      <w:spacing w:before="0"/>
    </w:pPr>
    <w:rPr>
      <w:b/>
      <w:caps w:val="0"/>
      <w:sz w:val="22"/>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D70032"/>
    <w:pPr>
      <w:spacing w:before="80"/>
      <w:ind w:left="567" w:hanging="567"/>
    </w:pPr>
    <w:rPr>
      <w:lang w:val="es-ES"/>
    </w:r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D70032"/>
    <w:pPr>
      <w:keepNext/>
      <w:keepLines/>
      <w:spacing w:before="80" w:after="80"/>
      <w:jc w:val="center"/>
    </w:pPr>
    <w:rPr>
      <w:b/>
      <w:sz w:val="20"/>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5640EC"/>
    <w:rPr>
      <w:rFonts w:ascii="Calibri" w:hAnsi="Calibri"/>
      <w:color w:val="0070C0"/>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uiPriority w:val="59"/>
    <w:rsid w:val="00205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in">
    <w:name w:val="Table_fin"/>
    <w:basedOn w:val="Tabletext"/>
    <w:rsid w:val="0020526E"/>
    <w:pPr>
      <w:spacing w:before="0" w:after="0"/>
    </w:pPr>
    <w:rPr>
      <w:rFonts w:eastAsiaTheme="minorEastAsia"/>
      <w:lang w:val="en-US"/>
    </w:rPr>
  </w:style>
  <w:style w:type="paragraph" w:customStyle="1" w:styleId="Figure-with-legend">
    <w:name w:val="Figure-with-legend"/>
    <w:basedOn w:val="Normal"/>
    <w:rsid w:val="0020526E"/>
    <w:pPr>
      <w:keepNext/>
      <w:keepLines/>
      <w:tabs>
        <w:tab w:val="clear" w:pos="567"/>
        <w:tab w:val="clear" w:pos="1134"/>
        <w:tab w:val="clear" w:pos="1701"/>
        <w:tab w:val="clear" w:pos="2268"/>
        <w:tab w:val="clear" w:pos="2835"/>
      </w:tabs>
      <w:overflowPunct/>
      <w:autoSpaceDE/>
      <w:autoSpaceDN/>
      <w:adjustRightInd/>
      <w:jc w:val="center"/>
      <w:textAlignment w:val="auto"/>
    </w:pPr>
    <w:rPr>
      <w:rFonts w:eastAsia="SimSun"/>
      <w:noProof/>
      <w:szCs w:val="24"/>
      <w:lang w:val="en-US" w:eastAsia="zh-CN"/>
    </w:rPr>
  </w:style>
  <w:style w:type="paragraph" w:customStyle="1" w:styleId="Figurelegend">
    <w:name w:val="Figure_legend"/>
    <w:basedOn w:val="Normal"/>
    <w:rsid w:val="0020526E"/>
    <w:pPr>
      <w:spacing w:before="20" w:after="240" w:line="259" w:lineRule="auto"/>
      <w:jc w:val="both"/>
    </w:pPr>
    <w:rPr>
      <w:i/>
      <w:iCs/>
      <w:sz w:val="20"/>
      <w:lang w:val="en-GB"/>
    </w:rPr>
  </w:style>
  <w:style w:type="paragraph" w:styleId="ListBullet">
    <w:name w:val="List Bullet"/>
    <w:basedOn w:val="Normal"/>
    <w:uiPriority w:val="99"/>
    <w:unhideWhenUsed/>
    <w:rsid w:val="0020526E"/>
    <w:pPr>
      <w:tabs>
        <w:tab w:val="clear" w:pos="567"/>
        <w:tab w:val="clear" w:pos="1134"/>
        <w:tab w:val="clear" w:pos="1701"/>
        <w:tab w:val="clear" w:pos="2268"/>
        <w:tab w:val="clear" w:pos="2835"/>
        <w:tab w:val="num" w:pos="360"/>
      </w:tabs>
      <w:overflowPunct/>
      <w:autoSpaceDE/>
      <w:autoSpaceDN/>
      <w:adjustRightInd/>
      <w:spacing w:before="0" w:after="200" w:line="276" w:lineRule="auto"/>
      <w:ind w:left="360" w:hanging="360"/>
      <w:contextualSpacing/>
      <w:textAlignment w:val="auto"/>
    </w:pPr>
    <w:rPr>
      <w:rFonts w:eastAsiaTheme="minorEastAsia" w:cstheme="minorBidi"/>
      <w:sz w:val="22"/>
      <w:szCs w:val="22"/>
      <w:lang w:val="en-US"/>
    </w:rPr>
  </w:style>
  <w:style w:type="paragraph" w:styleId="ListBullet2">
    <w:name w:val="List Bullet 2"/>
    <w:basedOn w:val="Normal"/>
    <w:uiPriority w:val="99"/>
    <w:unhideWhenUsed/>
    <w:rsid w:val="0020526E"/>
    <w:pPr>
      <w:tabs>
        <w:tab w:val="clear" w:pos="567"/>
        <w:tab w:val="clear" w:pos="1134"/>
        <w:tab w:val="clear" w:pos="1701"/>
        <w:tab w:val="clear" w:pos="2268"/>
        <w:tab w:val="clear" w:pos="2835"/>
        <w:tab w:val="num" w:pos="720"/>
      </w:tabs>
      <w:overflowPunct/>
      <w:autoSpaceDE/>
      <w:autoSpaceDN/>
      <w:adjustRightInd/>
      <w:spacing w:before="0" w:after="200" w:line="276" w:lineRule="auto"/>
      <w:ind w:left="720" w:hanging="360"/>
      <w:contextualSpacing/>
      <w:textAlignment w:val="auto"/>
    </w:pPr>
    <w:rPr>
      <w:rFonts w:eastAsiaTheme="minorEastAsia" w:cstheme="minorBidi"/>
      <w:sz w:val="22"/>
      <w:szCs w:val="22"/>
      <w:lang w:val="en-US"/>
    </w:rPr>
  </w:style>
  <w:style w:type="paragraph" w:styleId="Revision">
    <w:name w:val="Revision"/>
    <w:hidden/>
    <w:uiPriority w:val="99"/>
    <w:semiHidden/>
    <w:rsid w:val="00C01429"/>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md/S26-CL-C-0085/es" TargetMode="External"/><Relationship Id="rId18" Type="http://schemas.openxmlformats.org/officeDocument/2006/relationships/hyperlink" Target="https://www.itu.int/md/S20-CL-C-0074/en" TargetMode="External"/><Relationship Id="rId26" Type="http://schemas.openxmlformats.org/officeDocument/2006/relationships/hyperlink" Target="https://www.itu.int/md/S26-CL-C-0085/en" TargetMode="External"/><Relationship Id="rId39" Type="http://schemas.openxmlformats.org/officeDocument/2006/relationships/hyperlink" Target="https://www.itu.int/dms_pub/itu-d/md/26/tdag33/c/D26-TDAG33-C-0002!N1-A1!MSW-S.docx" TargetMode="External"/><Relationship Id="rId21" Type="http://schemas.openxmlformats.org/officeDocument/2006/relationships/hyperlink" Target="https://www.itu.int/md/S26-CL-C-0085/en" TargetMode="External"/><Relationship Id="rId34" Type="http://schemas.openxmlformats.org/officeDocument/2006/relationships/hyperlink" Target="https://www.itu.int/en/council/Documents/basic-texts-2023/RES-025-E.pdf" TargetMode="External"/><Relationship Id="rId42" Type="http://schemas.openxmlformats.org/officeDocument/2006/relationships/hyperlink" Target="https://www.ict.gov.pg/Press%20Statement/Pacific%20ICT%20Ministerial%20Declaration.%20Monday%2028%20August%202023.%20APEC%20Haus.pdf" TargetMode="External"/><Relationship Id="rId47" Type="http://schemas.openxmlformats.org/officeDocument/2006/relationships/hyperlink" Target="https://www.itu.int/md/S24-CL-C-0066/es" TargetMode="External"/><Relationship Id="rId50"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1.xml"/><Relationship Id="rId16" Type="http://schemas.openxmlformats.org/officeDocument/2006/relationships/hyperlink" Target="https://www.itu.int/dms_pub/itu-d/md/26/tdag33/c/D26-TDAG33-C-0002!N1-A1!MSW-S.docx" TargetMode="External"/><Relationship Id="rId29" Type="http://schemas.openxmlformats.org/officeDocument/2006/relationships/hyperlink" Target="https://www.itu.int/en/council/Documents/basic-texts-2023/RES-025-S.pdf" TargetMode="External"/><Relationship Id="rId11" Type="http://schemas.openxmlformats.org/officeDocument/2006/relationships/hyperlink" Target="https://www.itu.int/md/S24-CL-C-0066/es" TargetMode="External"/><Relationship Id="rId24" Type="http://schemas.openxmlformats.org/officeDocument/2006/relationships/hyperlink" Target="https://www.itu.int/dms_pub/itu-d/md/26/tdag33/c/D26-TDAG33-C-0002!N1-A1!MSW-E.docx" TargetMode="External"/><Relationship Id="rId32" Type="http://schemas.openxmlformats.org/officeDocument/2006/relationships/hyperlink" Target="https://www.itu.int/md/S26-CL-C-0024/es" TargetMode="External"/><Relationship Id="rId37" Type="http://schemas.openxmlformats.org/officeDocument/2006/relationships/hyperlink" Target="https://www.itu.int/md/S26-CL-C-0024/en" TargetMode="External"/><Relationship Id="rId40" Type="http://schemas.openxmlformats.org/officeDocument/2006/relationships/hyperlink" Target="https://www.itu.int/dms_pub/itu-d/md/26/tdag33/c/D26-TDAG33-C-0002!N1-A1!MSW-E.docx" TargetMode="External"/><Relationship Id="rId45" Type="http://schemas.openxmlformats.org/officeDocument/2006/relationships/hyperlink" Target="https://www.itu.int/net4/ITU-D/CDS/Resolutions/Resolution-94-Baku-2025.pdf" TargetMode="External"/><Relationship Id="rId5" Type="http://schemas.openxmlformats.org/officeDocument/2006/relationships/settings" Target="settings.xml"/><Relationship Id="rId15" Type="http://schemas.openxmlformats.org/officeDocument/2006/relationships/hyperlink" Target="https://www.itu.int/pub/D-TDC-WTDC-2025/es" TargetMode="External"/><Relationship Id="rId23" Type="http://schemas.openxmlformats.org/officeDocument/2006/relationships/hyperlink" Target="https://www.itu.int/pub/D-TDC-WTDC-2025" TargetMode="External"/><Relationship Id="rId28" Type="http://schemas.openxmlformats.org/officeDocument/2006/relationships/hyperlink" Target="https://www.itu.int/md/S26-CL-C-0119/en" TargetMode="External"/><Relationship Id="rId36" Type="http://schemas.openxmlformats.org/officeDocument/2006/relationships/hyperlink" Target="https://www.itu.int/pub/D-TDC-WTDC-2025" TargetMode="External"/><Relationship Id="rId49" Type="http://schemas.openxmlformats.org/officeDocument/2006/relationships/header" Target="header1.xml"/><Relationship Id="rId10" Type="http://schemas.openxmlformats.org/officeDocument/2006/relationships/hyperlink" Target="https://www.itu.int/en/council/Documents/basic-texts-2023/RES-025-S.pdf" TargetMode="External"/><Relationship Id="rId19" Type="http://schemas.openxmlformats.org/officeDocument/2006/relationships/hyperlink" Target="https://www.itu.int/md/S24-CL-C-0066/en" TargetMode="External"/><Relationship Id="rId31" Type="http://schemas.openxmlformats.org/officeDocument/2006/relationships/hyperlink" Target="https://www.itu.int/pub/D-TDC-WTDC-2025/es" TargetMode="External"/><Relationship Id="rId44" Type="http://schemas.openxmlformats.org/officeDocument/2006/relationships/hyperlink" Target="https://www.itu.int/net4/ITU-D/CDS/Resolutions/Resolution-94-Baku-2025.pdf"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itu.int/md/S26-CL-C-0119/es" TargetMode="External"/><Relationship Id="rId22" Type="http://schemas.openxmlformats.org/officeDocument/2006/relationships/hyperlink" Target="https://www.itu.int/md/S26-CL-C-0119/en" TargetMode="External"/><Relationship Id="rId27" Type="http://schemas.openxmlformats.org/officeDocument/2006/relationships/hyperlink" Target="https://www.itu.int/md/S26-CL-C-0119/es" TargetMode="External"/><Relationship Id="rId30" Type="http://schemas.openxmlformats.org/officeDocument/2006/relationships/hyperlink" Target="https://www.itu.int/md/S20-CL-C-0074/es" TargetMode="External"/><Relationship Id="rId35" Type="http://schemas.openxmlformats.org/officeDocument/2006/relationships/hyperlink" Target="https://www.itu.int/md/S20-CL-C-0074/en" TargetMode="External"/><Relationship Id="rId43" Type="http://schemas.openxmlformats.org/officeDocument/2006/relationships/hyperlink" Target="https://www.ict.gov.pg/Press%20Statement/Pacific%20ICT%20Ministerial%20Declaration.%20Monday%2028%20August%202023.%20APEC%20Haus.pdf" TargetMode="External"/><Relationship Id="rId48" Type="http://schemas.openxmlformats.org/officeDocument/2006/relationships/hyperlink" Target="https://www.itu.int/md/S24-CL-C-0066/en"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www.itu.int/md/S26-CL-C-0024/es" TargetMode="External"/><Relationship Id="rId17" Type="http://schemas.openxmlformats.org/officeDocument/2006/relationships/hyperlink" Target="https://www.itu.int/en/council/Documents/basic-texts-2023/RES-025-E.pdf" TargetMode="External"/><Relationship Id="rId25" Type="http://schemas.openxmlformats.org/officeDocument/2006/relationships/hyperlink" Target="https://www.itu.int/md/S26-CL-C-0085/es" TargetMode="External"/><Relationship Id="rId33" Type="http://schemas.openxmlformats.org/officeDocument/2006/relationships/hyperlink" Target="https://www.itu.int/md/S24-CL-C-0066/es" TargetMode="External"/><Relationship Id="rId38" Type="http://schemas.openxmlformats.org/officeDocument/2006/relationships/hyperlink" Target="https://www.itu.int/md/S24-CL-C-0066/en" TargetMode="External"/><Relationship Id="rId46" Type="http://schemas.openxmlformats.org/officeDocument/2006/relationships/image" Target="media/image2.png"/><Relationship Id="rId20" Type="http://schemas.openxmlformats.org/officeDocument/2006/relationships/hyperlink" Target="https://www.itu.int/md/S26-CL-C-0024/en" TargetMode="External"/><Relationship Id="rId41" Type="http://schemas.openxmlformats.org/officeDocument/2006/relationships/hyperlink" Target="https://www.itu.int/md/S24-CL-C-0066/es" TargetMode="External"/><Relationship Id="rId1" Type="http://schemas.microsoft.com/office/2006/relationships/keyMapCustomizations" Target="customizations.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tu.int/en/ITU-D/Regional-Presence/AsiaPacific/Documents/Projects/Pacific%20Feasibility%20Study/07102026%20ITU%20Pacific%20Regional%20Presence%20Feasibility%20Stud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26FDA-FDB2-4246-BBCF-03A9E3FBC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5579</Words>
  <Characters>29182</Characters>
  <Application>Microsoft Office Word</Application>
  <DocSecurity>0</DocSecurity>
  <Lines>729</Lines>
  <Paragraphs>377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34384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para la creación de una oficina de la UIT en el Pacífico</dc:title>
  <dc:subject>ITU Plenipotentiary Conference (PP-26)</dc:subject>
  <cp:keywords>PP-26, PP26, ITU</cp:keywords>
  <dc:description/>
  <dcterms:created xsi:type="dcterms:W3CDTF">2026-10-14T13:00:00Z</dcterms:created>
  <dcterms:modified xsi:type="dcterms:W3CDTF">2026-10-14T13:16:00Z</dcterms:modified>
  <cp:category>Conference document</cp:category>
</cp:coreProperties>
</file>