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1018D9" w14:paraId="062D8C7A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3E7296F" w14:textId="77777777" w:rsidR="00A27A55" w:rsidRPr="001018D9" w:rsidRDefault="00F34194" w:rsidP="000D42F6">
            <w:pPr>
              <w:spacing w:before="0"/>
            </w:pPr>
            <w:bookmarkStart w:id="0" w:name="ditulogo"/>
            <w:bookmarkEnd w:id="0"/>
            <w:r w:rsidRPr="001018D9"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2287606D" wp14:editId="29A9807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1018D9" w14:paraId="7B85CD85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C72CF42" w14:textId="77777777" w:rsidR="00B1156A" w:rsidRPr="001018D9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</w:rPr>
            </w:pPr>
            <w:bookmarkStart w:id="1" w:name="dhead"/>
          </w:p>
        </w:tc>
      </w:tr>
      <w:tr w:rsidR="00F96AB4" w:rsidRPr="001018D9" w14:paraId="1ACC880D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72A7082" w14:textId="77777777" w:rsidR="00F96AB4" w:rsidRPr="001018D9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122B1B8C" w14:textId="77777777" w:rsidR="00F96AB4" w:rsidRPr="001018D9" w:rsidRDefault="00F96AB4" w:rsidP="004805DE">
            <w:pPr>
              <w:spacing w:before="0"/>
              <w:rPr>
                <w:rFonts w:cstheme="minorHAnsi"/>
                <w:sz w:val="18"/>
                <w:szCs w:val="22"/>
              </w:rPr>
            </w:pPr>
          </w:p>
        </w:tc>
      </w:tr>
      <w:bookmarkEnd w:id="1"/>
      <w:bookmarkEnd w:id="2"/>
      <w:tr w:rsidR="005E1BF1" w:rsidRPr="001018D9" w14:paraId="4B99AB46" w14:textId="77777777" w:rsidTr="0087080B">
        <w:trPr>
          <w:cantSplit/>
          <w:jc w:val="center"/>
        </w:trPr>
        <w:tc>
          <w:tcPr>
            <w:tcW w:w="7229" w:type="dxa"/>
          </w:tcPr>
          <w:p w14:paraId="338C2B6C" w14:textId="77777777" w:rsidR="005E1BF1" w:rsidRPr="001018D9" w:rsidRDefault="005E1BF1" w:rsidP="005E1BF1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1018D9">
              <w:rPr>
                <w:lang w:val="ru-RU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236A99C4" w14:textId="6DADD718" w:rsidR="005E1BF1" w:rsidRPr="001018D9" w:rsidRDefault="005E1BF1" w:rsidP="005E1BF1">
            <w:pPr>
              <w:tabs>
                <w:tab w:val="left" w:pos="851"/>
              </w:tabs>
              <w:spacing w:before="0"/>
              <w:rPr>
                <w:rFonts w:cstheme="minorHAnsi"/>
                <w:b/>
                <w:bCs/>
                <w:szCs w:val="28"/>
              </w:rPr>
            </w:pPr>
            <w:r w:rsidRPr="001018D9">
              <w:rPr>
                <w:b/>
                <w:bCs/>
              </w:rPr>
              <w:t>Документ 66-R</w:t>
            </w:r>
          </w:p>
        </w:tc>
      </w:tr>
      <w:tr w:rsidR="005E1BF1" w:rsidRPr="001018D9" w14:paraId="55E67BBB" w14:textId="77777777" w:rsidTr="0087080B">
        <w:trPr>
          <w:cantSplit/>
          <w:jc w:val="center"/>
        </w:trPr>
        <w:tc>
          <w:tcPr>
            <w:tcW w:w="7229" w:type="dxa"/>
          </w:tcPr>
          <w:p w14:paraId="614C89AC" w14:textId="77777777" w:rsidR="005E1BF1" w:rsidRPr="001018D9" w:rsidRDefault="005E1BF1" w:rsidP="005E1BF1">
            <w:pPr>
              <w:spacing w:before="0"/>
              <w:rPr>
                <w:rFonts w:cstheme="minorHAnsi"/>
                <w:b/>
                <w:bCs/>
                <w:szCs w:val="28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04A853E" w14:textId="430C0CFC" w:rsidR="005E1BF1" w:rsidRPr="001018D9" w:rsidRDefault="005E1BF1" w:rsidP="005E1BF1">
            <w:pPr>
              <w:spacing w:before="0"/>
              <w:rPr>
                <w:rFonts w:cstheme="minorHAnsi"/>
                <w:b/>
                <w:bCs/>
                <w:szCs w:val="28"/>
              </w:rPr>
            </w:pPr>
            <w:r w:rsidRPr="001018D9">
              <w:rPr>
                <w:b/>
                <w:bCs/>
              </w:rPr>
              <w:t>7 октября 2026 года</w:t>
            </w:r>
          </w:p>
        </w:tc>
      </w:tr>
      <w:tr w:rsidR="005E1BF1" w:rsidRPr="001018D9" w14:paraId="3F5BCFA7" w14:textId="77777777" w:rsidTr="0087080B">
        <w:trPr>
          <w:cantSplit/>
          <w:jc w:val="center"/>
        </w:trPr>
        <w:tc>
          <w:tcPr>
            <w:tcW w:w="7229" w:type="dxa"/>
          </w:tcPr>
          <w:p w14:paraId="06259778" w14:textId="77777777" w:rsidR="005E1BF1" w:rsidRPr="001018D9" w:rsidRDefault="005E1BF1" w:rsidP="005E1BF1">
            <w:pPr>
              <w:spacing w:before="0"/>
              <w:rPr>
                <w:rFonts w:cstheme="minorHAnsi"/>
                <w:b/>
                <w:smallCaps/>
                <w:szCs w:val="28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B308499" w14:textId="7C5205D1" w:rsidR="005E1BF1" w:rsidRPr="001018D9" w:rsidRDefault="005E1BF1" w:rsidP="005E1BF1">
            <w:pPr>
              <w:spacing w:before="0"/>
              <w:rPr>
                <w:rFonts w:cstheme="minorHAnsi"/>
                <w:b/>
                <w:bCs/>
                <w:szCs w:val="28"/>
              </w:rPr>
            </w:pPr>
            <w:r w:rsidRPr="001018D9">
              <w:rPr>
                <w:b/>
                <w:bCs/>
              </w:rPr>
              <w:t>Оригинал: английский</w:t>
            </w:r>
          </w:p>
        </w:tc>
      </w:tr>
      <w:tr w:rsidR="00F96AB4" w:rsidRPr="001018D9" w14:paraId="0E13FF0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03A0D10" w14:textId="77777777" w:rsidR="00F96AB4" w:rsidRPr="001018D9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</w:rPr>
            </w:pPr>
          </w:p>
        </w:tc>
      </w:tr>
      <w:tr w:rsidR="00F96AB4" w:rsidRPr="001018D9" w14:paraId="07103BB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02B4559" w14:textId="6DA457D8" w:rsidR="00F96AB4" w:rsidRPr="001018D9" w:rsidRDefault="000E2F5A" w:rsidP="004805DE">
            <w:pPr>
              <w:pStyle w:val="Source"/>
              <w:rPr>
                <w:szCs w:val="26"/>
              </w:rPr>
            </w:pPr>
            <w:bookmarkStart w:id="3" w:name="dsource" w:colFirst="0" w:colLast="0"/>
            <w:r w:rsidRPr="001018D9">
              <w:rPr>
                <w:szCs w:val="26"/>
              </w:rPr>
              <w:t>Отчет Генерального секретаря</w:t>
            </w:r>
          </w:p>
        </w:tc>
      </w:tr>
      <w:tr w:rsidR="00F96AB4" w:rsidRPr="001018D9" w14:paraId="6B75026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4CF301A" w14:textId="2CE5245A" w:rsidR="00F96AB4" w:rsidRPr="001018D9" w:rsidRDefault="00D15682" w:rsidP="004805DE">
            <w:pPr>
              <w:pStyle w:val="Title1"/>
              <w:rPr>
                <w:szCs w:val="26"/>
              </w:rPr>
            </w:pPr>
            <w:bookmarkStart w:id="4" w:name="dtitle1" w:colFirst="0" w:colLast="0"/>
            <w:bookmarkEnd w:id="3"/>
            <w:r w:rsidRPr="001018D9">
              <w:rPr>
                <w:szCs w:val="26"/>
              </w:rPr>
              <w:t>ПЛАН СОЗДАНИЯ ОТДЕЛЕНИЯ МСЭ В ТИХООКЕАНСКОМ РЕГИОНЕ</w:t>
            </w:r>
          </w:p>
        </w:tc>
      </w:tr>
      <w:bookmarkEnd w:id="4"/>
    </w:tbl>
    <w:p w14:paraId="33A89321" w14:textId="77777777" w:rsidR="00F96AB4" w:rsidRPr="001018D9" w:rsidRDefault="00F96AB4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937"/>
      </w:tblGrid>
      <w:tr w:rsidR="000E2F5A" w:rsidRPr="001018D9" w14:paraId="5B1F7E8C" w14:textId="77777777" w:rsidTr="00B35D04">
        <w:trPr>
          <w:trHeight w:val="3402"/>
          <w:jc w:val="center"/>
        </w:trPr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3F9AA" w14:textId="77777777" w:rsidR="000E2F5A" w:rsidRPr="001018D9" w:rsidRDefault="000E2F5A" w:rsidP="000E2F5A">
            <w:pPr>
              <w:pStyle w:val="Headingb"/>
            </w:pPr>
            <w:r w:rsidRPr="001018D9">
              <w:t>Резюме</w:t>
            </w:r>
          </w:p>
          <w:p w14:paraId="4CD15961" w14:textId="0345158F" w:rsidR="000E2F5A" w:rsidRPr="001018D9" w:rsidRDefault="00201EE3" w:rsidP="002237FC">
            <w:pPr>
              <w:jc w:val="both"/>
            </w:pPr>
            <w:r w:rsidRPr="001018D9">
              <w:t>Двадцать восьмого апреля 2026 года сессия Совета 2026 года в принципе утвердила создание зонального отделения МСЭ для Тихоокеанского региона и поручила секретариату разработать подробный план создания нового зонального отделения и представить его на рассмотрение Полномочной конференции (ПК-26). В настоящем документе представлена базовая информация и методика, которые использовались для разработки плана создания отделения, включая предложения относительно укомплектования штатов, финансовый анализ и соображения материально-технического характера.</w:t>
            </w:r>
          </w:p>
          <w:p w14:paraId="165EAA71" w14:textId="77777777" w:rsidR="000E2F5A" w:rsidRPr="001018D9" w:rsidRDefault="000E2F5A" w:rsidP="000E2F5A">
            <w:pPr>
              <w:pStyle w:val="Headingb"/>
            </w:pPr>
            <w:r w:rsidRPr="001018D9">
              <w:t>Необходимые действия</w:t>
            </w:r>
          </w:p>
          <w:p w14:paraId="48BD8079" w14:textId="45E9E63F" w:rsidR="000E2F5A" w:rsidRPr="001018D9" w:rsidRDefault="000E2F5A" w:rsidP="00B35D04">
            <w:r w:rsidRPr="001018D9">
              <w:t xml:space="preserve">Полномочной конференции предлагается </w:t>
            </w:r>
            <w:r w:rsidRPr="001018D9">
              <w:rPr>
                <w:b/>
                <w:bCs/>
              </w:rPr>
              <w:t>рассмотреть</w:t>
            </w:r>
            <w:r w:rsidRPr="001018D9">
              <w:t xml:space="preserve"> настоящий отчет.</w:t>
            </w:r>
          </w:p>
          <w:p w14:paraId="10656BAB" w14:textId="77777777" w:rsidR="00B26450" w:rsidRPr="001018D9" w:rsidRDefault="00B26450" w:rsidP="00B26450">
            <w:pPr>
              <w:spacing w:before="160"/>
              <w:rPr>
                <w:b/>
                <w:bCs/>
              </w:rPr>
            </w:pPr>
            <w:r w:rsidRPr="001018D9">
              <w:rPr>
                <w:b/>
                <w:bCs/>
              </w:rPr>
              <w:t>Соответствующая увязка со Стратегическим планом</w:t>
            </w:r>
          </w:p>
          <w:p w14:paraId="1DE049E7" w14:textId="77777777" w:rsidR="00B26450" w:rsidRPr="001018D9" w:rsidRDefault="00B26450" w:rsidP="00B26450">
            <w:pPr>
              <w:jc w:val="both"/>
            </w:pPr>
            <w:r w:rsidRPr="001018D9">
              <w:rPr>
                <w:rFonts w:eastAsia="Calibri" w:cs="Calibri"/>
                <w:szCs w:val="24"/>
              </w:rPr>
              <w:t>Региональное присутствие, п. 66 Стратегического плана Союза на 2024–2027 годы.</w:t>
            </w:r>
          </w:p>
          <w:p w14:paraId="7E414264" w14:textId="77777777" w:rsidR="000E2F5A" w:rsidRPr="001018D9" w:rsidRDefault="000E2F5A" w:rsidP="000E2F5A">
            <w:pPr>
              <w:pStyle w:val="Headingb"/>
            </w:pPr>
            <w:r w:rsidRPr="001018D9">
              <w:t>Финансовые последствия</w:t>
            </w:r>
          </w:p>
          <w:p w14:paraId="00A96982" w14:textId="3904EFBE" w:rsidR="000E2F5A" w:rsidRPr="001018D9" w:rsidRDefault="009D4320" w:rsidP="002237FC">
            <w:pPr>
              <w:jc w:val="both"/>
            </w:pPr>
            <w:r w:rsidRPr="001018D9">
              <w:rPr>
                <w:rFonts w:eastAsia="Calibri" w:cs="Calibri"/>
              </w:rPr>
              <w:t>Согласно оценке, потребуется 521</w:t>
            </w:r>
            <w:r w:rsidR="00B607E1" w:rsidRPr="001018D9">
              <w:rPr>
                <w:rFonts w:eastAsia="Calibri" w:cs="Calibri"/>
              </w:rPr>
              <w:t> </w:t>
            </w:r>
            <w:r w:rsidRPr="001018D9">
              <w:rPr>
                <w:rFonts w:eastAsia="Calibri" w:cs="Calibri"/>
              </w:rPr>
              <w:t>806 швейцарских франков на первый год и 1 368 814 швейцарских франков на последующие три года (1 890 620 швейцарских франков на четыре года) в дополнение к категориям затрат, не относящихся к персоналу, которые обычно покрываются принимающими странами</w:t>
            </w:r>
            <w:r w:rsidR="000E2F5A" w:rsidRPr="001018D9">
              <w:rPr>
                <w:szCs w:val="22"/>
              </w:rPr>
              <w:t>.</w:t>
            </w:r>
          </w:p>
          <w:p w14:paraId="28F6907A" w14:textId="77777777" w:rsidR="000E2F5A" w:rsidRPr="001018D9" w:rsidRDefault="000E2F5A" w:rsidP="00B35D04">
            <w:pPr>
              <w:jc w:val="center"/>
            </w:pPr>
            <w:r w:rsidRPr="001018D9">
              <w:t>______________</w:t>
            </w:r>
          </w:p>
          <w:p w14:paraId="16116F17" w14:textId="77777777" w:rsidR="000E2F5A" w:rsidRPr="001018D9" w:rsidRDefault="000E2F5A" w:rsidP="00B35D04">
            <w:pPr>
              <w:rPr>
                <w:b/>
              </w:rPr>
            </w:pPr>
            <w:r w:rsidRPr="001018D9">
              <w:rPr>
                <w:b/>
              </w:rPr>
              <w:t>Справочные материалы</w:t>
            </w:r>
          </w:p>
          <w:p w14:paraId="35DF85DF" w14:textId="4647818D" w:rsidR="000E2F5A" w:rsidRPr="001018D9" w:rsidRDefault="00CC443B" w:rsidP="00B35D04">
            <w:pPr>
              <w:spacing w:after="120"/>
              <w:rPr>
                <w:i/>
                <w:iCs/>
                <w:color w:val="000000"/>
              </w:rPr>
            </w:pPr>
            <w:r w:rsidRPr="001018D9">
              <w:rPr>
                <w:i/>
                <w:iCs/>
                <w:szCs w:val="22"/>
              </w:rPr>
              <w:t xml:space="preserve">Резолюция </w:t>
            </w:r>
            <w:hyperlink r:id="rId8">
              <w:r w:rsidRPr="001018D9">
                <w:rPr>
                  <w:rStyle w:val="Hyperlink"/>
                  <w:i/>
                  <w:iCs/>
                  <w:szCs w:val="22"/>
                </w:rPr>
                <w:t>25 (Пересм. Бухарест, 2022 г.)</w:t>
              </w:r>
            </w:hyperlink>
            <w:r w:rsidRPr="001018D9">
              <w:rPr>
                <w:i/>
                <w:iCs/>
                <w:szCs w:val="22"/>
              </w:rPr>
              <w:t xml:space="preserve"> Полномочной конференции, </w:t>
            </w:r>
            <w:r w:rsidR="00B607E1" w:rsidRPr="001018D9">
              <w:rPr>
                <w:i/>
                <w:iCs/>
                <w:spacing w:val="-3"/>
                <w:szCs w:val="22"/>
              </w:rPr>
              <w:t xml:space="preserve">Документы </w:t>
            </w:r>
            <w:hyperlink r:id="rId9" w:history="1">
              <w:r w:rsidRPr="001018D9">
                <w:rPr>
                  <w:rStyle w:val="Hyperlink"/>
                  <w:i/>
                  <w:iCs/>
                  <w:spacing w:val="-3"/>
                  <w:szCs w:val="22"/>
                </w:rPr>
                <w:t>C20/74</w:t>
              </w:r>
            </w:hyperlink>
            <w:r w:rsidRPr="001018D9">
              <w:rPr>
                <w:i/>
                <w:iCs/>
                <w:spacing w:val="-3"/>
                <w:szCs w:val="22"/>
              </w:rPr>
              <w:t xml:space="preserve">, </w:t>
            </w:r>
            <w:hyperlink r:id="rId10" w:history="1">
              <w:r w:rsidRPr="001018D9">
                <w:rPr>
                  <w:rStyle w:val="Hyperlink"/>
                  <w:i/>
                  <w:iCs/>
                  <w:spacing w:val="-3"/>
                  <w:szCs w:val="22"/>
                </w:rPr>
                <w:t>C24/66</w:t>
              </w:r>
            </w:hyperlink>
            <w:r w:rsidRPr="001018D9">
              <w:rPr>
                <w:i/>
                <w:iCs/>
                <w:spacing w:val="-3"/>
                <w:szCs w:val="22"/>
              </w:rPr>
              <w:t xml:space="preserve">, </w:t>
            </w:r>
            <w:hyperlink r:id="rId11" w:history="1">
              <w:r w:rsidRPr="001018D9">
                <w:rPr>
                  <w:rStyle w:val="Hyperlink"/>
                  <w:i/>
                  <w:iCs/>
                  <w:spacing w:val="-3"/>
                  <w:szCs w:val="22"/>
                </w:rPr>
                <w:t>C26/24</w:t>
              </w:r>
            </w:hyperlink>
            <w:r w:rsidRPr="001018D9">
              <w:rPr>
                <w:i/>
                <w:iCs/>
                <w:spacing w:val="-3"/>
                <w:szCs w:val="22"/>
              </w:rPr>
              <w:t xml:space="preserve">, </w:t>
            </w:r>
            <w:hyperlink r:id="rId12" w:history="1">
              <w:r w:rsidRPr="001018D9">
                <w:rPr>
                  <w:rStyle w:val="Hyperlink"/>
                  <w:i/>
                  <w:iCs/>
                  <w:spacing w:val="-3"/>
                  <w:szCs w:val="22"/>
                </w:rPr>
                <w:t>C26/85</w:t>
              </w:r>
            </w:hyperlink>
            <w:r w:rsidRPr="001018D9">
              <w:rPr>
                <w:i/>
                <w:iCs/>
                <w:spacing w:val="-3"/>
                <w:szCs w:val="22"/>
              </w:rPr>
              <w:t xml:space="preserve"> и </w:t>
            </w:r>
            <w:hyperlink r:id="rId13" w:history="1">
              <w:r w:rsidRPr="001018D9">
                <w:rPr>
                  <w:rStyle w:val="Hyperlink"/>
                  <w:i/>
                  <w:iCs/>
                  <w:spacing w:val="-3"/>
                  <w:szCs w:val="22"/>
                </w:rPr>
                <w:t>C</w:t>
              </w:r>
              <w:r w:rsidRPr="001018D9">
                <w:rPr>
                  <w:rStyle w:val="Hyperlink"/>
                  <w:i/>
                  <w:iCs/>
                  <w:szCs w:val="22"/>
                </w:rPr>
                <w:t>26/119</w:t>
              </w:r>
            </w:hyperlink>
            <w:r w:rsidRPr="001018D9">
              <w:rPr>
                <w:i/>
                <w:iCs/>
                <w:spacing w:val="-3"/>
                <w:szCs w:val="22"/>
              </w:rPr>
              <w:t xml:space="preserve"> Совета</w:t>
            </w:r>
            <w:r w:rsidRPr="001018D9">
              <w:rPr>
                <w:i/>
                <w:iCs/>
                <w:szCs w:val="22"/>
              </w:rPr>
              <w:t xml:space="preserve">; </w:t>
            </w:r>
            <w:hyperlink r:id="rId14">
              <w:r w:rsidRPr="001018D9">
                <w:rPr>
                  <w:rStyle w:val="Hyperlink"/>
                  <w:i/>
                  <w:iCs/>
                  <w:szCs w:val="22"/>
                </w:rPr>
                <w:t>Резолюции 16, 17 и 94 (Баку, 2025 г.) Всемирной конференции по развитию электросвязи</w:t>
              </w:r>
            </w:hyperlink>
            <w:r w:rsidRPr="001018D9">
              <w:rPr>
                <w:i/>
                <w:szCs w:val="22"/>
              </w:rPr>
              <w:t xml:space="preserve">; </w:t>
            </w:r>
            <w:hyperlink r:id="rId15">
              <w:r w:rsidRPr="001018D9">
                <w:rPr>
                  <w:rStyle w:val="Hyperlink"/>
                  <w:i/>
                  <w:iCs/>
                  <w:szCs w:val="22"/>
                </w:rPr>
                <w:t>Документ КГРЭ 26/2(Add.1) КГРЭ</w:t>
              </w:r>
            </w:hyperlink>
          </w:p>
        </w:tc>
      </w:tr>
    </w:tbl>
    <w:p w14:paraId="12058E91" w14:textId="6FC1B827" w:rsidR="000E2F5A" w:rsidRPr="001018D9" w:rsidRDefault="00F96AB4" w:rsidP="004335F9">
      <w:pPr>
        <w:pStyle w:val="Heading1"/>
        <w:ind w:left="0" w:firstLine="0"/>
        <w:rPr>
          <w:rFonts w:eastAsia="Calibri"/>
        </w:rPr>
      </w:pPr>
      <w:r w:rsidRPr="001018D9">
        <w:br w:type="page"/>
      </w:r>
    </w:p>
    <w:p w14:paraId="3C6AF458" w14:textId="77777777" w:rsidR="00F952F7" w:rsidRPr="001018D9" w:rsidRDefault="00F952F7" w:rsidP="00F952F7">
      <w:pPr>
        <w:pStyle w:val="Headingb"/>
      </w:pPr>
      <w:r w:rsidRPr="001018D9">
        <w:lastRenderedPageBreak/>
        <w:t>Введение</w:t>
      </w:r>
    </w:p>
    <w:p w14:paraId="6E2C9B99" w14:textId="77777777" w:rsidR="00F952F7" w:rsidRPr="001018D9" w:rsidRDefault="00F952F7" w:rsidP="002237FC">
      <w:pPr>
        <w:jc w:val="both"/>
      </w:pPr>
      <w:r w:rsidRPr="001018D9">
        <w:t xml:space="preserve">Сессия Совета Международного союза электросвязи (МСЭ) 2026 года рассмотрела вклад группы Государств-Членов из Тихоокеанского региона (Документ </w:t>
      </w:r>
      <w:hyperlink r:id="rId16" w:history="1">
        <w:r w:rsidRPr="001018D9">
          <w:rPr>
            <w:rStyle w:val="Hyperlink"/>
          </w:rPr>
          <w:t>C26/85</w:t>
        </w:r>
      </w:hyperlink>
      <w:r w:rsidRPr="001018D9">
        <w:t>), в котором Совету предлагается рассмотреть вопрос о создании зонального отделения МСЭ в Тихоокеанском регионе.</w:t>
      </w:r>
    </w:p>
    <w:p w14:paraId="405A2F4C" w14:textId="77777777" w:rsidR="00F952F7" w:rsidRPr="001018D9" w:rsidRDefault="00F952F7" w:rsidP="002237FC">
      <w:pPr>
        <w:jc w:val="both"/>
      </w:pPr>
      <w:r w:rsidRPr="001018D9">
        <w:t xml:space="preserve">Совет (Документ </w:t>
      </w:r>
      <w:hyperlink r:id="rId17" w:history="1">
        <w:r w:rsidRPr="001018D9">
          <w:rPr>
            <w:rStyle w:val="Hyperlink"/>
          </w:rPr>
          <w:t>C26/119</w:t>
        </w:r>
      </w:hyperlink>
      <w:r w:rsidRPr="001018D9">
        <w:t>) в принципе согласился с установлением присутствия МСЭ в Тихоокеанском регионе и поручил секретариату разработать конкретные варианты и план создания зонального отделения МСЭ в Тихоокеанском регионе. Совет предложил включить в план создания отделения подробный финансовый анализ ресурсов, вопросы укомплектования штатов, размещения и договоренностей о финансировании, а также представить предложение Полномочной конференции 2026 года (ПК-26) для рассмотрения и утверждения.</w:t>
      </w:r>
    </w:p>
    <w:p w14:paraId="5ED5540B" w14:textId="77777777" w:rsidR="00F952F7" w:rsidRPr="001018D9" w:rsidRDefault="00F952F7" w:rsidP="00F952F7">
      <w:pPr>
        <w:pStyle w:val="Headingb"/>
      </w:pPr>
      <w:r w:rsidRPr="001018D9">
        <w:t>Базовая информация</w:t>
      </w:r>
    </w:p>
    <w:p w14:paraId="3906173E" w14:textId="1FABFDDE" w:rsidR="00F952F7" w:rsidRPr="001018D9" w:rsidRDefault="00F952F7" w:rsidP="002237FC">
      <w:pPr>
        <w:jc w:val="both"/>
      </w:pPr>
      <w:r w:rsidRPr="001018D9">
        <w:t xml:space="preserve">В соответствии с Резолюцией </w:t>
      </w:r>
      <w:hyperlink r:id="rId18" w:history="1">
        <w:r w:rsidRPr="001018D9">
          <w:rPr>
            <w:rStyle w:val="Hyperlink"/>
          </w:rPr>
          <w:t>25 (Пересм. Бухарест, 2022 г.)</w:t>
        </w:r>
      </w:hyperlink>
      <w:r w:rsidRPr="001018D9">
        <w:t xml:space="preserve"> Полномочной конференции, отчетом PwC о региональном присутствии МСЭ (Документ </w:t>
      </w:r>
      <w:hyperlink r:id="rId19" w:history="1">
        <w:r w:rsidRPr="001018D9">
          <w:rPr>
            <w:rStyle w:val="Hyperlink"/>
          </w:rPr>
          <w:t>C20/74</w:t>
        </w:r>
      </w:hyperlink>
      <w:r w:rsidRPr="001018D9">
        <w:t xml:space="preserve">), Резолюциями </w:t>
      </w:r>
      <w:hyperlink r:id="rId20" w:history="1">
        <w:r w:rsidRPr="001018D9">
          <w:rPr>
            <w:rStyle w:val="Hyperlink"/>
          </w:rPr>
          <w:t>16 (Пересм. Баку, 2025 г.)</w:t>
        </w:r>
      </w:hyperlink>
      <w:r w:rsidRPr="001018D9">
        <w:t xml:space="preserve">, </w:t>
      </w:r>
      <w:hyperlink r:id="rId21" w:history="1">
        <w:r w:rsidRPr="001018D9">
          <w:rPr>
            <w:rStyle w:val="Hyperlink"/>
          </w:rPr>
          <w:t>17</w:t>
        </w:r>
        <w:r w:rsidR="00B607E1" w:rsidRPr="001018D9">
          <w:rPr>
            <w:rStyle w:val="Hyperlink"/>
          </w:rPr>
          <w:t> </w:t>
        </w:r>
        <w:r w:rsidRPr="001018D9">
          <w:rPr>
            <w:rStyle w:val="Hyperlink"/>
          </w:rPr>
          <w:t>(Пересм. Баку, 2025 г.)</w:t>
        </w:r>
      </w:hyperlink>
      <w:r w:rsidRPr="001018D9">
        <w:t xml:space="preserve"> и </w:t>
      </w:r>
      <w:hyperlink r:id="rId22" w:history="1">
        <w:r w:rsidRPr="001018D9">
          <w:rPr>
            <w:rStyle w:val="Hyperlink"/>
          </w:rPr>
          <w:t>94 (Баку, 2025 г.)</w:t>
        </w:r>
      </w:hyperlink>
      <w:r w:rsidRPr="001018D9">
        <w:t xml:space="preserve"> ВКРЭ, региональной инициативой 1 Азиатско-Тихоокеанского региона, продолжающимися обсуждениями регионального присутствия МСЭ (Документ </w:t>
      </w:r>
      <w:hyperlink r:id="rId23" w:history="1">
        <w:r w:rsidRPr="001018D9">
          <w:rPr>
            <w:rStyle w:val="Hyperlink"/>
          </w:rPr>
          <w:t>C26/24</w:t>
        </w:r>
      </w:hyperlink>
      <w:r w:rsidRPr="001018D9">
        <w:t xml:space="preserve">) и предыдущими обсуждениями в Совете критериев создания новых региональных и зональных отделений МСЭ (Документ </w:t>
      </w:r>
      <w:hyperlink r:id="rId24" w:history="1">
        <w:r w:rsidRPr="001018D9">
          <w:rPr>
            <w:rStyle w:val="Hyperlink"/>
          </w:rPr>
          <w:t>C24/66</w:t>
        </w:r>
      </w:hyperlink>
      <w:r w:rsidRPr="001018D9">
        <w:t>), Региональное отделение МСЭ для Азиатско-Тихоокеанского региона при поддержке правительства Австралии провело оценку потребностей Тихоокеанского региона и ситуационный анализ.</w:t>
      </w:r>
    </w:p>
    <w:p w14:paraId="39B678EB" w14:textId="4E06613F" w:rsidR="00F952F7" w:rsidRPr="001018D9" w:rsidRDefault="00F952F7" w:rsidP="002237FC">
      <w:pPr>
        <w:jc w:val="both"/>
      </w:pPr>
      <w:r w:rsidRPr="001018D9">
        <w:t>Резюме оценки потребностей и ситуационного анализа было представлено 33-й сессии Консультативной группы по развитию электросвязи (КГРЭ) в апреле 2026 года (Приложение</w:t>
      </w:r>
      <w:r w:rsidR="00B607E1" w:rsidRPr="001018D9">
        <w:t> </w:t>
      </w:r>
      <w:r w:rsidRPr="001018D9">
        <w:t>1 к</w:t>
      </w:r>
      <w:r w:rsidR="00B607E1" w:rsidRPr="001018D9">
        <w:t> </w:t>
      </w:r>
      <w:r w:rsidRPr="001018D9">
        <w:t>Документу</w:t>
      </w:r>
      <w:r w:rsidR="00B607E1" w:rsidRPr="001018D9">
        <w:t> </w:t>
      </w:r>
      <w:hyperlink r:id="rId25" w:history="1">
        <w:r w:rsidRPr="001018D9">
          <w:rPr>
            <w:rStyle w:val="Hyperlink"/>
          </w:rPr>
          <w:t>TDAG-26/2(Add.1)</w:t>
        </w:r>
      </w:hyperlink>
      <w:r w:rsidRPr="001018D9">
        <w:t>).</w:t>
      </w:r>
    </w:p>
    <w:p w14:paraId="2849AF95" w14:textId="77777777" w:rsidR="00F952F7" w:rsidRPr="001018D9" w:rsidRDefault="00F952F7" w:rsidP="005200AC">
      <w:pPr>
        <w:pStyle w:val="Headingi"/>
      </w:pPr>
      <w:r w:rsidRPr="001018D9">
        <w:t>Оценка потребностей на 2024–2025 годы и ситуационный анализ</w:t>
      </w:r>
    </w:p>
    <w:p w14:paraId="2DE1A34C" w14:textId="77777777" w:rsidR="00F952F7" w:rsidRPr="001018D9" w:rsidRDefault="00F952F7" w:rsidP="002237FC">
      <w:pPr>
        <w:jc w:val="both"/>
      </w:pPr>
      <w:r w:rsidRPr="001018D9">
        <w:t>МСЭ является давним партнером малых островных развивающихся государств Тихого океана (PSIDS), поддерживая их усилия по содействию инклюзивной и устойчивой цифровой трансформации. Через свое Региональное отделение для Азиатско-Тихоокеанского региона МСЭ обеспечивает техническую помощь, политическую и регуляторную поддержку, развитие потенциала, экспертные знания в области кибербезопасности, помощь в управлении использованием спектра, а также поддержку инициатив по электросвязи в чрезвычайных ситуациях и охвату цифровыми технологиями. МСЭ также реализовал практические проекты по установлению соединений, включая инициативу "Умные деревни и умные острова", направленную на распространение преимуществ цифровых технологий на отдаленные и обслуживаемые в недостаточной степени сообщества.</w:t>
      </w:r>
    </w:p>
    <w:p w14:paraId="44426EFB" w14:textId="77777777" w:rsidR="00F952F7" w:rsidRPr="001018D9" w:rsidRDefault="00F952F7" w:rsidP="002237FC">
      <w:pPr>
        <w:jc w:val="both"/>
      </w:pPr>
      <w:r w:rsidRPr="001018D9">
        <w:t xml:space="preserve">Признавая уникальные условия тихоокеанских стран, Региональное отделение МСЭ для Азиатско-Тихоокеанского региона в 2024 году приступило к проведению оценки потребностей Тихоокеанского региона и ситуационного анализа в рамках проекта "Технико-экономическое обоснование удовлетворения особых потребностей малых островных развивающихся государств Тихого океана (PSIDS)". Проект финансировался Министерством инфраструктуры, транспорта, регионального развития, связи, спорта и искусств Австралии (DITRDCSA) и осуществлялся на основе критериев создания новых региональных и зональных отделений МСЭ (Документ </w:t>
      </w:r>
      <w:hyperlink r:id="rId26" w:history="1">
        <w:r w:rsidRPr="001018D9">
          <w:rPr>
            <w:rStyle w:val="Hyperlink"/>
          </w:rPr>
          <w:t>C24/66</w:t>
        </w:r>
      </w:hyperlink>
      <w:r w:rsidRPr="001018D9">
        <w:t>), принятых на сессии Совета МСЭ 2024 года.</w:t>
      </w:r>
    </w:p>
    <w:p w14:paraId="43A85AE4" w14:textId="77777777" w:rsidR="00F952F7" w:rsidRPr="001018D9" w:rsidRDefault="00F952F7" w:rsidP="002237FC">
      <w:pPr>
        <w:jc w:val="both"/>
      </w:pPr>
      <w:r w:rsidRPr="001018D9">
        <w:t>В исследовании были определены конкретные и неотложные потребности PSIDS в электросвязи и ИКТ и предложен набор программных приоритетов с учетом таких факторов, как географическая рассредоточенность, небольшой размер рынка и значительная разница часовых поясов с Женевой и Бангкоком. Полученные результаты обсуждались с представителями PSIDS в ходе консультаций, состоявшихся в Суве, Фиджи, в феврале 2025 года. После этих консультаций было организовано несколько раундов внесения поправок, прежде чем отчет был завершен.</w:t>
      </w:r>
    </w:p>
    <w:p w14:paraId="2CB3B026" w14:textId="0A2F78F3" w:rsidR="00F952F7" w:rsidRPr="001018D9" w:rsidRDefault="00F952F7" w:rsidP="002237FC">
      <w:pPr>
        <w:jc w:val="both"/>
      </w:pPr>
      <w:r w:rsidRPr="001018D9">
        <w:lastRenderedPageBreak/>
        <w:t>Оценка потребностей и ситуационный анализ показали, что PSIDS по-прежнему сталкиваются со</w:t>
      </w:r>
      <w:r w:rsidR="005200AC">
        <w:rPr>
          <w:lang w:val="en-US"/>
        </w:rPr>
        <w:t> </w:t>
      </w:r>
      <w:r w:rsidRPr="001018D9">
        <w:t>структурными и контекстуальными препятствиями на пути к цифровой трансформации. Значительные пробелы в инфраструктуре, включая низкий и неравномерный уровень проникновения широкополосной связи, зависимость от одного подводного кабеля и ограниченные возможности установления соединений в сельских районах, сдерживают распространение цифровых сетей в регионе. Приемлемость в ценовом отношении остается серьезной проблемой, поскольку стоимость интернета в ряде стран превышает признанные на международном уровне целевые показатели приемлемости в ценовом отношении и потребляет непропорционально большую долю доходов домохозяйств. Кроме того, фрагментированная нормативно-правовая база и ограниченное региональное согласование по-прежнему препятствуют инвестициям частного сектора и региональному сотрудничеству.</w:t>
      </w:r>
    </w:p>
    <w:p w14:paraId="04797B0C" w14:textId="77777777" w:rsidR="00F952F7" w:rsidRPr="001018D9" w:rsidRDefault="00F952F7" w:rsidP="002237FC">
      <w:pPr>
        <w:jc w:val="both"/>
      </w:pPr>
      <w:r w:rsidRPr="001018D9">
        <w:t xml:space="preserve">Несмотря на эти проблемы, цифровая трансформация широко признана во всем Тихоокеанском регионе важнейшим фактором устойчивого развития и инклюзивного роста. В этом контексте страны Тихоокеанского региона последовательно заявляли о необходимости укрепления регионального присутствия МСЭ, в том числе на собраниях министров по вопросам ИКТ стран Тихоокеанского региона в 2023 и 2026 годах, состоявшихся в Папуа-Новой Гвинее, а также в итоговых политических документах регионального уровня, в первую очередь в </w:t>
      </w:r>
      <w:hyperlink r:id="rId27" w:history="1">
        <w:r w:rsidRPr="001018D9">
          <w:rPr>
            <w:rStyle w:val="Hyperlink"/>
          </w:rPr>
          <w:t>Лагатойской декларации министров ИКТ стран Тихоокеанского региона</w:t>
        </w:r>
      </w:hyperlink>
      <w:r w:rsidRPr="001018D9">
        <w:t xml:space="preserve"> 2023 года.</w:t>
      </w:r>
    </w:p>
    <w:p w14:paraId="43723BA6" w14:textId="77777777" w:rsidR="00F952F7" w:rsidRPr="001018D9" w:rsidRDefault="00F952F7" w:rsidP="002237FC">
      <w:pPr>
        <w:jc w:val="both"/>
      </w:pPr>
      <w:r w:rsidRPr="001018D9">
        <w:t xml:space="preserve">Создание зонального отделения МСЭ в Тихоокеанском регионе обеспечило бы более оперативную, устойчивую и учитывающую конкретные условия поддержку PSIDS в соответствии с </w:t>
      </w:r>
      <w:hyperlink r:id="rId28" w:history="1">
        <w:r w:rsidRPr="001018D9">
          <w:rPr>
            <w:rStyle w:val="Hyperlink"/>
          </w:rPr>
          <w:t>Резолюцией 94 (Баку, 2025 г.) ВКРЭ</w:t>
        </w:r>
      </w:hyperlink>
      <w:r w:rsidRPr="001018D9">
        <w:t xml:space="preserve"> и призывом к усилению взаимодействия и расширению институционального присутствия в Тихоокеанском регионе, содержащимся в Лагатойской декларации.</w:t>
      </w:r>
    </w:p>
    <w:p w14:paraId="1067234D" w14:textId="77777777" w:rsidR="00F952F7" w:rsidRPr="001018D9" w:rsidRDefault="00F952F7" w:rsidP="002237FC">
      <w:pPr>
        <w:pStyle w:val="Headingi"/>
        <w:jc w:val="both"/>
      </w:pPr>
      <w:r w:rsidRPr="001018D9">
        <w:t>Технико-экономическое обоснование 2026 года</w:t>
      </w:r>
    </w:p>
    <w:p w14:paraId="5FC20C33" w14:textId="77777777" w:rsidR="00F952F7" w:rsidRPr="001018D9" w:rsidRDefault="00F952F7" w:rsidP="002237FC">
      <w:pPr>
        <w:jc w:val="both"/>
      </w:pPr>
      <w:r w:rsidRPr="001018D9">
        <w:t>На основе результатов оценки потребностей и ситуационного анализа МСЭ разработал технико-экономическое обоснование расширения своего регионального присутствия в Тихоокеанском регионе.</w:t>
      </w:r>
    </w:p>
    <w:p w14:paraId="325AE874" w14:textId="6105D2F8" w:rsidR="00F952F7" w:rsidRPr="001018D9" w:rsidRDefault="00F952F7" w:rsidP="002237FC">
      <w:pPr>
        <w:jc w:val="both"/>
      </w:pPr>
      <w:r w:rsidRPr="001018D9">
        <w:t>Технико-экономическое обоснование</w:t>
      </w:r>
      <w:r w:rsidRPr="001018D9">
        <w:rPr>
          <w:rStyle w:val="FootnoteReference"/>
        </w:rPr>
        <w:footnoteReference w:id="1"/>
      </w:r>
      <w:r w:rsidRPr="001018D9">
        <w:t xml:space="preserve"> было подготовлено в ходе поэтапного консультативного процесса. После завершения оценки потребностей и ситуационного анализа МСЭ обсудил с Государствами-Членами из Тихоокеанского региона возможные подходы к укреплению своего присутствия в регионе. Консультации проводились в рамках семинара-практикума по цифровой трансформации для Тихоокеанского региона, состоявшегося в Суве, Фиджи, в феврале 2025 года, а</w:t>
      </w:r>
      <w:r w:rsidR="00B607E1" w:rsidRPr="001018D9">
        <w:t> </w:t>
      </w:r>
      <w:r w:rsidRPr="001018D9">
        <w:t>также в рамках последующих онлайновых и очных собраний, проведенных 17, 19, 23 и 24 февраля, 9</w:t>
      </w:r>
      <w:r w:rsidR="00B607E1" w:rsidRPr="001018D9">
        <w:t> </w:t>
      </w:r>
      <w:r w:rsidRPr="001018D9">
        <w:t>июня и 6 августа 2026 года наряду с 19-м Форумом АТСЭ по политике и регулированию для Тихоокеанского региона (PRFP).</w:t>
      </w:r>
    </w:p>
    <w:p w14:paraId="64948181" w14:textId="77777777" w:rsidR="00F952F7" w:rsidRPr="001018D9" w:rsidRDefault="00F952F7" w:rsidP="002237FC">
      <w:pPr>
        <w:jc w:val="both"/>
      </w:pPr>
      <w:r w:rsidRPr="001018D9">
        <w:t>В ходе этих консультаций члены рассмотрели ряд вариантов укрепления механизмов поддержки МСЭ и регионального присутствия в Тихоокеанском регионе. Было определено пять широких вариантов:</w:t>
      </w:r>
    </w:p>
    <w:p w14:paraId="30392A20" w14:textId="6CD92A97" w:rsidR="00F952F7" w:rsidRPr="001018D9" w:rsidRDefault="00F952F7" w:rsidP="002237FC">
      <w:pPr>
        <w:pStyle w:val="enumlev1"/>
        <w:jc w:val="both"/>
      </w:pPr>
      <w:r w:rsidRPr="001018D9">
        <w:t>1</w:t>
      </w:r>
      <w:r w:rsidR="00B607E1" w:rsidRPr="001018D9">
        <w:t>)</w:t>
      </w:r>
      <w:r w:rsidRPr="001018D9">
        <w:tab/>
        <w:t>создание зонального отделения с его размещением в одной стране;</w:t>
      </w:r>
    </w:p>
    <w:p w14:paraId="1C11D58F" w14:textId="789C135B" w:rsidR="00F952F7" w:rsidRPr="001018D9" w:rsidRDefault="00F952F7" w:rsidP="002237FC">
      <w:pPr>
        <w:pStyle w:val="enumlev1"/>
        <w:jc w:val="both"/>
      </w:pPr>
      <w:r w:rsidRPr="001018D9">
        <w:t>2</w:t>
      </w:r>
      <w:r w:rsidR="00B607E1" w:rsidRPr="001018D9">
        <w:t>)</w:t>
      </w:r>
      <w:r w:rsidRPr="001018D9">
        <w:tab/>
        <w:t>распределение персонала МСЭ по нескольким тихоокеанским странам в рамках сетевой модели под началом руководителя зонального отделения;</w:t>
      </w:r>
    </w:p>
    <w:p w14:paraId="733A90CF" w14:textId="169F8D90" w:rsidR="00F952F7" w:rsidRPr="001018D9" w:rsidRDefault="00F952F7" w:rsidP="002237FC">
      <w:pPr>
        <w:pStyle w:val="enumlev1"/>
        <w:jc w:val="both"/>
      </w:pPr>
      <w:r w:rsidRPr="001018D9">
        <w:t>3</w:t>
      </w:r>
      <w:r w:rsidR="00B607E1" w:rsidRPr="001018D9">
        <w:t>)</w:t>
      </w:r>
      <w:r w:rsidRPr="001018D9">
        <w:tab/>
        <w:t>продолжение или расширение поддержки со стороны Регионального отделения в Бангкоке;</w:t>
      </w:r>
    </w:p>
    <w:p w14:paraId="0D6B3397" w14:textId="77777777" w:rsidR="005200AC" w:rsidRDefault="005200AC" w:rsidP="002237FC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jc w:val="both"/>
        <w:textAlignment w:val="auto"/>
      </w:pPr>
      <w:r>
        <w:br w:type="page"/>
      </w:r>
    </w:p>
    <w:p w14:paraId="28D24871" w14:textId="15197A08" w:rsidR="00F952F7" w:rsidRPr="001018D9" w:rsidRDefault="00F952F7" w:rsidP="002237FC">
      <w:pPr>
        <w:pStyle w:val="enumlev1"/>
        <w:jc w:val="both"/>
      </w:pPr>
      <w:r w:rsidRPr="001018D9">
        <w:lastRenderedPageBreak/>
        <w:t>4</w:t>
      </w:r>
      <w:r w:rsidR="00B607E1" w:rsidRPr="001018D9">
        <w:t>)</w:t>
      </w:r>
      <w:r w:rsidRPr="001018D9">
        <w:tab/>
        <w:t>создание на основе ротации зонального отделения в Тихоокеанском регионе; и</w:t>
      </w:r>
    </w:p>
    <w:p w14:paraId="2631D89D" w14:textId="1066BBA1" w:rsidR="00F952F7" w:rsidRPr="001018D9" w:rsidRDefault="00F952F7" w:rsidP="002237FC">
      <w:pPr>
        <w:pStyle w:val="enumlev1"/>
        <w:jc w:val="both"/>
      </w:pPr>
      <w:r w:rsidRPr="001018D9">
        <w:t>5</w:t>
      </w:r>
      <w:r w:rsidR="00B607E1" w:rsidRPr="001018D9">
        <w:t>)</w:t>
      </w:r>
      <w:r w:rsidRPr="001018D9">
        <w:tab/>
        <w:t>размещение зонального отделения МСЭ при субрегиональной организации, такой как секретариат Форума тихоокеанских островов (PIFS) или Тихоокеанское сообщество (SPC).</w:t>
      </w:r>
    </w:p>
    <w:p w14:paraId="614FD666" w14:textId="77777777" w:rsidR="00F952F7" w:rsidRPr="001018D9" w:rsidRDefault="00F952F7" w:rsidP="002237FC">
      <w:pPr>
        <w:jc w:val="both"/>
      </w:pPr>
      <w:r w:rsidRPr="001018D9">
        <w:t>По итогам этих консультаций были оставлены два варианта для подробного анализа осуществимости:</w:t>
      </w:r>
    </w:p>
    <w:p w14:paraId="4EE0FF50" w14:textId="77777777" w:rsidR="00F952F7" w:rsidRPr="001018D9" w:rsidRDefault="00F952F7" w:rsidP="002237FC">
      <w:pPr>
        <w:pStyle w:val="enumlev1"/>
        <w:jc w:val="both"/>
      </w:pPr>
      <w:r w:rsidRPr="001018D9">
        <w:t>•</w:t>
      </w:r>
      <w:r w:rsidRPr="001018D9">
        <w:tab/>
        <w:t>модель зонального отделения в одной стране; и</w:t>
      </w:r>
    </w:p>
    <w:p w14:paraId="28AF8E5C" w14:textId="77777777" w:rsidR="00F952F7" w:rsidRPr="001018D9" w:rsidRDefault="00F952F7" w:rsidP="002237FC">
      <w:pPr>
        <w:pStyle w:val="enumlev1"/>
        <w:jc w:val="both"/>
      </w:pPr>
      <w:r w:rsidRPr="001018D9">
        <w:t>•</w:t>
      </w:r>
      <w:r w:rsidRPr="001018D9">
        <w:tab/>
        <w:t>распределенное присутствие МСЭ в нескольких тихоокеанских странах.</w:t>
      </w:r>
    </w:p>
    <w:p w14:paraId="71F52148" w14:textId="77777777" w:rsidR="00F952F7" w:rsidRPr="001018D9" w:rsidRDefault="00F952F7" w:rsidP="002237FC">
      <w:pPr>
        <w:jc w:val="both"/>
      </w:pPr>
      <w:r w:rsidRPr="001018D9">
        <w:t>Впоследствии была проведена оценка по критериям, принятым Советом МСЭ 2024 года для будущего регионального присутствия, а именно актуальности, эксклюзивности, целесообразности, безопасности, близости и доступности. Оценка показала, что пять стран, а именно Фиджи, Федеративные Штаты Микронезии (ФШМ), Папуа-Новая Гвинея (ПНГ), Самоа и Тонга, соответствуют установленным критериям и поэтому были определены в качестве возможных мест для дальнейшего рассмотрения.</w:t>
      </w:r>
    </w:p>
    <w:p w14:paraId="640ABA65" w14:textId="5B2C27C4" w:rsidR="00F952F7" w:rsidRPr="001018D9" w:rsidRDefault="00F952F7" w:rsidP="002237FC">
      <w:pPr>
        <w:jc w:val="both"/>
      </w:pPr>
      <w:r w:rsidRPr="001018D9">
        <w:t>В рамках технико-экономического обоснования два сохраненных варианта были трансформированы в конкретные модели создания отделения для сравнительного анализа. Согласно варианту</w:t>
      </w:r>
      <w:r w:rsidR="005200AC">
        <w:rPr>
          <w:lang w:val="en-US"/>
        </w:rPr>
        <w:t> </w:t>
      </w:r>
      <w:r w:rsidRPr="001018D9">
        <w:t>1 зональное отделение МСЭ будет размещено в одной тихоокеанской стране, при этом весь персонал будет размещен в принимающей стране. Для целей определения затрат в этой модели предполагается структура штатного расписания, включающая одну должность P5, одну должность P3 и одну должность G5. Согласно варианту 2 персонал МСЭ будет распределен по нескольким тихоокеанским странам и будет действовать как сеть под началом руководителя зонального отделения.</w:t>
      </w:r>
    </w:p>
    <w:p w14:paraId="0A9D9C9F" w14:textId="77777777" w:rsidR="00F952F7" w:rsidRPr="001018D9" w:rsidRDefault="00F952F7" w:rsidP="002237FC">
      <w:pPr>
        <w:jc w:val="both"/>
      </w:pPr>
      <w:r w:rsidRPr="001018D9">
        <w:t>Далее в исследовании отмечается, что, хотя размещение отделения МСЭ при субрегиональной организации, такой как PIFS или SPC, не входило в число двух вариантов, первоначально сохраненных после консультаций в Фиджи в 2025 году, несколько членов впоследствии обратились с просьбой оценить PIFS как возможный вариант размещения в свете его роли принимающей стороны секретариата, поддерживающего выполнение Лагатойской декларации.</w:t>
      </w:r>
    </w:p>
    <w:p w14:paraId="5B8E30C3" w14:textId="77777777" w:rsidR="00F952F7" w:rsidRPr="001018D9" w:rsidRDefault="00F952F7" w:rsidP="002237FC">
      <w:pPr>
        <w:jc w:val="both"/>
      </w:pPr>
      <w:r w:rsidRPr="001018D9">
        <w:t>Таким образом, технико-экономическое обоснование обеспечивает структурированную основу для рассмотрения того, как МСЭ может расширить свое присутствие в Тихоокеанском регионе таким образом, чтобы это соответствовало его мандату, отвечало потребностям PSIDS и опиралось как на количественные, так и качественные данные.</w:t>
      </w:r>
    </w:p>
    <w:p w14:paraId="78F1A119" w14:textId="5DE39D5D" w:rsidR="00F952F7" w:rsidRPr="001018D9" w:rsidRDefault="00F952F7" w:rsidP="002237FC">
      <w:pPr>
        <w:jc w:val="both"/>
      </w:pPr>
      <w:r w:rsidRPr="001018D9">
        <w:t xml:space="preserve">При подготовке исследования </w:t>
      </w:r>
      <w:r w:rsidR="001018D9" w:rsidRPr="001018D9">
        <w:t>секретариат</w:t>
      </w:r>
      <w:r w:rsidRPr="001018D9">
        <w:t xml:space="preserve"> также учитывал текущие инициативы по реформированию Организации Объединенных Наций, включая Инициативу "ООН-80", возможную реструктуризацию страновых и многострановых групп Организации Объединенных Наций, усиление региональной координации программ Организации Объединенных Наций и более широкое использование общих ресурсов Организации Объединенных Наций, а также результаты обзора регионального присутствия МСЭ. С учетом вышеизложенного предлагаемое зональное отделение будет создаваться таким образом, чтобы добиться максимальной эффективности работы, использовать существующие партнерские отношения и региональные учреждения и избежать дублирования при одновременном укреплении поддержки Государств-Членов из Тихоокеанского региона.</w:t>
      </w:r>
    </w:p>
    <w:p w14:paraId="68BE2A60" w14:textId="77777777" w:rsidR="00F952F7" w:rsidRPr="001018D9" w:rsidRDefault="00F952F7" w:rsidP="00F952F7">
      <w:pPr>
        <w:pStyle w:val="Headingi"/>
      </w:pPr>
      <w:r w:rsidRPr="001018D9">
        <w:lastRenderedPageBreak/>
        <w:t>Подробный анализ двух вариантов</w:t>
      </w:r>
    </w:p>
    <w:p w14:paraId="626C8D19" w14:textId="77777777" w:rsidR="00F952F7" w:rsidRDefault="00F952F7" w:rsidP="0006430F">
      <w:pPr>
        <w:keepNext/>
      </w:pPr>
      <w:r w:rsidRPr="001018D9">
        <w:t xml:space="preserve">Далее сохраненные варианты были проанализированы в привязке к трем моделям, как показано ниже: </w:t>
      </w:r>
    </w:p>
    <w:p w14:paraId="4C657C37" w14:textId="21490732" w:rsidR="00B52BF1" w:rsidRPr="001018D9" w:rsidRDefault="00B52BF1" w:rsidP="0006430F">
      <w:pPr>
        <w:keepNext/>
      </w:pPr>
      <w:r w:rsidRPr="00B52BF1">
        <w:rPr>
          <w:noProof/>
        </w:rPr>
        <w:drawing>
          <wp:inline distT="0" distB="0" distL="0" distR="0" wp14:anchorId="46E4647A" wp14:editId="6E78F192">
            <wp:extent cx="6124575" cy="4076700"/>
            <wp:effectExtent l="0" t="0" r="9525" b="0"/>
            <wp:docPr id="102520749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A773D6" w14:textId="77777777" w:rsidR="00F952F7" w:rsidRPr="001018D9" w:rsidRDefault="00F952F7" w:rsidP="00F952F7">
      <w:pPr>
        <w:pStyle w:val="Figurelegend"/>
        <w:rPr>
          <w:lang w:val="ru-RU"/>
        </w:rPr>
      </w:pPr>
      <w:r w:rsidRPr="001018D9">
        <w:rPr>
          <w:lang w:val="ru-RU"/>
        </w:rPr>
        <w:t xml:space="preserve">Источник: Технико-экономическое обоснование регионального присутствия МСЭ в Тихоокеанском регионе. </w:t>
      </w:r>
    </w:p>
    <w:p w14:paraId="69139F3F" w14:textId="4D1DB0BE" w:rsidR="00F952F7" w:rsidRPr="001018D9" w:rsidRDefault="00F952F7" w:rsidP="002237FC">
      <w:pPr>
        <w:jc w:val="both"/>
      </w:pPr>
      <w:r w:rsidRPr="001018D9">
        <w:t>В ходе встречи министров Форума островных государств Тихого океана, состоявшейся в июле 2026</w:t>
      </w:r>
      <w:r w:rsidR="0006430F" w:rsidRPr="001018D9">
        <w:t> </w:t>
      </w:r>
      <w:r w:rsidRPr="001018D9">
        <w:t>года, Фиджи и Папуа-Новая Гвинея выразили заинтересованность в размещении предлагаемого зонального отделения МСЭ. В ходе последующих консультаций и в интересах достижения регионального консенсуса обе страны выразили поддержку варианту размещения отделения при PIFS. С тех пор PIFS продвигает это предложение в рамках соответствующих процессов Форума, и в настоящее время проходит итоговый процесс одобрения размещения зонального отделения МСЭ для Тихоокеанского региона на министерском уровне. Ожидается, что официальное подтверждение будет направлено в МСЭ после завершения этого процесса.</w:t>
      </w:r>
    </w:p>
    <w:p w14:paraId="30D1312B" w14:textId="77777777" w:rsidR="00F952F7" w:rsidRPr="001018D9" w:rsidRDefault="00F952F7" w:rsidP="002237FC">
      <w:pPr>
        <w:jc w:val="both"/>
      </w:pPr>
      <w:r w:rsidRPr="001018D9">
        <w:t xml:space="preserve">Соответственно, для целей настоящего Плана создания дальнейший анализ сосредоточен на варианте 1c, а именно на создании зонального отделения МСЭ в Суве, Фиджи, размещенного при PIFS. Оценка Фиджи с точки зрения критериев Совета 2024 года для создания будущих региональных и зональных отделений (Документ </w:t>
      </w:r>
      <w:hyperlink r:id="rId30" w:history="1">
        <w:r w:rsidRPr="001018D9">
          <w:rPr>
            <w:rStyle w:val="Hyperlink"/>
          </w:rPr>
          <w:t>C24/66</w:t>
        </w:r>
      </w:hyperlink>
      <w:r w:rsidRPr="001018D9">
        <w:t xml:space="preserve">) содержится в </w:t>
      </w:r>
      <w:hyperlink w:anchor="Annex1" w:history="1">
        <w:r w:rsidRPr="001018D9">
          <w:rPr>
            <w:rStyle w:val="Hyperlink"/>
          </w:rPr>
          <w:t>Приложении 1</w:t>
        </w:r>
      </w:hyperlink>
      <w:r w:rsidRPr="001018D9">
        <w:t>.</w:t>
      </w:r>
    </w:p>
    <w:p w14:paraId="64580D12" w14:textId="77777777" w:rsidR="00F952F7" w:rsidRPr="001018D9" w:rsidRDefault="00F952F7" w:rsidP="002237FC">
      <w:pPr>
        <w:pStyle w:val="Headingi"/>
        <w:jc w:val="both"/>
        <w:rPr>
          <w:rFonts w:ascii="Times New Roman" w:hAnsi="Times New Roman"/>
          <w:i w:val="0"/>
          <w:color w:val="000000" w:themeColor="text1"/>
        </w:rPr>
      </w:pPr>
      <w:r w:rsidRPr="001018D9">
        <w:t>Соображения, связанные с людскими ресурсами</w:t>
      </w:r>
    </w:p>
    <w:p w14:paraId="20FA4C33" w14:textId="77777777" w:rsidR="00F952F7" w:rsidRPr="001018D9" w:rsidRDefault="00F952F7" w:rsidP="002237FC">
      <w:pPr>
        <w:jc w:val="both"/>
      </w:pPr>
      <w:r w:rsidRPr="001018D9">
        <w:t>По поручению Совета секретариат при подготовке плана создания зонального отделения для Тихоокеанского региона изучил структуру штатного расписания и параметры бюджета Зонального отделения МСЭ для Южной Азии и Инновационного центра. Штатное расписание Зонального отделения для Южной Азии включает одну должность P5, одну должность P3 и одну должность G5 и полностью финансируется правительством Индии.</w:t>
      </w:r>
    </w:p>
    <w:p w14:paraId="3D4A0024" w14:textId="3747993D" w:rsidR="00F952F7" w:rsidRPr="002237FC" w:rsidRDefault="00F952F7" w:rsidP="002237FC">
      <w:pPr>
        <w:jc w:val="both"/>
      </w:pPr>
      <w:r w:rsidRPr="001018D9">
        <w:t xml:space="preserve">В настоящее время поддержка странам Тихоокеанского региона предоставляется в рамках проекта, финансируемого правительством Австралии, в рамках которого для работы в регионе выделены один </w:t>
      </w:r>
      <w:r w:rsidRPr="001018D9">
        <w:lastRenderedPageBreak/>
        <w:t>сотрудник P5, один G5 и два эксперта SSA. Ценность этих дополнительных ресурсов и их вклад в продвижение конкретных приоритетов Тихоокеанского региона и адаптацию помощи МСЭ к их потребностям пользуются широким признанием среди стран-бенефициаров. До начала реализации данного проекта на нужды стран Тихоокеанского региона выделялось 50% рабочего времени сотрудника категории P4, расквартированного в Региональном отделении в Бангкоке. Однако, учитывая расстояние и часовые пояса, это было признано недостаточным и привело к разработке вышеупомянутого проекта.</w:t>
      </w:r>
    </w:p>
    <w:p w14:paraId="5AF44715" w14:textId="77777777" w:rsidR="00F952F7" w:rsidRPr="001018D9" w:rsidRDefault="00F952F7" w:rsidP="002237FC">
      <w:pPr>
        <w:jc w:val="both"/>
      </w:pPr>
      <w:r w:rsidRPr="001018D9">
        <w:t>Для создания зонального отделения МСЭ в Тихоокеанском регионе потребуется специально выделить кадровые ресурсы. В целях планирования и определения затрат в технико-экономическом обосновании предполагается структура штатного расписания, включающая одного руководителя отделения класса P5, одного сотрудника категории специалистов класса P3 и одного административного помощника класса G5. Согласно варианту 1c весь персонал будет размещен в принимающей организации, что будет способствовать комплексному управлению и координации.</w:t>
      </w:r>
    </w:p>
    <w:p w14:paraId="6857E0F2" w14:textId="77777777" w:rsidR="00F952F7" w:rsidRPr="001018D9" w:rsidRDefault="00F952F7" w:rsidP="002237FC">
      <w:pPr>
        <w:jc w:val="both"/>
      </w:pPr>
      <w:r w:rsidRPr="001018D9">
        <w:t>Потенциальные договоренности по укомплектованию штатов могут включать прямой набор персонала МСЭ, прикомандирование из регуляторных органов электросвязи, правительственных органов, региональных организаций и других соответствующих учреждений, а также откомандирование экспертов и профильных сотрудников.</w:t>
      </w:r>
    </w:p>
    <w:p w14:paraId="0E5D8879" w14:textId="77777777" w:rsidR="00F952F7" w:rsidRPr="001018D9" w:rsidRDefault="00F952F7" w:rsidP="002237FC">
      <w:pPr>
        <w:pStyle w:val="Headingi"/>
        <w:jc w:val="both"/>
      </w:pPr>
      <w:r w:rsidRPr="001018D9">
        <w:t>Соображения юридического характера</w:t>
      </w:r>
    </w:p>
    <w:p w14:paraId="3549344B" w14:textId="77777777" w:rsidR="00F952F7" w:rsidRPr="001018D9" w:rsidRDefault="00F952F7" w:rsidP="002237FC">
      <w:pPr>
        <w:jc w:val="both"/>
      </w:pPr>
      <w:r w:rsidRPr="001018D9">
        <w:t>Создание зонального отделения МСЭ в Суве, Фиджи, которое будет размещено при PIFS, потребует проведения переговоров и заключения двух отдельных юридических соглашений:</w:t>
      </w:r>
    </w:p>
    <w:p w14:paraId="5467ECC6" w14:textId="79AB369C" w:rsidR="00F952F7" w:rsidRPr="001018D9" w:rsidRDefault="00F952F7" w:rsidP="002237FC">
      <w:pPr>
        <w:pStyle w:val="enumlev1"/>
        <w:jc w:val="both"/>
      </w:pPr>
      <w:r w:rsidRPr="001018D9">
        <w:t>1</w:t>
      </w:r>
      <w:r w:rsidR="0006430F" w:rsidRPr="001018D9">
        <w:t>)</w:t>
      </w:r>
      <w:r w:rsidRPr="001018D9">
        <w:tab/>
        <w:t>Соглашение с принимающей страной с участием правительства Фиджи, охватывающее, в частности, привилегии и иммунитеты, предоставляемые зональному отделению МСЭ и его должностным лицам, а также средства и поддержку, предоставляемые правительством. В</w:t>
      </w:r>
      <w:r w:rsidR="005200AC">
        <w:rPr>
          <w:lang w:val="en-US"/>
        </w:rPr>
        <w:t> </w:t>
      </w:r>
      <w:r w:rsidRPr="001018D9">
        <w:t>данной связи следует отметить, что Фиджи является участником Конвенции о привилегиях и иммунитетах специализированных учреждений от 21 ноября 1947 года.</w:t>
      </w:r>
    </w:p>
    <w:p w14:paraId="31F3455E" w14:textId="7C788421" w:rsidR="00F952F7" w:rsidRPr="001018D9" w:rsidRDefault="00F952F7" w:rsidP="002237FC">
      <w:pPr>
        <w:pStyle w:val="enumlev1"/>
        <w:jc w:val="both"/>
      </w:pPr>
      <w:r w:rsidRPr="001018D9">
        <w:t>2</w:t>
      </w:r>
      <w:r w:rsidR="0006430F" w:rsidRPr="001018D9">
        <w:t>)</w:t>
      </w:r>
      <w:r w:rsidRPr="001018D9">
        <w:tab/>
        <w:t>Соглашение о размещении с PIFS, определяющее эксплуатационные и административные параметры, которые будут регулировать присутствие зонального отделения МСЭ в помещениях PIFS.</w:t>
      </w:r>
    </w:p>
    <w:p w14:paraId="5CB8EE07" w14:textId="38A25D14" w:rsidR="00F952F7" w:rsidRPr="001018D9" w:rsidRDefault="00F952F7" w:rsidP="00F952F7">
      <w:pPr>
        <w:pStyle w:val="Headingi"/>
      </w:pPr>
      <w:r w:rsidRPr="001018D9">
        <w:t>Соображения финансового характера</w:t>
      </w:r>
    </w:p>
    <w:p w14:paraId="3D907C4D" w14:textId="77777777" w:rsidR="00F952F7" w:rsidRPr="001018D9" w:rsidRDefault="00F952F7" w:rsidP="002237FC">
      <w:pPr>
        <w:jc w:val="both"/>
        <w:rPr>
          <w:rFonts w:eastAsia="Calibri"/>
        </w:rPr>
      </w:pPr>
      <w:r w:rsidRPr="001018D9">
        <w:rPr>
          <w:rFonts w:eastAsia="Calibri"/>
        </w:rPr>
        <w:t>Создание зонального отделения для Тихоокеанского региона повлечет как первоначальные, так и регулярные издержки, связанные с персоналом, размещением в офисах, операциями, поездками, информационными технологиями, безопасностью и административной поддержкой. Ведутся переговоры с PIFS/Фиджи о покрытии затрат, не связанных с персоналом, которые обычно покрывают принимающие страны. На данном этапе не был определен источник финансирования для покрытия затрат по персоналу и других затрат, не связанных с персоналом. Ввиду этого потребуется дальнейшее рассмотрение вопроса о наличии и устойчивости финансирования, включая потенциальные варианты покрытия затрат, связанных с персоналом.</w:t>
      </w:r>
    </w:p>
    <w:p w14:paraId="6AFD762E" w14:textId="77777777" w:rsidR="00F952F7" w:rsidRPr="001018D9" w:rsidRDefault="00F952F7" w:rsidP="002237FC">
      <w:pPr>
        <w:jc w:val="both"/>
      </w:pPr>
      <w:r w:rsidRPr="001018D9">
        <w:t>Размещение отделения при PIFS может предоставить возможности для повышения эффективности благодаря совместному использованию средств и вспомогательных услуг, хотя конкретные финансовые и административные договоренности будут предметом дальнейшего обсуждения и согласования между сторонами.</w:t>
      </w:r>
    </w:p>
    <w:p w14:paraId="18ABA53F" w14:textId="77777777" w:rsidR="00F952F7" w:rsidRPr="001018D9" w:rsidRDefault="00F952F7" w:rsidP="002237FC">
      <w:pPr>
        <w:jc w:val="both"/>
      </w:pPr>
      <w:r w:rsidRPr="001018D9">
        <w:t>В ходе консультаций, проведенных в рамках подготовки настоящего отчета, заинтересованные стороны признали, что рассмотрение вопроса об учреждении зонального отделения в Тихоокеанском регионе также потребует рассмотрения механизмов обеспечения его устойчивой работы. Обсуждались различные подходы с учетом потребности в предсказуемых и достаточных ресурсах для поддержки деятельности отделения на перспективу.</w:t>
      </w:r>
    </w:p>
    <w:p w14:paraId="0BEF0FF9" w14:textId="7FABDFD4" w:rsidR="00F952F7" w:rsidRPr="001018D9" w:rsidRDefault="00F952F7" w:rsidP="002237FC">
      <w:pPr>
        <w:jc w:val="both"/>
      </w:pPr>
      <w:r w:rsidRPr="001018D9">
        <w:lastRenderedPageBreak/>
        <w:t>Обсуждавшиеся варианты включали добровольные финансовые взносы заинтересованных Государств-Членов и партнеров, а также предоставление персонала посредством договоренностей о</w:t>
      </w:r>
      <w:r w:rsidR="0006430F" w:rsidRPr="001018D9">
        <w:t> </w:t>
      </w:r>
      <w:r w:rsidRPr="001018D9">
        <w:t>прикомандировании со стороны регуляторных органов электросвязи, государственных органов и других соответствующих учреждений. В ходе обсуждений также отмечалась возможность предоставления Государствами-Членами дополнительной финансовой поддержки посредством прямых взносов в регулярный бюджет, как это имеет место в случае Зонального отделения для Южной Азии. Конкретный источник финансирования определен не был.</w:t>
      </w:r>
    </w:p>
    <w:p w14:paraId="6D446BC4" w14:textId="77777777" w:rsidR="00F952F7" w:rsidRPr="001018D9" w:rsidRDefault="00F952F7" w:rsidP="002237FC">
      <w:pPr>
        <w:jc w:val="both"/>
      </w:pPr>
      <w:r w:rsidRPr="001018D9">
        <w:t>Технико-экономическое обоснование определяет ряд возможных мер по реализации, которые могли бы способствовать созданию и эксплуатации зонального отделения МСЭ в Тихоокеанском регионе. Эти варианты обеспечивают Государствам-Членам гибкость в определении наиболее целесообразного подхода с учетом региональных приоритетов, имеющихся ресурсов и соображений долгосрочной устойчивости. Вместе они предлагают потенциальные пути для укрепления и упрочения присутствия МСЭ в Тихоокеанском регионе.</w:t>
      </w:r>
    </w:p>
    <w:p w14:paraId="74E733C3" w14:textId="77777777" w:rsidR="00F952F7" w:rsidRPr="001018D9" w:rsidRDefault="00F952F7" w:rsidP="002237FC">
      <w:pPr>
        <w:jc w:val="both"/>
      </w:pPr>
      <w:r w:rsidRPr="001018D9">
        <w:t>Ниже приводится краткое описание финансовых последствий на первый год, а также последствий на последующие три года.</w:t>
      </w:r>
    </w:p>
    <w:p w14:paraId="64B9BFE4" w14:textId="77777777" w:rsidR="00F952F7" w:rsidRPr="001018D9" w:rsidRDefault="00F952F7" w:rsidP="00E21E1C">
      <w:pPr>
        <w:pStyle w:val="Tabletitle"/>
        <w:spacing w:before="480"/>
      </w:pPr>
      <w:r w:rsidRPr="001018D9">
        <w:t>Первый год</w:t>
      </w:r>
    </w:p>
    <w:tbl>
      <w:tblPr>
        <w:tblStyle w:val="TableGrid"/>
        <w:tblW w:w="5000" w:type="pct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83"/>
        <w:gridCol w:w="1193"/>
        <w:gridCol w:w="1806"/>
        <w:gridCol w:w="2324"/>
        <w:gridCol w:w="3129"/>
      </w:tblGrid>
      <w:tr w:rsidR="00F952F7" w:rsidRPr="001018D9" w14:paraId="49F37BEB" w14:textId="77777777" w:rsidTr="002237FC">
        <w:trPr>
          <w:cantSplit/>
          <w:trHeight w:val="300"/>
        </w:trPr>
        <w:tc>
          <w:tcPr>
            <w:tcW w:w="614" w:type="pct"/>
            <w:vAlign w:val="center"/>
          </w:tcPr>
          <w:p w14:paraId="45037800" w14:textId="77777777" w:rsidR="00F952F7" w:rsidRPr="001018D9" w:rsidRDefault="00F952F7" w:rsidP="0006430F">
            <w:pPr>
              <w:pStyle w:val="Tablehead"/>
              <w:ind w:left="-57" w:right="-57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Вариант размещения</w:t>
            </w:r>
          </w:p>
        </w:tc>
        <w:tc>
          <w:tcPr>
            <w:tcW w:w="619" w:type="pct"/>
            <w:vAlign w:val="center"/>
          </w:tcPr>
          <w:p w14:paraId="311F809A" w14:textId="77777777" w:rsidR="00F952F7" w:rsidRPr="001018D9" w:rsidRDefault="00F952F7" w:rsidP="0006430F">
            <w:pPr>
              <w:pStyle w:val="Tablehead"/>
              <w:ind w:left="-57" w:right="-57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Количество сотрудников</w:t>
            </w:r>
          </w:p>
        </w:tc>
        <w:tc>
          <w:tcPr>
            <w:tcW w:w="937" w:type="pct"/>
            <w:vAlign w:val="center"/>
          </w:tcPr>
          <w:p w14:paraId="20955D4D" w14:textId="1558500E" w:rsidR="00F952F7" w:rsidRPr="001018D9" w:rsidRDefault="00F952F7" w:rsidP="0006430F">
            <w:pPr>
              <w:pStyle w:val="Tablehead"/>
              <w:ind w:left="-57" w:right="-57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 xml:space="preserve">Ежегодные затраты по персоналу </w:t>
            </w:r>
            <w:r w:rsidRPr="001018D9">
              <w:rPr>
                <w:sz w:val="18"/>
                <w:szCs w:val="18"/>
              </w:rPr>
              <w:br/>
              <w:t>(шв</w:t>
            </w:r>
            <w:r w:rsidR="0006430F" w:rsidRPr="001018D9">
              <w:rPr>
                <w:sz w:val="18"/>
                <w:szCs w:val="18"/>
              </w:rPr>
              <w:t>. фр.</w:t>
            </w:r>
            <w:r w:rsidRPr="001018D9">
              <w:rPr>
                <w:sz w:val="18"/>
                <w:szCs w:val="18"/>
              </w:rPr>
              <w:t>)</w:t>
            </w:r>
          </w:p>
        </w:tc>
        <w:tc>
          <w:tcPr>
            <w:tcW w:w="1206" w:type="pct"/>
            <w:vAlign w:val="center"/>
          </w:tcPr>
          <w:p w14:paraId="1D292625" w14:textId="47736F02" w:rsidR="00F952F7" w:rsidRPr="001018D9" w:rsidRDefault="00F952F7" w:rsidP="0006430F">
            <w:pPr>
              <w:pStyle w:val="Tablehead"/>
              <w:ind w:left="-57" w:right="-57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 xml:space="preserve">Затраты в первом году, </w:t>
            </w:r>
            <w:r w:rsidR="0006430F" w:rsidRPr="001018D9">
              <w:rPr>
                <w:sz w:val="18"/>
                <w:szCs w:val="18"/>
              </w:rPr>
              <w:br/>
            </w:r>
            <w:r w:rsidRPr="001018D9">
              <w:rPr>
                <w:sz w:val="18"/>
                <w:szCs w:val="18"/>
              </w:rPr>
              <w:t xml:space="preserve">не связанные с персоналом </w:t>
            </w:r>
            <w:r w:rsidRPr="001018D9">
              <w:rPr>
                <w:sz w:val="18"/>
                <w:szCs w:val="18"/>
              </w:rPr>
              <w:br/>
            </w:r>
            <w:r w:rsidR="0006430F" w:rsidRPr="001018D9">
              <w:rPr>
                <w:sz w:val="18"/>
                <w:szCs w:val="18"/>
              </w:rPr>
              <w:t>(шв. фр.)</w:t>
            </w:r>
          </w:p>
        </w:tc>
        <w:tc>
          <w:tcPr>
            <w:tcW w:w="1624" w:type="pct"/>
            <w:vAlign w:val="center"/>
          </w:tcPr>
          <w:p w14:paraId="4EA924BE" w14:textId="01F9E681" w:rsidR="00F952F7" w:rsidRPr="001018D9" w:rsidRDefault="00F952F7" w:rsidP="0006430F">
            <w:pPr>
              <w:pStyle w:val="Tablehead"/>
              <w:ind w:left="-57" w:right="-57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Совокупные затраты в первом году</w:t>
            </w:r>
            <w:r w:rsidR="0006430F" w:rsidRPr="001018D9">
              <w:rPr>
                <w:sz w:val="18"/>
                <w:szCs w:val="18"/>
              </w:rPr>
              <w:t xml:space="preserve"> </w:t>
            </w:r>
            <w:r w:rsidR="0006430F" w:rsidRPr="001018D9">
              <w:rPr>
                <w:sz w:val="18"/>
                <w:szCs w:val="18"/>
              </w:rPr>
              <w:br/>
            </w:r>
            <w:r w:rsidRPr="001018D9">
              <w:rPr>
                <w:sz w:val="18"/>
                <w:szCs w:val="18"/>
              </w:rPr>
              <w:t>(затраты по персоналу + затраты, не</w:t>
            </w:r>
            <w:r w:rsidR="005200AC">
              <w:rPr>
                <w:sz w:val="18"/>
                <w:szCs w:val="18"/>
                <w:lang w:val="en-US"/>
              </w:rPr>
              <w:t> </w:t>
            </w:r>
            <w:r w:rsidRPr="001018D9">
              <w:rPr>
                <w:sz w:val="18"/>
                <w:szCs w:val="18"/>
              </w:rPr>
              <w:t>связанные с</w:t>
            </w:r>
            <w:r w:rsidR="0006430F" w:rsidRPr="001018D9">
              <w:rPr>
                <w:sz w:val="18"/>
                <w:szCs w:val="18"/>
              </w:rPr>
              <w:t> </w:t>
            </w:r>
            <w:r w:rsidRPr="001018D9">
              <w:rPr>
                <w:sz w:val="18"/>
                <w:szCs w:val="18"/>
              </w:rPr>
              <w:t xml:space="preserve">персоналом) </w:t>
            </w:r>
            <w:r w:rsidRPr="001018D9">
              <w:rPr>
                <w:sz w:val="18"/>
                <w:szCs w:val="18"/>
              </w:rPr>
              <w:br/>
            </w:r>
            <w:r w:rsidR="0006430F" w:rsidRPr="001018D9">
              <w:rPr>
                <w:sz w:val="18"/>
                <w:szCs w:val="18"/>
              </w:rPr>
              <w:t>(шв. фр.)</w:t>
            </w:r>
          </w:p>
        </w:tc>
      </w:tr>
      <w:tr w:rsidR="00F952F7" w:rsidRPr="001018D9" w14:paraId="4EC38F3B" w14:textId="77777777" w:rsidTr="002237FC">
        <w:trPr>
          <w:cantSplit/>
          <w:trHeight w:val="300"/>
        </w:trPr>
        <w:tc>
          <w:tcPr>
            <w:tcW w:w="614" w:type="pct"/>
          </w:tcPr>
          <w:p w14:paraId="1CE5B99E" w14:textId="77777777" w:rsidR="00F952F7" w:rsidRPr="001018D9" w:rsidRDefault="00F952F7" w:rsidP="0006430F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1c</w:t>
            </w:r>
          </w:p>
        </w:tc>
        <w:tc>
          <w:tcPr>
            <w:tcW w:w="619" w:type="pct"/>
          </w:tcPr>
          <w:p w14:paraId="340EB4AC" w14:textId="77777777" w:rsidR="00F952F7" w:rsidRPr="001018D9" w:rsidRDefault="00F952F7" w:rsidP="0006430F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3</w:t>
            </w:r>
          </w:p>
        </w:tc>
        <w:tc>
          <w:tcPr>
            <w:tcW w:w="937" w:type="pct"/>
          </w:tcPr>
          <w:p w14:paraId="3335EEE5" w14:textId="77777777" w:rsidR="00F952F7" w:rsidRPr="001018D9" w:rsidRDefault="00F952F7" w:rsidP="0006430F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381 077</w:t>
            </w:r>
          </w:p>
        </w:tc>
        <w:tc>
          <w:tcPr>
            <w:tcW w:w="1206" w:type="pct"/>
          </w:tcPr>
          <w:p w14:paraId="371A9AD0" w14:textId="77777777" w:rsidR="00F952F7" w:rsidRPr="001018D9" w:rsidRDefault="00F952F7" w:rsidP="0006430F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140 729</w:t>
            </w:r>
          </w:p>
        </w:tc>
        <w:tc>
          <w:tcPr>
            <w:tcW w:w="1624" w:type="pct"/>
          </w:tcPr>
          <w:p w14:paraId="12B1EC51" w14:textId="76675A43" w:rsidR="00F952F7" w:rsidRPr="001018D9" w:rsidRDefault="00F952F7" w:rsidP="0006430F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521 806</w:t>
            </w:r>
          </w:p>
        </w:tc>
      </w:tr>
    </w:tbl>
    <w:p w14:paraId="2DB9AC58" w14:textId="77777777" w:rsidR="002237FC" w:rsidRDefault="002237FC" w:rsidP="002237FC">
      <w:pPr>
        <w:pStyle w:val="Tablefin"/>
      </w:pPr>
    </w:p>
    <w:p w14:paraId="12B62A9B" w14:textId="77777777" w:rsidR="00F952F7" w:rsidRPr="001018D9" w:rsidRDefault="00F952F7" w:rsidP="00E21E1C">
      <w:pPr>
        <w:pStyle w:val="Tabletitle"/>
        <w:spacing w:before="480"/>
      </w:pPr>
      <w:r w:rsidRPr="001018D9">
        <w:t>Второй год</w:t>
      </w:r>
    </w:p>
    <w:tbl>
      <w:tblPr>
        <w:tblStyle w:val="TableGrid"/>
        <w:tblW w:w="5003" w:type="pct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85"/>
        <w:gridCol w:w="1190"/>
        <w:gridCol w:w="1807"/>
        <w:gridCol w:w="2322"/>
        <w:gridCol w:w="3137"/>
      </w:tblGrid>
      <w:tr w:rsidR="00F952F7" w:rsidRPr="001018D9" w14:paraId="631CB403" w14:textId="77777777" w:rsidTr="005200AC">
        <w:trPr>
          <w:trHeight w:val="300"/>
        </w:trPr>
        <w:tc>
          <w:tcPr>
            <w:tcW w:w="615" w:type="pct"/>
            <w:vAlign w:val="center"/>
          </w:tcPr>
          <w:p w14:paraId="718D382C" w14:textId="77777777" w:rsidR="00F952F7" w:rsidRPr="001018D9" w:rsidRDefault="00F952F7" w:rsidP="005200AC">
            <w:pPr>
              <w:pStyle w:val="Tablehead"/>
              <w:ind w:left="-57" w:right="-57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Вариант размещения</w:t>
            </w:r>
          </w:p>
        </w:tc>
        <w:tc>
          <w:tcPr>
            <w:tcW w:w="617" w:type="pct"/>
            <w:vAlign w:val="center"/>
          </w:tcPr>
          <w:p w14:paraId="51B0F535" w14:textId="77777777" w:rsidR="00F952F7" w:rsidRPr="001018D9" w:rsidRDefault="00F952F7" w:rsidP="005200AC">
            <w:pPr>
              <w:pStyle w:val="Tablehead"/>
              <w:ind w:left="-57" w:right="-57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Количество сотрудников</w:t>
            </w:r>
          </w:p>
        </w:tc>
        <w:tc>
          <w:tcPr>
            <w:tcW w:w="937" w:type="pct"/>
            <w:vAlign w:val="center"/>
          </w:tcPr>
          <w:p w14:paraId="0CBBCA99" w14:textId="4D45395E" w:rsidR="00F952F7" w:rsidRPr="001018D9" w:rsidRDefault="00F952F7" w:rsidP="005200AC">
            <w:pPr>
              <w:pStyle w:val="Tablehead"/>
              <w:ind w:left="-57" w:right="-57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 xml:space="preserve">Ежегодные затраты по персоналу </w:t>
            </w:r>
            <w:r w:rsidRPr="001018D9">
              <w:rPr>
                <w:sz w:val="18"/>
                <w:szCs w:val="18"/>
              </w:rPr>
              <w:br/>
            </w:r>
            <w:r w:rsidR="00AE7BC9" w:rsidRPr="001018D9">
              <w:rPr>
                <w:sz w:val="18"/>
                <w:szCs w:val="18"/>
              </w:rPr>
              <w:t>(шв. фр.)</w:t>
            </w:r>
          </w:p>
        </w:tc>
        <w:tc>
          <w:tcPr>
            <w:tcW w:w="1204" w:type="pct"/>
            <w:vAlign w:val="center"/>
          </w:tcPr>
          <w:p w14:paraId="1B5808FB" w14:textId="497D6CCF" w:rsidR="00F952F7" w:rsidRPr="001018D9" w:rsidRDefault="00F952F7" w:rsidP="005200AC">
            <w:pPr>
              <w:pStyle w:val="Tablehead"/>
              <w:ind w:left="-57" w:right="-57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Затраты во втором году, не</w:t>
            </w:r>
            <w:r w:rsidR="005200AC">
              <w:rPr>
                <w:sz w:val="18"/>
                <w:szCs w:val="18"/>
                <w:lang w:val="en-US"/>
              </w:rPr>
              <w:t> </w:t>
            </w:r>
            <w:r w:rsidRPr="001018D9">
              <w:rPr>
                <w:sz w:val="18"/>
                <w:szCs w:val="18"/>
              </w:rPr>
              <w:t xml:space="preserve">связанные с персоналом </w:t>
            </w:r>
            <w:r w:rsidRPr="001018D9">
              <w:rPr>
                <w:sz w:val="18"/>
                <w:szCs w:val="18"/>
              </w:rPr>
              <w:br/>
            </w:r>
            <w:r w:rsidR="00AE7BC9" w:rsidRPr="001018D9">
              <w:rPr>
                <w:sz w:val="18"/>
                <w:szCs w:val="18"/>
              </w:rPr>
              <w:t>(шв. фр.)</w:t>
            </w:r>
          </w:p>
        </w:tc>
        <w:tc>
          <w:tcPr>
            <w:tcW w:w="1627" w:type="pct"/>
            <w:vAlign w:val="center"/>
          </w:tcPr>
          <w:p w14:paraId="1B5D3DE8" w14:textId="0CF592D9" w:rsidR="00F952F7" w:rsidRPr="001018D9" w:rsidRDefault="00F952F7" w:rsidP="005200AC">
            <w:pPr>
              <w:pStyle w:val="Tablehead"/>
              <w:ind w:left="-57" w:right="-57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Совокупные затраты во втором году</w:t>
            </w:r>
            <w:r w:rsidRPr="001018D9">
              <w:rPr>
                <w:sz w:val="18"/>
                <w:szCs w:val="18"/>
              </w:rPr>
              <w:br/>
              <w:t>(затраты по персоналу + затраты, не</w:t>
            </w:r>
            <w:r w:rsidR="00AE7BC9" w:rsidRPr="001018D9">
              <w:rPr>
                <w:sz w:val="18"/>
                <w:szCs w:val="18"/>
              </w:rPr>
              <w:t> </w:t>
            </w:r>
            <w:r w:rsidRPr="001018D9">
              <w:rPr>
                <w:sz w:val="18"/>
                <w:szCs w:val="18"/>
              </w:rPr>
              <w:t xml:space="preserve">связанные с персоналом) </w:t>
            </w:r>
            <w:r w:rsidRPr="001018D9">
              <w:rPr>
                <w:sz w:val="18"/>
                <w:szCs w:val="18"/>
              </w:rPr>
              <w:br/>
            </w:r>
            <w:r w:rsidR="00AE7BC9" w:rsidRPr="001018D9">
              <w:rPr>
                <w:sz w:val="18"/>
                <w:szCs w:val="18"/>
              </w:rPr>
              <w:t>(шв. фр.)</w:t>
            </w:r>
          </w:p>
        </w:tc>
      </w:tr>
      <w:tr w:rsidR="00F952F7" w:rsidRPr="001018D9" w14:paraId="48DB42E3" w14:textId="77777777" w:rsidTr="005200AC">
        <w:trPr>
          <w:trHeight w:val="300"/>
        </w:trPr>
        <w:tc>
          <w:tcPr>
            <w:tcW w:w="615" w:type="pct"/>
          </w:tcPr>
          <w:p w14:paraId="5F32C2E9" w14:textId="77777777" w:rsidR="00F952F7" w:rsidRPr="001018D9" w:rsidRDefault="00F952F7" w:rsidP="00AE7BC9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1c</w:t>
            </w:r>
          </w:p>
        </w:tc>
        <w:tc>
          <w:tcPr>
            <w:tcW w:w="617" w:type="pct"/>
          </w:tcPr>
          <w:p w14:paraId="396C4D18" w14:textId="77777777" w:rsidR="00F952F7" w:rsidRPr="001018D9" w:rsidRDefault="00F952F7" w:rsidP="00AE7BC9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3</w:t>
            </w:r>
          </w:p>
        </w:tc>
        <w:tc>
          <w:tcPr>
            <w:tcW w:w="937" w:type="pct"/>
          </w:tcPr>
          <w:p w14:paraId="0AD67381" w14:textId="77777777" w:rsidR="00F952F7" w:rsidRPr="001018D9" w:rsidRDefault="00F952F7" w:rsidP="00AE7BC9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381 077</w:t>
            </w:r>
          </w:p>
        </w:tc>
        <w:tc>
          <w:tcPr>
            <w:tcW w:w="1204" w:type="pct"/>
          </w:tcPr>
          <w:p w14:paraId="6019D0E9" w14:textId="77777777" w:rsidR="00F952F7" w:rsidRPr="001018D9" w:rsidRDefault="00F952F7" w:rsidP="00AE7BC9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55 000</w:t>
            </w:r>
          </w:p>
        </w:tc>
        <w:tc>
          <w:tcPr>
            <w:tcW w:w="1627" w:type="pct"/>
          </w:tcPr>
          <w:p w14:paraId="59706B8F" w14:textId="31343ADA" w:rsidR="00F952F7" w:rsidRPr="001018D9" w:rsidRDefault="00F952F7" w:rsidP="00AE7BC9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436 077</w:t>
            </w:r>
          </w:p>
        </w:tc>
      </w:tr>
    </w:tbl>
    <w:p w14:paraId="1BA8971B" w14:textId="77777777" w:rsidR="002237FC" w:rsidRDefault="002237FC" w:rsidP="002237FC">
      <w:pPr>
        <w:pStyle w:val="Tablefin"/>
      </w:pPr>
    </w:p>
    <w:p w14:paraId="41644079" w14:textId="77777777" w:rsidR="00F952F7" w:rsidRPr="001018D9" w:rsidRDefault="00F952F7" w:rsidP="00E21E1C">
      <w:pPr>
        <w:pStyle w:val="Tabletitle"/>
        <w:spacing w:before="480"/>
      </w:pPr>
      <w:r w:rsidRPr="001018D9">
        <w:t>Третий год</w:t>
      </w:r>
    </w:p>
    <w:tbl>
      <w:tblPr>
        <w:tblStyle w:val="TableGrid"/>
        <w:tblW w:w="5000" w:type="pct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85"/>
        <w:gridCol w:w="1191"/>
        <w:gridCol w:w="1804"/>
        <w:gridCol w:w="2326"/>
        <w:gridCol w:w="3129"/>
      </w:tblGrid>
      <w:tr w:rsidR="00F952F7" w:rsidRPr="001018D9" w14:paraId="4AE737A6" w14:textId="77777777" w:rsidTr="00AE7BC9">
        <w:trPr>
          <w:trHeight w:val="300"/>
        </w:trPr>
        <w:tc>
          <w:tcPr>
            <w:tcW w:w="615" w:type="pct"/>
            <w:vAlign w:val="center"/>
          </w:tcPr>
          <w:p w14:paraId="3E0A4995" w14:textId="77777777" w:rsidR="00F952F7" w:rsidRPr="001018D9" w:rsidRDefault="00F952F7" w:rsidP="005200AC">
            <w:pPr>
              <w:pStyle w:val="Tablehead"/>
              <w:ind w:left="-57" w:right="-57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Вариант размещения</w:t>
            </w:r>
          </w:p>
        </w:tc>
        <w:tc>
          <w:tcPr>
            <w:tcW w:w="618" w:type="pct"/>
            <w:vAlign w:val="center"/>
          </w:tcPr>
          <w:p w14:paraId="2BB5BAFD" w14:textId="77777777" w:rsidR="00F952F7" w:rsidRPr="001018D9" w:rsidRDefault="00F952F7" w:rsidP="005200AC">
            <w:pPr>
              <w:pStyle w:val="Tablehead"/>
              <w:ind w:left="-57" w:right="-57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Количество сотрудников</w:t>
            </w:r>
          </w:p>
        </w:tc>
        <w:tc>
          <w:tcPr>
            <w:tcW w:w="936" w:type="pct"/>
            <w:vAlign w:val="center"/>
          </w:tcPr>
          <w:p w14:paraId="75D337ED" w14:textId="1B88FEAE" w:rsidR="00F952F7" w:rsidRPr="001018D9" w:rsidRDefault="00F952F7" w:rsidP="005200AC">
            <w:pPr>
              <w:pStyle w:val="Tablehead"/>
              <w:ind w:left="-57" w:right="-57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 xml:space="preserve">Ежегодные затраты по персоналу </w:t>
            </w:r>
            <w:r w:rsidRPr="001018D9">
              <w:rPr>
                <w:sz w:val="18"/>
                <w:szCs w:val="18"/>
              </w:rPr>
              <w:br/>
            </w:r>
            <w:r w:rsidR="00AE7BC9" w:rsidRPr="001018D9">
              <w:rPr>
                <w:sz w:val="18"/>
                <w:szCs w:val="18"/>
              </w:rPr>
              <w:t>(шв. фр.)</w:t>
            </w:r>
          </w:p>
        </w:tc>
        <w:tc>
          <w:tcPr>
            <w:tcW w:w="1207" w:type="pct"/>
            <w:vAlign w:val="center"/>
          </w:tcPr>
          <w:p w14:paraId="43156BE5" w14:textId="49FB6CBF" w:rsidR="00F952F7" w:rsidRPr="001018D9" w:rsidRDefault="00F952F7" w:rsidP="005200AC">
            <w:pPr>
              <w:pStyle w:val="Tablehead"/>
              <w:ind w:left="-57" w:right="-57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Затраты в третьем году, не</w:t>
            </w:r>
            <w:r w:rsidR="005200AC">
              <w:rPr>
                <w:sz w:val="18"/>
                <w:szCs w:val="18"/>
                <w:lang w:val="en-US"/>
              </w:rPr>
              <w:t> </w:t>
            </w:r>
            <w:r w:rsidRPr="001018D9">
              <w:rPr>
                <w:sz w:val="18"/>
                <w:szCs w:val="18"/>
              </w:rPr>
              <w:t xml:space="preserve">связанные с персоналом </w:t>
            </w:r>
            <w:r w:rsidRPr="001018D9">
              <w:rPr>
                <w:sz w:val="18"/>
                <w:szCs w:val="18"/>
              </w:rPr>
              <w:br/>
            </w:r>
            <w:r w:rsidR="00AE7BC9" w:rsidRPr="001018D9">
              <w:rPr>
                <w:sz w:val="18"/>
                <w:szCs w:val="18"/>
              </w:rPr>
              <w:t>(шв. фр.)</w:t>
            </w:r>
          </w:p>
        </w:tc>
        <w:tc>
          <w:tcPr>
            <w:tcW w:w="1624" w:type="pct"/>
            <w:vAlign w:val="center"/>
          </w:tcPr>
          <w:p w14:paraId="27D90024" w14:textId="43207E65" w:rsidR="00F952F7" w:rsidRPr="001018D9" w:rsidRDefault="00F952F7" w:rsidP="005200AC">
            <w:pPr>
              <w:pStyle w:val="Tablehead"/>
              <w:ind w:left="-57" w:right="-57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Совокупные затраты в третьем году</w:t>
            </w:r>
            <w:r w:rsidRPr="001018D9">
              <w:rPr>
                <w:sz w:val="18"/>
                <w:szCs w:val="18"/>
              </w:rPr>
              <w:br/>
              <w:t>(затраты по персоналу + затраты, не</w:t>
            </w:r>
            <w:r w:rsidR="00AE7BC9" w:rsidRPr="001018D9">
              <w:rPr>
                <w:sz w:val="18"/>
                <w:szCs w:val="18"/>
              </w:rPr>
              <w:t> </w:t>
            </w:r>
            <w:r w:rsidRPr="001018D9">
              <w:rPr>
                <w:sz w:val="18"/>
                <w:szCs w:val="18"/>
              </w:rPr>
              <w:t xml:space="preserve">связанные с персоналом) </w:t>
            </w:r>
            <w:r w:rsidRPr="001018D9">
              <w:rPr>
                <w:sz w:val="18"/>
                <w:szCs w:val="18"/>
              </w:rPr>
              <w:br/>
            </w:r>
            <w:r w:rsidR="00AE7BC9" w:rsidRPr="001018D9">
              <w:rPr>
                <w:sz w:val="18"/>
                <w:szCs w:val="18"/>
              </w:rPr>
              <w:t>(шв. фр.)</w:t>
            </w:r>
          </w:p>
        </w:tc>
      </w:tr>
      <w:tr w:rsidR="00F952F7" w:rsidRPr="001018D9" w14:paraId="30C14E37" w14:textId="77777777" w:rsidTr="00AE7BC9">
        <w:trPr>
          <w:trHeight w:val="300"/>
        </w:trPr>
        <w:tc>
          <w:tcPr>
            <w:tcW w:w="615" w:type="pct"/>
          </w:tcPr>
          <w:p w14:paraId="234EBB97" w14:textId="77777777" w:rsidR="00F952F7" w:rsidRPr="001018D9" w:rsidRDefault="00F952F7" w:rsidP="00AE7BC9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1c</w:t>
            </w:r>
          </w:p>
        </w:tc>
        <w:tc>
          <w:tcPr>
            <w:tcW w:w="618" w:type="pct"/>
          </w:tcPr>
          <w:p w14:paraId="1E7F52FE" w14:textId="77777777" w:rsidR="00F952F7" w:rsidRPr="001018D9" w:rsidRDefault="00F952F7" w:rsidP="00AE7BC9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3</w:t>
            </w:r>
          </w:p>
        </w:tc>
        <w:tc>
          <w:tcPr>
            <w:tcW w:w="936" w:type="pct"/>
          </w:tcPr>
          <w:p w14:paraId="159FAA86" w14:textId="77777777" w:rsidR="00F952F7" w:rsidRPr="001018D9" w:rsidRDefault="00F952F7" w:rsidP="00AE7BC9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381 077</w:t>
            </w:r>
          </w:p>
        </w:tc>
        <w:tc>
          <w:tcPr>
            <w:tcW w:w="1207" w:type="pct"/>
          </w:tcPr>
          <w:p w14:paraId="295D9EC3" w14:textId="77777777" w:rsidR="00F952F7" w:rsidRPr="001018D9" w:rsidRDefault="00F952F7" w:rsidP="00AE7BC9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105 000</w:t>
            </w:r>
          </w:p>
        </w:tc>
        <w:tc>
          <w:tcPr>
            <w:tcW w:w="1624" w:type="pct"/>
          </w:tcPr>
          <w:p w14:paraId="07A06EA4" w14:textId="3BC29C94" w:rsidR="00F952F7" w:rsidRPr="001018D9" w:rsidRDefault="00F952F7" w:rsidP="00AE7BC9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486 077</w:t>
            </w:r>
          </w:p>
        </w:tc>
      </w:tr>
    </w:tbl>
    <w:p w14:paraId="2BA95EDA" w14:textId="77777777" w:rsidR="002237FC" w:rsidRDefault="002237FC" w:rsidP="002237FC">
      <w:pPr>
        <w:pStyle w:val="Tablefin"/>
      </w:pPr>
    </w:p>
    <w:p w14:paraId="400F8BD4" w14:textId="77777777" w:rsidR="00F952F7" w:rsidRPr="001018D9" w:rsidRDefault="00F952F7" w:rsidP="00E21E1C">
      <w:pPr>
        <w:pStyle w:val="Tabletitle"/>
        <w:spacing w:before="480"/>
      </w:pPr>
      <w:r w:rsidRPr="001018D9">
        <w:lastRenderedPageBreak/>
        <w:t>Четвертый год</w:t>
      </w:r>
    </w:p>
    <w:tbl>
      <w:tblPr>
        <w:tblStyle w:val="TableGrid"/>
        <w:tblW w:w="5000" w:type="pct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85"/>
        <w:gridCol w:w="1191"/>
        <w:gridCol w:w="1804"/>
        <w:gridCol w:w="2326"/>
        <w:gridCol w:w="3129"/>
      </w:tblGrid>
      <w:tr w:rsidR="00F952F7" w:rsidRPr="001018D9" w14:paraId="4CEFD037" w14:textId="77777777" w:rsidTr="00AE7BC9">
        <w:trPr>
          <w:trHeight w:val="300"/>
        </w:trPr>
        <w:tc>
          <w:tcPr>
            <w:tcW w:w="615" w:type="pct"/>
            <w:vAlign w:val="center"/>
          </w:tcPr>
          <w:p w14:paraId="2F741B50" w14:textId="77777777" w:rsidR="00F952F7" w:rsidRPr="001018D9" w:rsidRDefault="00F952F7" w:rsidP="005200AC">
            <w:pPr>
              <w:pStyle w:val="Tablehead"/>
              <w:ind w:left="-57" w:right="-57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Вариант размещения</w:t>
            </w:r>
          </w:p>
        </w:tc>
        <w:tc>
          <w:tcPr>
            <w:tcW w:w="618" w:type="pct"/>
            <w:vAlign w:val="center"/>
          </w:tcPr>
          <w:p w14:paraId="144887A2" w14:textId="77777777" w:rsidR="00F952F7" w:rsidRPr="001018D9" w:rsidRDefault="00F952F7" w:rsidP="005200AC">
            <w:pPr>
              <w:pStyle w:val="Tablehead"/>
              <w:ind w:left="-57" w:right="-57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Количество сотрудников</w:t>
            </w:r>
          </w:p>
        </w:tc>
        <w:tc>
          <w:tcPr>
            <w:tcW w:w="936" w:type="pct"/>
            <w:vAlign w:val="center"/>
          </w:tcPr>
          <w:p w14:paraId="3D8814D7" w14:textId="4E53D78E" w:rsidR="00F952F7" w:rsidRPr="001018D9" w:rsidRDefault="00F952F7" w:rsidP="005200AC">
            <w:pPr>
              <w:pStyle w:val="Tablehead"/>
              <w:ind w:left="-57" w:right="-57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 xml:space="preserve">Ежегодные затраты по персоналу </w:t>
            </w:r>
            <w:r w:rsidRPr="001018D9">
              <w:rPr>
                <w:sz w:val="18"/>
                <w:szCs w:val="18"/>
              </w:rPr>
              <w:br/>
            </w:r>
            <w:r w:rsidR="00AE7BC9" w:rsidRPr="001018D9">
              <w:rPr>
                <w:sz w:val="18"/>
                <w:szCs w:val="18"/>
              </w:rPr>
              <w:t>(шв. фр.)</w:t>
            </w:r>
          </w:p>
        </w:tc>
        <w:tc>
          <w:tcPr>
            <w:tcW w:w="1207" w:type="pct"/>
            <w:vAlign w:val="center"/>
          </w:tcPr>
          <w:p w14:paraId="28943E6B" w14:textId="542EE7D5" w:rsidR="00F952F7" w:rsidRPr="001018D9" w:rsidRDefault="00F952F7" w:rsidP="005200AC">
            <w:pPr>
              <w:pStyle w:val="Tablehead"/>
              <w:ind w:left="-57" w:right="-57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 xml:space="preserve">Затраты в четвертом году, не связанные с персоналом </w:t>
            </w:r>
            <w:r w:rsidRPr="001018D9">
              <w:rPr>
                <w:sz w:val="18"/>
                <w:szCs w:val="18"/>
              </w:rPr>
              <w:br/>
            </w:r>
            <w:r w:rsidR="00AE7BC9" w:rsidRPr="001018D9">
              <w:rPr>
                <w:sz w:val="18"/>
                <w:szCs w:val="18"/>
              </w:rPr>
              <w:t>(шв. фр.)</w:t>
            </w:r>
          </w:p>
        </w:tc>
        <w:tc>
          <w:tcPr>
            <w:tcW w:w="1624" w:type="pct"/>
            <w:vAlign w:val="center"/>
          </w:tcPr>
          <w:p w14:paraId="5A2B5F31" w14:textId="5D9EB0BB" w:rsidR="00F952F7" w:rsidRPr="001018D9" w:rsidRDefault="00F952F7" w:rsidP="005200AC">
            <w:pPr>
              <w:pStyle w:val="Tablehead"/>
              <w:ind w:left="-57" w:right="-57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Совокупные затраты в четвертом году</w:t>
            </w:r>
            <w:r w:rsidR="00AE7BC9" w:rsidRPr="001018D9">
              <w:rPr>
                <w:sz w:val="18"/>
                <w:szCs w:val="18"/>
              </w:rPr>
              <w:t xml:space="preserve"> </w:t>
            </w:r>
            <w:r w:rsidRPr="001018D9">
              <w:rPr>
                <w:sz w:val="18"/>
                <w:szCs w:val="18"/>
              </w:rPr>
              <w:t>(затраты по персоналу + затраты, не</w:t>
            </w:r>
            <w:r w:rsidR="00E21E1C">
              <w:rPr>
                <w:sz w:val="18"/>
                <w:szCs w:val="18"/>
                <w:lang w:val="en-US"/>
              </w:rPr>
              <w:t> </w:t>
            </w:r>
            <w:r w:rsidRPr="001018D9">
              <w:rPr>
                <w:sz w:val="18"/>
                <w:szCs w:val="18"/>
              </w:rPr>
              <w:t>связанные с</w:t>
            </w:r>
            <w:r w:rsidR="00AE7BC9" w:rsidRPr="001018D9">
              <w:rPr>
                <w:sz w:val="18"/>
                <w:szCs w:val="18"/>
              </w:rPr>
              <w:t> </w:t>
            </w:r>
            <w:r w:rsidRPr="001018D9">
              <w:rPr>
                <w:sz w:val="18"/>
                <w:szCs w:val="18"/>
              </w:rPr>
              <w:t xml:space="preserve">персоналом) </w:t>
            </w:r>
            <w:r w:rsidRPr="001018D9">
              <w:rPr>
                <w:sz w:val="18"/>
                <w:szCs w:val="18"/>
              </w:rPr>
              <w:br/>
            </w:r>
            <w:r w:rsidR="00AE7BC9" w:rsidRPr="001018D9">
              <w:rPr>
                <w:sz w:val="18"/>
                <w:szCs w:val="18"/>
              </w:rPr>
              <w:t>(шв. фр.)</w:t>
            </w:r>
          </w:p>
        </w:tc>
      </w:tr>
      <w:tr w:rsidR="00F952F7" w:rsidRPr="001018D9" w14:paraId="690C04F8" w14:textId="77777777" w:rsidTr="00AE7BC9">
        <w:trPr>
          <w:trHeight w:val="300"/>
        </w:trPr>
        <w:tc>
          <w:tcPr>
            <w:tcW w:w="615" w:type="pct"/>
          </w:tcPr>
          <w:p w14:paraId="271399A9" w14:textId="77777777" w:rsidR="00F952F7" w:rsidRPr="001018D9" w:rsidRDefault="00F952F7" w:rsidP="00AE7BC9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1c</w:t>
            </w:r>
          </w:p>
        </w:tc>
        <w:tc>
          <w:tcPr>
            <w:tcW w:w="618" w:type="pct"/>
          </w:tcPr>
          <w:p w14:paraId="35FAAD68" w14:textId="77777777" w:rsidR="00F952F7" w:rsidRPr="001018D9" w:rsidRDefault="00F952F7" w:rsidP="00AE7BC9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3</w:t>
            </w:r>
          </w:p>
        </w:tc>
        <w:tc>
          <w:tcPr>
            <w:tcW w:w="936" w:type="pct"/>
          </w:tcPr>
          <w:p w14:paraId="6CDB2D6B" w14:textId="77777777" w:rsidR="00F952F7" w:rsidRPr="001018D9" w:rsidRDefault="00F952F7" w:rsidP="00AE7BC9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381 077</w:t>
            </w:r>
          </w:p>
        </w:tc>
        <w:tc>
          <w:tcPr>
            <w:tcW w:w="1207" w:type="pct"/>
          </w:tcPr>
          <w:p w14:paraId="2F6A5C61" w14:textId="77777777" w:rsidR="00F952F7" w:rsidRPr="001018D9" w:rsidRDefault="00F952F7" w:rsidP="00AE7BC9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65 583</w:t>
            </w:r>
          </w:p>
        </w:tc>
        <w:tc>
          <w:tcPr>
            <w:tcW w:w="1624" w:type="pct"/>
          </w:tcPr>
          <w:p w14:paraId="1E66CE7B" w14:textId="1823CEF6" w:rsidR="00F952F7" w:rsidRPr="001018D9" w:rsidRDefault="00F952F7" w:rsidP="00AE7BC9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446 660</w:t>
            </w:r>
          </w:p>
        </w:tc>
      </w:tr>
    </w:tbl>
    <w:p w14:paraId="1B413546" w14:textId="052F5FF5" w:rsidR="00E21E1C" w:rsidRDefault="00E21E1C" w:rsidP="002237FC">
      <w:pPr>
        <w:pStyle w:val="Tablefin"/>
      </w:pPr>
    </w:p>
    <w:p w14:paraId="4310655E" w14:textId="5EF5EAE5" w:rsidR="00F952F7" w:rsidRPr="001018D9" w:rsidRDefault="00F952F7" w:rsidP="00AE7BC9">
      <w:pPr>
        <w:spacing w:before="240"/>
        <w:rPr>
          <w:rFonts w:eastAsia="Calibri" w:cs="Calibri"/>
          <w:szCs w:val="24"/>
        </w:rPr>
      </w:pPr>
      <w:r w:rsidRPr="001018D9">
        <w:t>Согласно оценке, общие финансовые последствия на четыре года составляют 1 890 620 швейцарских франков.</w:t>
      </w:r>
    </w:p>
    <w:p w14:paraId="670DAF12" w14:textId="77777777" w:rsidR="00F952F7" w:rsidRPr="001018D9" w:rsidRDefault="00F952F7" w:rsidP="00AE7BC9">
      <w:r w:rsidRPr="001018D9">
        <w:t xml:space="preserve">Подробности финансовых расчетов приводятся в </w:t>
      </w:r>
      <w:hyperlink w:anchor="Annex2" w:history="1">
        <w:r w:rsidRPr="001018D9">
          <w:rPr>
            <w:rStyle w:val="Hyperlink"/>
          </w:rPr>
          <w:t>Приложении 2</w:t>
        </w:r>
      </w:hyperlink>
      <w:r w:rsidRPr="001018D9">
        <w:t xml:space="preserve"> и </w:t>
      </w:r>
      <w:hyperlink w:anchor="Annex3" w:history="1">
        <w:r w:rsidRPr="001018D9">
          <w:rPr>
            <w:rStyle w:val="Hyperlink"/>
          </w:rPr>
          <w:t>Приложении 3</w:t>
        </w:r>
      </w:hyperlink>
      <w:r w:rsidRPr="001018D9">
        <w:t>.</w:t>
      </w:r>
    </w:p>
    <w:p w14:paraId="13024346" w14:textId="77777777" w:rsidR="00F952F7" w:rsidRPr="001018D9" w:rsidRDefault="00F952F7" w:rsidP="00AE7BC9">
      <w:r w:rsidRPr="001018D9">
        <w:t>Полномочной конференции предлагается рассмотреть настоящий отчет и предоставить соответствующие руководящие указания по созданию зонального отделения МСЭ в Тихоокеанском регионе.</w:t>
      </w:r>
    </w:p>
    <w:p w14:paraId="58DB7FF6" w14:textId="77777777" w:rsidR="00F952F7" w:rsidRPr="001018D9" w:rsidRDefault="00F952F7" w:rsidP="00920D6C">
      <w:pPr>
        <w:spacing w:before="1080"/>
      </w:pPr>
      <w:r w:rsidRPr="001018D9">
        <w:rPr>
          <w:b/>
          <w:bCs/>
        </w:rPr>
        <w:t>Приложения</w:t>
      </w:r>
      <w:r w:rsidRPr="001018D9">
        <w:t>: 3</w:t>
      </w:r>
    </w:p>
    <w:p w14:paraId="77C8EEA9" w14:textId="77777777" w:rsidR="00F952F7" w:rsidRPr="001018D9" w:rsidRDefault="00F952F7" w:rsidP="00F952F7">
      <w:pPr>
        <w:overflowPunct/>
        <w:autoSpaceDE/>
        <w:autoSpaceDN/>
        <w:adjustRightInd/>
        <w:spacing w:before="2160"/>
        <w:jc w:val="both"/>
        <w:textAlignment w:val="auto"/>
        <w:rPr>
          <w:b/>
          <w:bCs/>
          <w:i/>
          <w:iCs/>
        </w:rPr>
      </w:pPr>
      <w:r w:rsidRPr="001018D9">
        <w:rPr>
          <w:b/>
          <w:bCs/>
          <w:i/>
          <w:iCs/>
        </w:rPr>
        <w:br w:type="page"/>
      </w:r>
    </w:p>
    <w:p w14:paraId="7278B19E" w14:textId="77777777" w:rsidR="00F952F7" w:rsidRPr="001018D9" w:rsidRDefault="00F952F7" w:rsidP="00F952F7">
      <w:pPr>
        <w:pStyle w:val="AnnexNo"/>
      </w:pPr>
      <w:bookmarkStart w:id="5" w:name="Annex1"/>
      <w:bookmarkEnd w:id="5"/>
      <w:r w:rsidRPr="001018D9">
        <w:lastRenderedPageBreak/>
        <w:t>ПРИЛОЖЕНИЕ 1</w:t>
      </w:r>
    </w:p>
    <w:p w14:paraId="1B42EDB7" w14:textId="77777777" w:rsidR="00F952F7" w:rsidRPr="001018D9" w:rsidRDefault="00F952F7" w:rsidP="00F952F7">
      <w:pPr>
        <w:pStyle w:val="Annextitle"/>
        <w:rPr>
          <w:rFonts w:eastAsiaTheme="minorEastAsia"/>
        </w:rPr>
      </w:pPr>
      <w:r w:rsidRPr="001018D9">
        <w:rPr>
          <w:rFonts w:eastAsiaTheme="minorEastAsia"/>
        </w:rPr>
        <w:t>Резюме оценки Фиджи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6"/>
        <w:gridCol w:w="7659"/>
      </w:tblGrid>
      <w:tr w:rsidR="00F952F7" w:rsidRPr="001018D9" w14:paraId="2E32F7C6" w14:textId="77777777" w:rsidTr="002E4A6D">
        <w:trPr>
          <w:trHeight w:val="300"/>
        </w:trPr>
        <w:tc>
          <w:tcPr>
            <w:tcW w:w="1980" w:type="dxa"/>
          </w:tcPr>
          <w:p w14:paraId="71A64DEF" w14:textId="77777777" w:rsidR="00F952F7" w:rsidRPr="001018D9" w:rsidRDefault="00F952F7" w:rsidP="002E4A6D">
            <w:pPr>
              <w:pStyle w:val="Tablehead"/>
            </w:pPr>
            <w:r w:rsidRPr="001018D9">
              <w:t>Критерий</w:t>
            </w:r>
          </w:p>
        </w:tc>
        <w:tc>
          <w:tcPr>
            <w:tcW w:w="7770" w:type="dxa"/>
          </w:tcPr>
          <w:p w14:paraId="1408BC78" w14:textId="77777777" w:rsidR="00F952F7" w:rsidRPr="001018D9" w:rsidRDefault="00F952F7" w:rsidP="002E4A6D">
            <w:pPr>
              <w:pStyle w:val="Tablehead"/>
            </w:pPr>
            <w:r w:rsidRPr="001018D9">
              <w:t>Оценка</w:t>
            </w:r>
          </w:p>
        </w:tc>
      </w:tr>
      <w:tr w:rsidR="00F952F7" w:rsidRPr="001018D9" w14:paraId="480A6A1B" w14:textId="77777777" w:rsidTr="002E4A6D">
        <w:trPr>
          <w:trHeight w:val="300"/>
        </w:trPr>
        <w:tc>
          <w:tcPr>
            <w:tcW w:w="1980" w:type="dxa"/>
          </w:tcPr>
          <w:p w14:paraId="745838E6" w14:textId="77777777" w:rsidR="00F952F7" w:rsidRPr="001018D9" w:rsidRDefault="00F952F7" w:rsidP="002E4A6D">
            <w:pPr>
              <w:pStyle w:val="Tabletext"/>
            </w:pPr>
            <w:r w:rsidRPr="001018D9">
              <w:t>Актуальность</w:t>
            </w:r>
          </w:p>
        </w:tc>
        <w:tc>
          <w:tcPr>
            <w:tcW w:w="7770" w:type="dxa"/>
          </w:tcPr>
          <w:p w14:paraId="778BC4D0" w14:textId="77777777" w:rsidR="00F952F7" w:rsidRPr="001018D9" w:rsidRDefault="00F952F7" w:rsidP="002E4A6D">
            <w:pPr>
              <w:pStyle w:val="Tabletext"/>
            </w:pPr>
            <w:r w:rsidRPr="001018D9">
              <w:t>Наиболее развитый сектор ИКТ в Тихоокеанском регионе; возможности поддержки региональных потребностей в области ИКТ и инициатив МСЭ.</w:t>
            </w:r>
          </w:p>
        </w:tc>
      </w:tr>
      <w:tr w:rsidR="00F952F7" w:rsidRPr="001018D9" w14:paraId="2D27E04D" w14:textId="77777777" w:rsidTr="002E4A6D">
        <w:trPr>
          <w:trHeight w:val="300"/>
        </w:trPr>
        <w:tc>
          <w:tcPr>
            <w:tcW w:w="1980" w:type="dxa"/>
          </w:tcPr>
          <w:p w14:paraId="5295621A" w14:textId="77777777" w:rsidR="00F952F7" w:rsidRPr="001018D9" w:rsidRDefault="00F952F7" w:rsidP="002E4A6D">
            <w:pPr>
              <w:pStyle w:val="Tabletext"/>
            </w:pPr>
            <w:r w:rsidRPr="001018D9">
              <w:t>Эксклюзивность</w:t>
            </w:r>
          </w:p>
        </w:tc>
        <w:tc>
          <w:tcPr>
            <w:tcW w:w="7770" w:type="dxa"/>
          </w:tcPr>
          <w:p w14:paraId="47E1668C" w14:textId="77777777" w:rsidR="00F952F7" w:rsidRPr="001018D9" w:rsidRDefault="00F952F7" w:rsidP="002E4A6D">
            <w:pPr>
              <w:pStyle w:val="Tabletext"/>
            </w:pPr>
            <w:r w:rsidRPr="001018D9">
              <w:t>В стране уже расположены отделения региональных учреждений ООН; отсутствие профильного субрегионального присутствия МСЭ; возможность избежать дублирования в работе МСЭ.</w:t>
            </w:r>
          </w:p>
        </w:tc>
      </w:tr>
      <w:tr w:rsidR="00F952F7" w:rsidRPr="001018D9" w14:paraId="350F7AAF" w14:textId="77777777" w:rsidTr="002E4A6D">
        <w:trPr>
          <w:trHeight w:val="300"/>
        </w:trPr>
        <w:tc>
          <w:tcPr>
            <w:tcW w:w="1980" w:type="dxa"/>
          </w:tcPr>
          <w:p w14:paraId="6DD4C2D6" w14:textId="77777777" w:rsidR="00F952F7" w:rsidRPr="001018D9" w:rsidRDefault="00F952F7" w:rsidP="002E4A6D">
            <w:pPr>
              <w:pStyle w:val="Tabletext"/>
            </w:pPr>
            <w:r w:rsidRPr="001018D9">
              <w:t>Целесообразность</w:t>
            </w:r>
          </w:p>
        </w:tc>
        <w:tc>
          <w:tcPr>
            <w:tcW w:w="7770" w:type="dxa"/>
          </w:tcPr>
          <w:p w14:paraId="164375EB" w14:textId="77777777" w:rsidR="00F952F7" w:rsidRPr="001018D9" w:rsidRDefault="00F952F7" w:rsidP="002E4A6D">
            <w:pPr>
              <w:pStyle w:val="Tabletext"/>
            </w:pPr>
            <w:r w:rsidRPr="001018D9">
              <w:t>Мощная инфраструктура, стабильная экономика; правительство Фиджи поддерживает операции/программы/проекты МСЭ; правительство Фиджи провело многочисленные мероприятия МСЭ на национальном уровне и на уровне Тихоокеанского региона.</w:t>
            </w:r>
          </w:p>
        </w:tc>
      </w:tr>
      <w:tr w:rsidR="00F952F7" w:rsidRPr="001018D9" w14:paraId="089CE6FD" w14:textId="77777777" w:rsidTr="002E4A6D">
        <w:trPr>
          <w:trHeight w:val="300"/>
        </w:trPr>
        <w:tc>
          <w:tcPr>
            <w:tcW w:w="1980" w:type="dxa"/>
          </w:tcPr>
          <w:p w14:paraId="2DE25BE6" w14:textId="77777777" w:rsidR="00F952F7" w:rsidRPr="001018D9" w:rsidRDefault="00F952F7" w:rsidP="002E4A6D">
            <w:pPr>
              <w:pStyle w:val="Tabletext"/>
            </w:pPr>
            <w:r w:rsidRPr="001018D9">
              <w:t>Безопасность</w:t>
            </w:r>
          </w:p>
        </w:tc>
        <w:tc>
          <w:tcPr>
            <w:tcW w:w="7770" w:type="dxa"/>
          </w:tcPr>
          <w:p w14:paraId="5FEC559A" w14:textId="77777777" w:rsidR="00F952F7" w:rsidRPr="001018D9" w:rsidRDefault="00F952F7" w:rsidP="002E4A6D">
            <w:pPr>
              <w:pStyle w:val="Tabletext"/>
            </w:pPr>
            <w:r w:rsidRPr="001018D9">
              <w:t>ДОБ ООН: вооруженный конфликт – минимальный уровень; терроризм – минимальный уровень; преступность – умеренная; гражданские беспорядки – минимальный уровень; опасности – высокий уровень; категория трудностей – A.</w:t>
            </w:r>
          </w:p>
        </w:tc>
      </w:tr>
      <w:tr w:rsidR="00F952F7" w:rsidRPr="001018D9" w14:paraId="07BE7F06" w14:textId="77777777" w:rsidTr="002E4A6D">
        <w:trPr>
          <w:trHeight w:val="300"/>
        </w:trPr>
        <w:tc>
          <w:tcPr>
            <w:tcW w:w="1980" w:type="dxa"/>
          </w:tcPr>
          <w:p w14:paraId="06563CEC" w14:textId="77777777" w:rsidR="00F952F7" w:rsidRPr="001018D9" w:rsidRDefault="00F952F7" w:rsidP="002E4A6D">
            <w:pPr>
              <w:pStyle w:val="Tabletext"/>
            </w:pPr>
            <w:r w:rsidRPr="001018D9">
              <w:t>Близость</w:t>
            </w:r>
          </w:p>
        </w:tc>
        <w:tc>
          <w:tcPr>
            <w:tcW w:w="7770" w:type="dxa"/>
          </w:tcPr>
          <w:p w14:paraId="356BE860" w14:textId="77777777" w:rsidR="00F952F7" w:rsidRPr="001018D9" w:rsidRDefault="00F952F7" w:rsidP="002E4A6D">
            <w:pPr>
              <w:pStyle w:val="Tabletext"/>
            </w:pPr>
            <w:r w:rsidRPr="001018D9">
              <w:t>Присутствие многостранового отделения ООН; присутствие существующих региональных учреждений по развитию и учреждений ООН; потенциал усиления синергии с учреждениями ООН.</w:t>
            </w:r>
          </w:p>
        </w:tc>
      </w:tr>
      <w:tr w:rsidR="00F952F7" w:rsidRPr="001018D9" w14:paraId="50C1FBC3" w14:textId="77777777" w:rsidTr="002E4A6D">
        <w:trPr>
          <w:trHeight w:val="300"/>
        </w:trPr>
        <w:tc>
          <w:tcPr>
            <w:tcW w:w="1980" w:type="dxa"/>
          </w:tcPr>
          <w:p w14:paraId="321BBBFB" w14:textId="77777777" w:rsidR="00F952F7" w:rsidRPr="001018D9" w:rsidRDefault="00F952F7" w:rsidP="002E4A6D">
            <w:pPr>
              <w:pStyle w:val="Tabletext"/>
            </w:pPr>
            <w:r w:rsidRPr="001018D9">
              <w:t>Доступность</w:t>
            </w:r>
          </w:p>
        </w:tc>
        <w:tc>
          <w:tcPr>
            <w:tcW w:w="7770" w:type="dxa"/>
          </w:tcPr>
          <w:p w14:paraId="6D076BDD" w14:textId="77777777" w:rsidR="00F952F7" w:rsidRPr="001018D9" w:rsidRDefault="00F952F7" w:rsidP="002E4A6D">
            <w:pPr>
              <w:pStyle w:val="Tabletext"/>
            </w:pPr>
            <w:r w:rsidRPr="001018D9">
              <w:t>Крупный международный транспортный узел; центральное расположение с отличными связями со странами Тихоокеанского региона; легкий доступ для регионального сотрудничества; виза по прибытии для большинства зарубежных путешественников.</w:t>
            </w:r>
          </w:p>
        </w:tc>
      </w:tr>
    </w:tbl>
    <w:p w14:paraId="1F395989" w14:textId="77777777" w:rsidR="00F952F7" w:rsidRPr="001018D9" w:rsidRDefault="00F952F7" w:rsidP="00F952F7">
      <w:pPr>
        <w:pStyle w:val="Headingb"/>
        <w:rPr>
          <w:rFonts w:eastAsiaTheme="minorEastAsia"/>
        </w:rPr>
      </w:pPr>
      <w:r w:rsidRPr="001018D9">
        <w:rPr>
          <w:rFonts w:eastAsiaTheme="minorEastAsia"/>
        </w:rPr>
        <w:t>Актуальность</w:t>
      </w:r>
    </w:p>
    <w:p w14:paraId="762CA260" w14:textId="77777777" w:rsidR="00F952F7" w:rsidRPr="001018D9" w:rsidRDefault="00F952F7" w:rsidP="00EF65BE">
      <w:pPr>
        <w:jc w:val="both"/>
        <w:rPr>
          <w:rFonts w:eastAsiaTheme="minorEastAsia"/>
        </w:rPr>
      </w:pPr>
      <w:r w:rsidRPr="001018D9">
        <w:rPr>
          <w:rFonts w:eastAsiaTheme="minorEastAsia"/>
        </w:rPr>
        <w:t>Фиджи имеет большое значение для рассмотрения вопроса об укреплении регионального присутствия МСЭ в Тихоокеанском регионе, учитывая ее сравнительно развитый сектор ИКТ и признанную роль важного регионального центра. Страна обладает потенциалом для поддержки региональных потребностей в области ИКТ и инициатив МСЭ, а существующая цифровая и институциональная среда обеспечивает основу для поддержки более широкого взаимодействия с Государствами-Членами из Тихоокеанского региона.</w:t>
      </w:r>
    </w:p>
    <w:p w14:paraId="295E3343" w14:textId="77777777" w:rsidR="00F952F7" w:rsidRPr="001018D9" w:rsidRDefault="00F952F7" w:rsidP="00EF65BE">
      <w:pPr>
        <w:jc w:val="both"/>
        <w:rPr>
          <w:rFonts w:eastAsiaTheme="minorEastAsia"/>
        </w:rPr>
      </w:pPr>
      <w:r w:rsidRPr="001018D9">
        <w:rPr>
          <w:rFonts w:eastAsiaTheme="minorEastAsia"/>
        </w:rPr>
        <w:t>В контексте технико-экономического обоснования актуальность Фиджи также связана с ее способностью служить платформой для регионального взаимодействия. Присутствие в Фиджи учреждений, партнеров по развитию и региональных координационных механизмов способствует его потенциальной полезности как места, откуда МСЭ может усилить свою поддержку многих тихоокеанских стран.</w:t>
      </w:r>
    </w:p>
    <w:p w14:paraId="1DE16AE2" w14:textId="77777777" w:rsidR="00F952F7" w:rsidRPr="001018D9" w:rsidRDefault="00F952F7" w:rsidP="00F952F7">
      <w:pPr>
        <w:pStyle w:val="Headingb"/>
        <w:rPr>
          <w:rFonts w:eastAsiaTheme="minorEastAsia"/>
        </w:rPr>
      </w:pPr>
      <w:r w:rsidRPr="001018D9">
        <w:rPr>
          <w:rFonts w:eastAsiaTheme="minorEastAsia"/>
        </w:rPr>
        <w:t>Эксклюзивность</w:t>
      </w:r>
    </w:p>
    <w:p w14:paraId="6BCE15E6" w14:textId="77777777" w:rsidR="00F952F7" w:rsidRPr="001018D9" w:rsidRDefault="00F952F7" w:rsidP="00EF65BE">
      <w:pPr>
        <w:jc w:val="both"/>
        <w:rPr>
          <w:rFonts w:eastAsiaTheme="minorEastAsia"/>
        </w:rPr>
      </w:pPr>
      <w:r w:rsidRPr="001018D9">
        <w:rPr>
          <w:rFonts w:eastAsiaTheme="minorEastAsia"/>
        </w:rPr>
        <w:t>Что касается эксклюзивности, то в Фиджи уже расположен ряд региональных отделений учреждений Организации Объединенных Наций и партнеров в области развития. Однако в Фиджи нет целевого субрегионального присутствия МСЭ. Таким образом, присутствие МСЭ в Фиджи не будет дублировать существующее отделение МСЭ на субрегиональном уровне.</w:t>
      </w:r>
    </w:p>
    <w:p w14:paraId="5C2B026D" w14:textId="77777777" w:rsidR="00F952F7" w:rsidRPr="001018D9" w:rsidRDefault="00F952F7" w:rsidP="00EF65BE">
      <w:pPr>
        <w:jc w:val="both"/>
        <w:rPr>
          <w:rFonts w:eastAsiaTheme="minorEastAsia"/>
        </w:rPr>
      </w:pPr>
      <w:r w:rsidRPr="001018D9">
        <w:rPr>
          <w:rFonts w:eastAsiaTheme="minorEastAsia"/>
        </w:rPr>
        <w:t>В данном контексте присутствие других учреждений Организации Объединенных Наций и региональных учреждений следует рассматривать как возможность для координации, а не как дублирование институционального присутствия МСЭ. Любое расширенное присутствие МСЭ должно оставаться самостоятельным по мандату и функциям, способствуя при этом улучшению координации с существующими структурами Организации Объединенных Наций и партнерами в области развития.</w:t>
      </w:r>
    </w:p>
    <w:p w14:paraId="790902C2" w14:textId="77777777" w:rsidR="00F952F7" w:rsidRPr="001018D9" w:rsidRDefault="00F952F7" w:rsidP="00F952F7">
      <w:pPr>
        <w:pStyle w:val="Headingb"/>
        <w:rPr>
          <w:rFonts w:eastAsiaTheme="minorEastAsia"/>
        </w:rPr>
      </w:pPr>
      <w:r w:rsidRPr="001018D9">
        <w:rPr>
          <w:rFonts w:eastAsiaTheme="minorEastAsia"/>
        </w:rPr>
        <w:lastRenderedPageBreak/>
        <w:t>Целесообразность</w:t>
      </w:r>
    </w:p>
    <w:p w14:paraId="69BBD3A5" w14:textId="77777777" w:rsidR="00F952F7" w:rsidRPr="001018D9" w:rsidRDefault="00F952F7" w:rsidP="00EF65BE">
      <w:pPr>
        <w:jc w:val="both"/>
        <w:rPr>
          <w:rFonts w:eastAsiaTheme="minorEastAsia"/>
        </w:rPr>
      </w:pPr>
      <w:r w:rsidRPr="001018D9">
        <w:rPr>
          <w:rFonts w:eastAsiaTheme="minorEastAsia"/>
        </w:rPr>
        <w:t>Фиджи располагает рядом преимуществ, относящихся к целесообразности. Страна обладает мощной инфраструктурой, относительно стабильной экономикой и подтвержденным опытом проведения и поддержки региональных и национальных мероприятий. Правительство Фиджи оказывает поддержку операциям, программам и проектам МСЭ и принимает у себя многочисленные мероприятия МСЭ как на национальном уровне, так и на уровне более широкого Тихоокеанского региона.</w:t>
      </w:r>
    </w:p>
    <w:p w14:paraId="65B354DA" w14:textId="77777777" w:rsidR="00F952F7" w:rsidRPr="001018D9" w:rsidRDefault="00F952F7" w:rsidP="00EF65BE">
      <w:pPr>
        <w:jc w:val="both"/>
        <w:rPr>
          <w:rFonts w:eastAsiaTheme="minorEastAsia"/>
        </w:rPr>
      </w:pPr>
      <w:r w:rsidRPr="001018D9">
        <w:rPr>
          <w:rFonts w:eastAsiaTheme="minorEastAsia"/>
        </w:rPr>
        <w:t>Эти факторы указывают на то, что Фиджи создает рабочую среду, в которой появляется возможность рассмотреть практические требования к присутствию МСЭ. Наличие инфраструктуры, опыт международной и региональной деятельности и текущее взаимодействие с МСЭ являются важными факторами при оценке того, будут ли ресурсы и условия страны пребывания достаточными для поддержки создания отделения и его устойчивой работы.</w:t>
      </w:r>
    </w:p>
    <w:p w14:paraId="2BCB2F53" w14:textId="77777777" w:rsidR="00F952F7" w:rsidRPr="001018D9" w:rsidRDefault="00F952F7" w:rsidP="00F952F7">
      <w:pPr>
        <w:pStyle w:val="Headingb"/>
        <w:rPr>
          <w:rFonts w:eastAsiaTheme="minorEastAsia"/>
        </w:rPr>
      </w:pPr>
      <w:r w:rsidRPr="001018D9">
        <w:rPr>
          <w:rFonts w:eastAsiaTheme="minorEastAsia"/>
        </w:rPr>
        <w:t>Безопасность</w:t>
      </w:r>
    </w:p>
    <w:p w14:paraId="2CE34DDB" w14:textId="77777777" w:rsidR="00F952F7" w:rsidRPr="001018D9" w:rsidRDefault="00F952F7" w:rsidP="00EF65BE">
      <w:pPr>
        <w:jc w:val="both"/>
        <w:rPr>
          <w:rFonts w:eastAsiaTheme="minorEastAsia"/>
        </w:rPr>
      </w:pPr>
      <w:r w:rsidRPr="001018D9">
        <w:rPr>
          <w:rFonts w:eastAsiaTheme="minorEastAsia"/>
        </w:rPr>
        <w:t>В имеющейся оценке ДОБ ООН для Фиджи риск вооруженного конфликта определен как минимальный, риск терроризма – как минимальный, уровень преступности – как умеренный, риск гражданских волнений – как минимальный, а уровень опасностей – как высокий. Фиджи также отнесена к категории А по критерию "трудности".</w:t>
      </w:r>
    </w:p>
    <w:p w14:paraId="272EA812" w14:textId="77777777" w:rsidR="00F952F7" w:rsidRPr="001018D9" w:rsidRDefault="00F952F7" w:rsidP="00EF65BE">
      <w:pPr>
        <w:jc w:val="both"/>
        <w:rPr>
          <w:rFonts w:eastAsiaTheme="minorEastAsia"/>
        </w:rPr>
      </w:pPr>
      <w:r w:rsidRPr="001018D9">
        <w:rPr>
          <w:rFonts w:eastAsiaTheme="minorEastAsia"/>
        </w:rPr>
        <w:t>С точки зрения критерия безопасности Совета МСЭ эти факторы свидетельствуют о том, что Фиджи в целом представляет собой управляемую среду безопасности; тем не менее необходимо уделять должное внимание фактору стихийных бедствий и другим соответствующим требованиям к управлению безопасностью. Любое планирование создания отделения должно соответствовать процедурам ДОБ ООН и применимым стандартам безопасности Организации Объединенных Наций.</w:t>
      </w:r>
    </w:p>
    <w:p w14:paraId="43F28864" w14:textId="77777777" w:rsidR="00F952F7" w:rsidRPr="001018D9" w:rsidRDefault="00F952F7" w:rsidP="00F952F7">
      <w:pPr>
        <w:pStyle w:val="Headingb"/>
        <w:rPr>
          <w:rFonts w:eastAsiaTheme="minorEastAsia"/>
        </w:rPr>
      </w:pPr>
      <w:r w:rsidRPr="001018D9">
        <w:rPr>
          <w:rFonts w:eastAsiaTheme="minorEastAsia"/>
        </w:rPr>
        <w:t>Близость</w:t>
      </w:r>
    </w:p>
    <w:p w14:paraId="4A67339A" w14:textId="77777777" w:rsidR="00F952F7" w:rsidRPr="001018D9" w:rsidRDefault="00F952F7" w:rsidP="00EF65BE">
      <w:pPr>
        <w:jc w:val="both"/>
        <w:rPr>
          <w:rFonts w:eastAsiaTheme="minorEastAsia"/>
        </w:rPr>
      </w:pPr>
      <w:r w:rsidRPr="001018D9">
        <w:rPr>
          <w:rFonts w:eastAsiaTheme="minorEastAsia"/>
        </w:rPr>
        <w:t>Фиджи обладает преимуществами с точки зрения близости, обусловленными ее ролью регионального узла и присутствием многостранового отделения Организации Объединенных Наций. В ней также расположен ряд региональных агентств по развитию и учреждений Организации Объединенных Наций, что создает возможности для улучшения координации и синергии с партнерами, работающими в Тихоокеанском регионе.</w:t>
      </w:r>
    </w:p>
    <w:p w14:paraId="74337B86" w14:textId="77777777" w:rsidR="00F952F7" w:rsidRPr="001018D9" w:rsidRDefault="00F952F7" w:rsidP="00EF65BE">
      <w:pPr>
        <w:jc w:val="both"/>
        <w:rPr>
          <w:rFonts w:eastAsiaTheme="minorEastAsia"/>
        </w:rPr>
      </w:pPr>
      <w:r w:rsidRPr="001018D9">
        <w:rPr>
          <w:rFonts w:eastAsiaTheme="minorEastAsia"/>
        </w:rPr>
        <w:t xml:space="preserve">С функциональной точки зрения близость не должна пониматься только как географическое расстояние. Сюда также относится близость к региональным координационным платформам, учреждениям-партнерам и механизмам, посредством которых организуется поддержка Государств-Членов из Тихоокеанского региона. С этой точки зрения Фиджи располагает рядом преимуществ, относящихся к критерию близости. </w:t>
      </w:r>
    </w:p>
    <w:p w14:paraId="7616C90D" w14:textId="77777777" w:rsidR="00F952F7" w:rsidRPr="001018D9" w:rsidRDefault="00F952F7" w:rsidP="00F952F7">
      <w:pPr>
        <w:pStyle w:val="Headingb"/>
        <w:rPr>
          <w:rFonts w:eastAsiaTheme="minorEastAsia"/>
        </w:rPr>
      </w:pPr>
      <w:r w:rsidRPr="001018D9">
        <w:rPr>
          <w:rFonts w:eastAsiaTheme="minorEastAsia"/>
        </w:rPr>
        <w:t>Доступность</w:t>
      </w:r>
    </w:p>
    <w:p w14:paraId="632BDDD9" w14:textId="77777777" w:rsidR="00F952F7" w:rsidRPr="001018D9" w:rsidRDefault="00F952F7" w:rsidP="00EF65BE">
      <w:pPr>
        <w:jc w:val="both"/>
        <w:rPr>
          <w:rFonts w:eastAsiaTheme="minorEastAsia"/>
        </w:rPr>
      </w:pPr>
      <w:r w:rsidRPr="001018D9">
        <w:rPr>
          <w:rFonts w:eastAsiaTheme="minorEastAsia"/>
        </w:rPr>
        <w:t>Фиджи демонстрирует высокие показатели доступности в условиях Тихоокеанского региона. Это крупный международный транспортный узел с относительно прочными связями со странами Тихого океана. Это обеспечивает практические преимущества для регионального сотрудничества, участия в собраниях и миссиях, а также перемещения персонала и партнеров по субрегиону.</w:t>
      </w:r>
    </w:p>
    <w:p w14:paraId="24EABDDA" w14:textId="77777777" w:rsidR="00F952F7" w:rsidRPr="001018D9" w:rsidRDefault="00F952F7" w:rsidP="00EF65BE">
      <w:pPr>
        <w:jc w:val="both"/>
        <w:rPr>
          <w:rFonts w:eastAsiaTheme="minorEastAsia"/>
        </w:rPr>
      </w:pPr>
      <w:r w:rsidRPr="001018D9">
        <w:rPr>
          <w:rFonts w:eastAsiaTheme="minorEastAsia"/>
        </w:rPr>
        <w:t>Возможность получения виз по прибытии для многих зарубежных путешественников дополнительно усиливает доступность Фиджи. Эти факторы имеют значение для рассмотрения вопроса о том, обеспечит ли присутствие МСЭ в Фиджи надлежащие связи со странами, которые будут обслуживаться отделением.</w:t>
      </w:r>
    </w:p>
    <w:p w14:paraId="5C821CE0" w14:textId="77777777" w:rsidR="00F952F7" w:rsidRPr="001018D9" w:rsidRDefault="00F952F7" w:rsidP="00F952F7">
      <w:r w:rsidRPr="001018D9">
        <w:br w:type="page"/>
      </w:r>
    </w:p>
    <w:p w14:paraId="069A9E90" w14:textId="77777777" w:rsidR="00F952F7" w:rsidRPr="001018D9" w:rsidRDefault="00F952F7" w:rsidP="00F952F7">
      <w:pPr>
        <w:pStyle w:val="AnnexNo"/>
      </w:pPr>
      <w:bookmarkStart w:id="6" w:name="Annex2"/>
      <w:bookmarkEnd w:id="6"/>
      <w:r w:rsidRPr="001018D9">
        <w:lastRenderedPageBreak/>
        <w:t>ПРИЛОЖЕНИЕ 2</w:t>
      </w:r>
    </w:p>
    <w:p w14:paraId="74C19DFA" w14:textId="77777777" w:rsidR="00F952F7" w:rsidRPr="001018D9" w:rsidRDefault="00F952F7" w:rsidP="00E21E1C">
      <w:pPr>
        <w:pStyle w:val="Headingb"/>
        <w:spacing w:before="360"/>
      </w:pPr>
      <w:r w:rsidRPr="001018D9">
        <w:t>Расчет финансовых показателей</w:t>
      </w:r>
    </w:p>
    <w:p w14:paraId="42D66B58" w14:textId="47238C07" w:rsidR="00F952F7" w:rsidRPr="001018D9" w:rsidRDefault="00F952F7" w:rsidP="00EF65BE">
      <w:pPr>
        <w:spacing w:after="120"/>
        <w:jc w:val="both"/>
      </w:pPr>
      <w:r w:rsidRPr="001018D9">
        <w:t>В Финансовом правиле 5.1 МСЭ для деятельности любого отделения МСЭ определено 9 категорий затрат, как это подробно описано в таблице</w:t>
      </w:r>
      <w:r w:rsidR="00635958">
        <w:t>,</w:t>
      </w:r>
      <w:r w:rsidRPr="001018D9">
        <w:t xml:space="preserve"> ниже. Анализ затрат на потенциальное отделение МСЭ в Суве, Фиджи, организован в соответствии с этими категориями затрат. Это обеспечивает согласованную основу для классификации компонентов затрат по персоналу и затрат, не относящихся к персоналу, которые широко используются в финансовых документах МСЭ.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06"/>
        <w:gridCol w:w="2260"/>
        <w:gridCol w:w="5969"/>
      </w:tblGrid>
      <w:tr w:rsidR="00F952F7" w:rsidRPr="001018D9" w14:paraId="466C779F" w14:textId="77777777" w:rsidTr="00A0066A">
        <w:trPr>
          <w:cantSplit/>
          <w:tblHeader/>
          <w:jc w:val="center"/>
        </w:trPr>
        <w:tc>
          <w:tcPr>
            <w:tcW w:w="1406" w:type="dxa"/>
          </w:tcPr>
          <w:p w14:paraId="6B5635A1" w14:textId="77777777" w:rsidR="00F952F7" w:rsidRPr="001018D9" w:rsidRDefault="00F952F7" w:rsidP="002E4A6D">
            <w:pPr>
              <w:pStyle w:val="Tablehead"/>
            </w:pPr>
            <w:r w:rsidRPr="001018D9">
              <w:t>Категория</w:t>
            </w:r>
          </w:p>
        </w:tc>
        <w:tc>
          <w:tcPr>
            <w:tcW w:w="2260" w:type="dxa"/>
          </w:tcPr>
          <w:p w14:paraId="65545DA4" w14:textId="77777777" w:rsidR="00F952F7" w:rsidRPr="001018D9" w:rsidRDefault="00F952F7" w:rsidP="002E4A6D">
            <w:pPr>
              <w:pStyle w:val="Tablehead"/>
            </w:pPr>
            <w:r w:rsidRPr="001018D9">
              <w:t>Категория затрат</w:t>
            </w:r>
          </w:p>
        </w:tc>
        <w:tc>
          <w:tcPr>
            <w:tcW w:w="5969" w:type="dxa"/>
          </w:tcPr>
          <w:p w14:paraId="70995C07" w14:textId="77777777" w:rsidR="00F952F7" w:rsidRPr="001018D9" w:rsidRDefault="00F952F7" w:rsidP="002E4A6D">
            <w:pPr>
              <w:pStyle w:val="Tablehead"/>
            </w:pPr>
            <w:r w:rsidRPr="001018D9">
              <w:t>Описание</w:t>
            </w:r>
          </w:p>
        </w:tc>
      </w:tr>
      <w:tr w:rsidR="00F952F7" w:rsidRPr="001018D9" w14:paraId="3F6B1D19" w14:textId="77777777" w:rsidTr="00A0066A">
        <w:trPr>
          <w:cantSplit/>
          <w:jc w:val="center"/>
        </w:trPr>
        <w:tc>
          <w:tcPr>
            <w:tcW w:w="1406" w:type="dxa"/>
          </w:tcPr>
          <w:p w14:paraId="4A35EB00" w14:textId="77777777" w:rsidR="00F952F7" w:rsidRPr="001018D9" w:rsidRDefault="00F952F7" w:rsidP="002E4A6D">
            <w:pPr>
              <w:pStyle w:val="Tabletext"/>
            </w:pPr>
            <w:r w:rsidRPr="001018D9">
              <w:t>Категория 1</w:t>
            </w:r>
          </w:p>
        </w:tc>
        <w:tc>
          <w:tcPr>
            <w:tcW w:w="2260" w:type="dxa"/>
          </w:tcPr>
          <w:p w14:paraId="1185297B" w14:textId="77777777" w:rsidR="00F952F7" w:rsidRPr="001018D9" w:rsidRDefault="00F952F7" w:rsidP="002E4A6D">
            <w:pPr>
              <w:pStyle w:val="Tabletext"/>
            </w:pPr>
            <w:r w:rsidRPr="001018D9">
              <w:t xml:space="preserve">Затраты по персоналу, включая заработную плату и надбавки </w:t>
            </w:r>
          </w:p>
        </w:tc>
        <w:tc>
          <w:tcPr>
            <w:tcW w:w="5969" w:type="dxa"/>
          </w:tcPr>
          <w:p w14:paraId="3C951C4A" w14:textId="77777777" w:rsidR="00F952F7" w:rsidRPr="001018D9" w:rsidRDefault="00F952F7" w:rsidP="002E4A6D">
            <w:pPr>
              <w:pStyle w:val="Tabletext"/>
            </w:pPr>
            <w:r w:rsidRPr="001018D9">
              <w:t>Охватывает регулярное вознаграждение, выплачиваемое сотрудникам, занимающим штатные должности, а также сотрудникам, работающим на конференциях и другим сотрудникам, работающим по краткосрочным контрактам, за исключением сотрудников, работающих в рамках специальных соглашений об услугах. Сюда относятся базовая заработная плата, корректив по месту службы, надбавка за знание иностранных языков и надбавка для нерезидентов, семейное пособие и сверхурочная работа.</w:t>
            </w:r>
          </w:p>
        </w:tc>
      </w:tr>
      <w:tr w:rsidR="00F952F7" w:rsidRPr="001018D9" w14:paraId="6C196593" w14:textId="77777777" w:rsidTr="00A0066A">
        <w:trPr>
          <w:cantSplit/>
          <w:jc w:val="center"/>
        </w:trPr>
        <w:tc>
          <w:tcPr>
            <w:tcW w:w="1406" w:type="dxa"/>
          </w:tcPr>
          <w:p w14:paraId="0B48163C" w14:textId="77777777" w:rsidR="00F952F7" w:rsidRPr="001018D9" w:rsidRDefault="00F952F7" w:rsidP="002E4A6D">
            <w:pPr>
              <w:pStyle w:val="Tabletext"/>
            </w:pPr>
            <w:r w:rsidRPr="001018D9">
              <w:t>Категория 2</w:t>
            </w:r>
          </w:p>
        </w:tc>
        <w:tc>
          <w:tcPr>
            <w:tcW w:w="2260" w:type="dxa"/>
          </w:tcPr>
          <w:p w14:paraId="6789C094" w14:textId="77777777" w:rsidR="00F952F7" w:rsidRPr="001018D9" w:rsidRDefault="00F952F7" w:rsidP="002E4A6D">
            <w:pPr>
              <w:pStyle w:val="Tabletext"/>
            </w:pPr>
            <w:r w:rsidRPr="001018D9">
              <w:t>Прочие затраты по персоналу</w:t>
            </w:r>
          </w:p>
        </w:tc>
        <w:tc>
          <w:tcPr>
            <w:tcW w:w="5969" w:type="dxa"/>
          </w:tcPr>
          <w:p w14:paraId="2AADE43B" w14:textId="77777777" w:rsidR="00F952F7" w:rsidRPr="001018D9" w:rsidRDefault="00F952F7" w:rsidP="002E4A6D">
            <w:pPr>
              <w:pStyle w:val="Tabletext"/>
            </w:pPr>
            <w:r w:rsidRPr="001018D9">
              <w:t>Охватывает затраты по персоналу, такие как взносы Союза на пенсию и медицинское страхование, медицинскую службу ООН, коллективное страхование от несчастных случаев, субсидии на образование и путевые затраты, путевые затраты при назначении и прекращении службы, пособия на ввод в должность и репатриацию, путевые затраты, связанные с отпуском на родину, накопленные дни отпуска, пособие в связи с прекращением службы и расходы по переезду.</w:t>
            </w:r>
          </w:p>
        </w:tc>
      </w:tr>
      <w:tr w:rsidR="00F952F7" w:rsidRPr="001018D9" w14:paraId="7C0BD3A6" w14:textId="77777777" w:rsidTr="00A0066A">
        <w:trPr>
          <w:cantSplit/>
          <w:jc w:val="center"/>
        </w:trPr>
        <w:tc>
          <w:tcPr>
            <w:tcW w:w="1406" w:type="dxa"/>
          </w:tcPr>
          <w:p w14:paraId="255AB6CF" w14:textId="77777777" w:rsidR="00F952F7" w:rsidRPr="001018D9" w:rsidRDefault="00F952F7" w:rsidP="002E4A6D">
            <w:pPr>
              <w:pStyle w:val="Tabletext"/>
            </w:pPr>
            <w:r w:rsidRPr="001018D9">
              <w:t>Категория 3</w:t>
            </w:r>
          </w:p>
        </w:tc>
        <w:tc>
          <w:tcPr>
            <w:tcW w:w="2260" w:type="dxa"/>
          </w:tcPr>
          <w:p w14:paraId="2423E729" w14:textId="77777777" w:rsidR="00F952F7" w:rsidRPr="001018D9" w:rsidRDefault="00F952F7" w:rsidP="002E4A6D">
            <w:pPr>
              <w:pStyle w:val="Tabletext"/>
            </w:pPr>
            <w:r w:rsidRPr="001018D9">
              <w:t>Служебные командировки</w:t>
            </w:r>
          </w:p>
        </w:tc>
        <w:tc>
          <w:tcPr>
            <w:tcW w:w="5969" w:type="dxa"/>
          </w:tcPr>
          <w:p w14:paraId="1067E012" w14:textId="70FD2C7C" w:rsidR="00F952F7" w:rsidRPr="001018D9" w:rsidRDefault="00F952F7" w:rsidP="002E4A6D">
            <w:pPr>
              <w:pStyle w:val="Tabletext"/>
            </w:pPr>
            <w:r w:rsidRPr="001018D9">
              <w:t>Охватывает служебные командировки в связи с миссиями, конференциями и собраниями, включая оплату проездных билетов, суточные, транспортные расходы и страхование. Сюда также входят поездки делегатов, участвующих в сессиях Совета, командировки сотрудников Секторов и Генерального секретариата и их консультантов, а также программы стипендий. В</w:t>
            </w:r>
            <w:r w:rsidR="00133F1F">
              <w:rPr>
                <w:lang w:val="en-US"/>
              </w:rPr>
              <w:t> </w:t>
            </w:r>
            <w:r w:rsidRPr="001018D9">
              <w:t>эту категорию не входят поездки, связанные с поступлением на службу, отпуском на родину и возвращением на родину.</w:t>
            </w:r>
          </w:p>
        </w:tc>
      </w:tr>
      <w:tr w:rsidR="00F952F7" w:rsidRPr="001018D9" w14:paraId="7B7890FD" w14:textId="77777777" w:rsidTr="00A0066A">
        <w:trPr>
          <w:cantSplit/>
          <w:jc w:val="center"/>
        </w:trPr>
        <w:tc>
          <w:tcPr>
            <w:tcW w:w="1406" w:type="dxa"/>
          </w:tcPr>
          <w:p w14:paraId="6CC38196" w14:textId="77777777" w:rsidR="00F952F7" w:rsidRPr="001018D9" w:rsidRDefault="00F952F7" w:rsidP="002E4A6D">
            <w:pPr>
              <w:pStyle w:val="Tabletext"/>
            </w:pPr>
            <w:r w:rsidRPr="001018D9">
              <w:t>Категория 4</w:t>
            </w:r>
          </w:p>
        </w:tc>
        <w:tc>
          <w:tcPr>
            <w:tcW w:w="2260" w:type="dxa"/>
          </w:tcPr>
          <w:p w14:paraId="234F421E" w14:textId="77777777" w:rsidR="00F952F7" w:rsidRPr="001018D9" w:rsidRDefault="00F952F7" w:rsidP="002E4A6D">
            <w:pPr>
              <w:pStyle w:val="Tabletext"/>
            </w:pPr>
            <w:r w:rsidRPr="001018D9">
              <w:t>Контрактные услуги</w:t>
            </w:r>
          </w:p>
        </w:tc>
        <w:tc>
          <w:tcPr>
            <w:tcW w:w="5969" w:type="dxa"/>
          </w:tcPr>
          <w:p w14:paraId="32A83EA8" w14:textId="77777777" w:rsidR="00F952F7" w:rsidRPr="001018D9" w:rsidRDefault="00F952F7" w:rsidP="002E4A6D">
            <w:pPr>
              <w:pStyle w:val="Tabletext"/>
            </w:pPr>
            <w:r w:rsidRPr="001018D9">
              <w:t>Охватывает оплату сборов, гонораров и поездок в место жительства и обратно для консультантов и фирм, нанятых для выполнения работ и предоставления контрактных услуг. К этой категории относятся специальные соглашения об услугах, а также затраты на профессиональную подготовку и сторонние услуги, такие как типографские и вычислительные услуги.</w:t>
            </w:r>
          </w:p>
        </w:tc>
      </w:tr>
      <w:tr w:rsidR="00F952F7" w:rsidRPr="001018D9" w14:paraId="3CA1B8F1" w14:textId="77777777" w:rsidTr="00A0066A">
        <w:trPr>
          <w:cantSplit/>
          <w:jc w:val="center"/>
        </w:trPr>
        <w:tc>
          <w:tcPr>
            <w:tcW w:w="1406" w:type="dxa"/>
          </w:tcPr>
          <w:p w14:paraId="5B5F3192" w14:textId="77777777" w:rsidR="00F952F7" w:rsidRPr="001018D9" w:rsidRDefault="00F952F7" w:rsidP="002E4A6D">
            <w:pPr>
              <w:pStyle w:val="Tabletext"/>
            </w:pPr>
            <w:r w:rsidRPr="001018D9">
              <w:t>Категория 5</w:t>
            </w:r>
          </w:p>
        </w:tc>
        <w:tc>
          <w:tcPr>
            <w:tcW w:w="2260" w:type="dxa"/>
          </w:tcPr>
          <w:p w14:paraId="6DFD8B06" w14:textId="77777777" w:rsidR="00F952F7" w:rsidRPr="001018D9" w:rsidRDefault="00F952F7" w:rsidP="002E4A6D">
            <w:pPr>
              <w:pStyle w:val="Tabletext"/>
            </w:pPr>
            <w:r w:rsidRPr="001018D9">
              <w:t xml:space="preserve">Аренда и эксплуатация помещений и оборудования </w:t>
            </w:r>
          </w:p>
        </w:tc>
        <w:tc>
          <w:tcPr>
            <w:tcW w:w="5969" w:type="dxa"/>
          </w:tcPr>
          <w:p w14:paraId="32CB4EFB" w14:textId="77777777" w:rsidR="00F952F7" w:rsidRPr="001018D9" w:rsidRDefault="00F952F7" w:rsidP="002E4A6D">
            <w:pPr>
              <w:pStyle w:val="Tabletext"/>
            </w:pPr>
            <w:r w:rsidRPr="001018D9">
              <w:t>Охватывает аренду конференц-залов, залов заседаний, складских и парковочных мест, компьютерного оборудования и другой офисной техники, а также эксплуатацию зданий, территорий, транспортных средств, технического и компьютерного оборудования и соответствующее страхование от пожара, наводнений и других повреждений.</w:t>
            </w:r>
          </w:p>
        </w:tc>
      </w:tr>
      <w:tr w:rsidR="00F952F7" w:rsidRPr="001018D9" w14:paraId="7D48A3B4" w14:textId="77777777" w:rsidTr="00A0066A">
        <w:trPr>
          <w:cantSplit/>
          <w:jc w:val="center"/>
        </w:trPr>
        <w:tc>
          <w:tcPr>
            <w:tcW w:w="1406" w:type="dxa"/>
          </w:tcPr>
          <w:p w14:paraId="2340D383" w14:textId="77777777" w:rsidR="00F952F7" w:rsidRPr="001018D9" w:rsidRDefault="00F952F7" w:rsidP="002E4A6D">
            <w:pPr>
              <w:pStyle w:val="Tabletext"/>
            </w:pPr>
            <w:r w:rsidRPr="001018D9">
              <w:t>Категория 6</w:t>
            </w:r>
          </w:p>
        </w:tc>
        <w:tc>
          <w:tcPr>
            <w:tcW w:w="2260" w:type="dxa"/>
          </w:tcPr>
          <w:p w14:paraId="08FF19E4" w14:textId="77777777" w:rsidR="00F952F7" w:rsidRPr="001018D9" w:rsidRDefault="00F952F7" w:rsidP="002E4A6D">
            <w:pPr>
              <w:pStyle w:val="Tabletext"/>
            </w:pPr>
            <w:r w:rsidRPr="001018D9">
              <w:t>Материалы и расходные средства</w:t>
            </w:r>
          </w:p>
        </w:tc>
        <w:tc>
          <w:tcPr>
            <w:tcW w:w="5969" w:type="dxa"/>
          </w:tcPr>
          <w:p w14:paraId="3D90F660" w14:textId="77777777" w:rsidR="00F952F7" w:rsidRPr="001018D9" w:rsidRDefault="00F952F7" w:rsidP="002E4A6D">
            <w:pPr>
              <w:pStyle w:val="Tabletext"/>
            </w:pPr>
            <w:r w:rsidRPr="001018D9">
              <w:t>Охватывает канцелярские принадлежности, расходные материалы для печати, бланки, карты, журналы, книги и переплеты, компьютерные расходные материалы и программное обеспечение.</w:t>
            </w:r>
          </w:p>
        </w:tc>
      </w:tr>
      <w:tr w:rsidR="00F952F7" w:rsidRPr="001018D9" w14:paraId="712C0729" w14:textId="77777777" w:rsidTr="00A0066A">
        <w:trPr>
          <w:cantSplit/>
          <w:jc w:val="center"/>
        </w:trPr>
        <w:tc>
          <w:tcPr>
            <w:tcW w:w="1406" w:type="dxa"/>
          </w:tcPr>
          <w:p w14:paraId="66BD20A2" w14:textId="77777777" w:rsidR="00F952F7" w:rsidRPr="001018D9" w:rsidRDefault="00F952F7" w:rsidP="002E4A6D">
            <w:pPr>
              <w:pStyle w:val="Tabletext"/>
            </w:pPr>
            <w:r w:rsidRPr="001018D9">
              <w:lastRenderedPageBreak/>
              <w:t>Категория 7</w:t>
            </w:r>
          </w:p>
        </w:tc>
        <w:tc>
          <w:tcPr>
            <w:tcW w:w="2260" w:type="dxa"/>
          </w:tcPr>
          <w:p w14:paraId="0099C497" w14:textId="77777777" w:rsidR="00F952F7" w:rsidRPr="001018D9" w:rsidRDefault="00F952F7" w:rsidP="002E4A6D">
            <w:pPr>
              <w:pStyle w:val="Tabletext"/>
            </w:pPr>
            <w:r w:rsidRPr="001018D9">
              <w:t xml:space="preserve">Приобретение помещений, мебели и оборудования </w:t>
            </w:r>
          </w:p>
        </w:tc>
        <w:tc>
          <w:tcPr>
            <w:tcW w:w="5969" w:type="dxa"/>
          </w:tcPr>
          <w:p w14:paraId="26179140" w14:textId="77777777" w:rsidR="00F952F7" w:rsidRPr="001018D9" w:rsidRDefault="00F952F7" w:rsidP="002E4A6D">
            <w:pPr>
              <w:pStyle w:val="Tabletext"/>
            </w:pPr>
            <w:r w:rsidRPr="001018D9">
              <w:t>Охватывает статьи капитального характера, включая платежи за приобретение зданий и других помещений Союза, а также приобретение мебели, компьютеров и другого технического оборудования и установок.</w:t>
            </w:r>
          </w:p>
        </w:tc>
      </w:tr>
      <w:tr w:rsidR="00F952F7" w:rsidRPr="001018D9" w14:paraId="40F7FDA2" w14:textId="77777777" w:rsidTr="00A0066A">
        <w:trPr>
          <w:cantSplit/>
          <w:jc w:val="center"/>
        </w:trPr>
        <w:tc>
          <w:tcPr>
            <w:tcW w:w="1406" w:type="dxa"/>
          </w:tcPr>
          <w:p w14:paraId="411B9D1A" w14:textId="77777777" w:rsidR="00F952F7" w:rsidRPr="001018D9" w:rsidRDefault="00F952F7" w:rsidP="002E4A6D">
            <w:pPr>
              <w:pStyle w:val="Tabletext"/>
            </w:pPr>
            <w:r w:rsidRPr="001018D9">
              <w:t>Категория 8</w:t>
            </w:r>
          </w:p>
        </w:tc>
        <w:tc>
          <w:tcPr>
            <w:tcW w:w="2260" w:type="dxa"/>
          </w:tcPr>
          <w:p w14:paraId="5B66D193" w14:textId="77777777" w:rsidR="00F952F7" w:rsidRPr="001018D9" w:rsidRDefault="00F952F7" w:rsidP="002E4A6D">
            <w:pPr>
              <w:pStyle w:val="Tabletext"/>
            </w:pPr>
            <w:r w:rsidRPr="001018D9">
              <w:t>Коммунальные услуги и внутренние службы</w:t>
            </w:r>
          </w:p>
        </w:tc>
        <w:tc>
          <w:tcPr>
            <w:tcW w:w="5969" w:type="dxa"/>
          </w:tcPr>
          <w:p w14:paraId="1282DA28" w14:textId="1D41730C" w:rsidR="00F952F7" w:rsidRPr="001018D9" w:rsidRDefault="00F952F7" w:rsidP="002E4A6D">
            <w:pPr>
              <w:pStyle w:val="Tabletext"/>
            </w:pPr>
            <w:r w:rsidRPr="001018D9">
              <w:t>Охватывает такие официальные услуги, как электроснабжение, газоснабжение, водоснабжение, почтовая, телефонная и телеграфная связь, отопление и обслуживание зданий.</w:t>
            </w:r>
          </w:p>
        </w:tc>
      </w:tr>
      <w:tr w:rsidR="00F952F7" w:rsidRPr="001018D9" w14:paraId="7391FA86" w14:textId="77777777" w:rsidTr="00A0066A">
        <w:trPr>
          <w:cantSplit/>
          <w:jc w:val="center"/>
        </w:trPr>
        <w:tc>
          <w:tcPr>
            <w:tcW w:w="1406" w:type="dxa"/>
          </w:tcPr>
          <w:p w14:paraId="04CA062C" w14:textId="77777777" w:rsidR="00F952F7" w:rsidRPr="001018D9" w:rsidRDefault="00F952F7" w:rsidP="002E4A6D">
            <w:pPr>
              <w:pStyle w:val="Tabletext"/>
            </w:pPr>
            <w:r w:rsidRPr="001018D9">
              <w:t>Категория 9</w:t>
            </w:r>
          </w:p>
        </w:tc>
        <w:tc>
          <w:tcPr>
            <w:tcW w:w="2260" w:type="dxa"/>
          </w:tcPr>
          <w:p w14:paraId="555B830D" w14:textId="77777777" w:rsidR="00F952F7" w:rsidRPr="001018D9" w:rsidRDefault="00F952F7" w:rsidP="002E4A6D">
            <w:pPr>
              <w:pStyle w:val="Tabletext"/>
            </w:pPr>
            <w:r w:rsidRPr="001018D9">
              <w:t>Оплата аудиторских и межведомственных услуг, прочие расходы</w:t>
            </w:r>
          </w:p>
        </w:tc>
        <w:tc>
          <w:tcPr>
            <w:tcW w:w="5969" w:type="dxa"/>
          </w:tcPr>
          <w:p w14:paraId="32BF64FD" w14:textId="77777777" w:rsidR="00F952F7" w:rsidRPr="001018D9" w:rsidRDefault="00F952F7" w:rsidP="002E4A6D">
            <w:pPr>
              <w:pStyle w:val="Tabletext"/>
            </w:pPr>
            <w:r w:rsidRPr="001018D9">
              <w:t>Охватывает плановую ежегодную внешнюю аудиторскую проверку счетов Союза и участие МСЭ в межучрежденческих советах и службах ООН, включая такие органы, как Объединенная инспекционная группа, Комитет высокого уровня по вопросам управления и Межорганизационный совет по информационным системам. Сюда также относятся различные расходы, которые предусмотрены, но не могут быть обоснованно отнесены к другим категориям, включая представительские расходы и расходы на гостеприимство.</w:t>
            </w:r>
          </w:p>
        </w:tc>
      </w:tr>
    </w:tbl>
    <w:p w14:paraId="4244E4DC" w14:textId="77777777" w:rsidR="00F952F7" w:rsidRPr="00E21E1C" w:rsidRDefault="00F952F7" w:rsidP="00E21E1C">
      <w:pPr>
        <w:spacing w:after="120"/>
      </w:pPr>
      <w:r w:rsidRPr="001018D9">
        <w:br w:type="page"/>
      </w:r>
    </w:p>
    <w:p w14:paraId="680CA143" w14:textId="77777777" w:rsidR="00F952F7" w:rsidRPr="001018D9" w:rsidRDefault="00F952F7" w:rsidP="00A0066A">
      <w:pPr>
        <w:pStyle w:val="AnnexNo"/>
        <w:spacing w:after="480"/>
      </w:pPr>
      <w:bookmarkStart w:id="7" w:name="Annex3"/>
      <w:bookmarkEnd w:id="7"/>
      <w:r w:rsidRPr="001018D9">
        <w:lastRenderedPageBreak/>
        <w:t>ПРИЛОЖЕНИЕ 3</w:t>
      </w:r>
    </w:p>
    <w:p w14:paraId="011FD88B" w14:textId="1E4DBE2D" w:rsidR="00F952F7" w:rsidRPr="001018D9" w:rsidRDefault="00F952F7" w:rsidP="00A0066A">
      <w:pPr>
        <w:pStyle w:val="Tabletitle"/>
        <w:spacing w:before="360"/>
      </w:pPr>
      <w:r w:rsidRPr="001018D9">
        <w:t xml:space="preserve">Сметные размеры окладов с учетом класса должности сотрудников и страны </w:t>
      </w:r>
      <w:r w:rsidR="00B27E0C" w:rsidRPr="001018D9">
        <w:br/>
      </w:r>
      <w:r w:rsidRPr="001018D9">
        <w:t>их расквартирования (в швейцарских франках)</w:t>
      </w:r>
    </w:p>
    <w:tbl>
      <w:tblPr>
        <w:tblStyle w:val="TableGrid"/>
        <w:tblW w:w="3261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1843"/>
      </w:tblGrid>
      <w:tr w:rsidR="00F952F7" w:rsidRPr="001018D9" w14:paraId="305EFB9C" w14:textId="77777777" w:rsidTr="002E4A6D">
        <w:trPr>
          <w:cantSplit/>
          <w:jc w:val="center"/>
        </w:trPr>
        <w:tc>
          <w:tcPr>
            <w:tcW w:w="1418" w:type="dxa"/>
          </w:tcPr>
          <w:p w14:paraId="3DC3043E" w14:textId="77777777" w:rsidR="00F952F7" w:rsidRPr="001018D9" w:rsidRDefault="00F952F7" w:rsidP="002E4A6D">
            <w:pPr>
              <w:pStyle w:val="Tablehead"/>
              <w:rPr>
                <w:sz w:val="24"/>
              </w:rPr>
            </w:pPr>
            <w:r w:rsidRPr="001018D9">
              <w:t>Сотрудник</w:t>
            </w:r>
          </w:p>
        </w:tc>
        <w:tc>
          <w:tcPr>
            <w:tcW w:w="1843" w:type="dxa"/>
          </w:tcPr>
          <w:p w14:paraId="7D869DC1" w14:textId="77777777" w:rsidR="00F952F7" w:rsidRPr="001018D9" w:rsidRDefault="00F952F7" w:rsidP="002E4A6D">
            <w:pPr>
              <w:pStyle w:val="Tablehead"/>
              <w:rPr>
                <w:sz w:val="24"/>
              </w:rPr>
            </w:pPr>
            <w:r w:rsidRPr="001018D9">
              <w:t>Фиджи</w:t>
            </w:r>
          </w:p>
        </w:tc>
      </w:tr>
      <w:tr w:rsidR="00F952F7" w:rsidRPr="001018D9" w14:paraId="78C3091A" w14:textId="77777777" w:rsidTr="002E4A6D">
        <w:trPr>
          <w:cantSplit/>
          <w:jc w:val="center"/>
        </w:trPr>
        <w:tc>
          <w:tcPr>
            <w:tcW w:w="1418" w:type="dxa"/>
          </w:tcPr>
          <w:p w14:paraId="46E76B4F" w14:textId="77777777" w:rsidR="00F952F7" w:rsidRPr="001018D9" w:rsidRDefault="00F952F7" w:rsidP="002E4A6D">
            <w:pPr>
              <w:pStyle w:val="Tabletext"/>
              <w:jc w:val="center"/>
              <w:rPr>
                <w:sz w:val="24"/>
              </w:rPr>
            </w:pPr>
            <w:r w:rsidRPr="001018D9">
              <w:t>P5</w:t>
            </w:r>
          </w:p>
        </w:tc>
        <w:tc>
          <w:tcPr>
            <w:tcW w:w="1843" w:type="dxa"/>
          </w:tcPr>
          <w:p w14:paraId="370C9529" w14:textId="77777777" w:rsidR="00F952F7" w:rsidRPr="001018D9" w:rsidRDefault="00F952F7" w:rsidP="00A0066A">
            <w:pPr>
              <w:pStyle w:val="Tabletext"/>
              <w:ind w:right="113"/>
              <w:jc w:val="right"/>
              <w:rPr>
                <w:sz w:val="24"/>
              </w:rPr>
            </w:pPr>
            <w:r w:rsidRPr="001018D9">
              <w:t>193 206</w:t>
            </w:r>
          </w:p>
        </w:tc>
      </w:tr>
      <w:tr w:rsidR="00F952F7" w:rsidRPr="001018D9" w14:paraId="36B51D1D" w14:textId="77777777" w:rsidTr="002E4A6D">
        <w:trPr>
          <w:cantSplit/>
          <w:jc w:val="center"/>
        </w:trPr>
        <w:tc>
          <w:tcPr>
            <w:tcW w:w="1418" w:type="dxa"/>
          </w:tcPr>
          <w:p w14:paraId="6D412806" w14:textId="77777777" w:rsidR="00F952F7" w:rsidRPr="001018D9" w:rsidRDefault="00F952F7" w:rsidP="002E4A6D">
            <w:pPr>
              <w:pStyle w:val="Tabletext"/>
              <w:jc w:val="center"/>
              <w:rPr>
                <w:sz w:val="24"/>
              </w:rPr>
            </w:pPr>
            <w:r w:rsidRPr="001018D9">
              <w:t>P3</w:t>
            </w:r>
          </w:p>
        </w:tc>
        <w:tc>
          <w:tcPr>
            <w:tcW w:w="1843" w:type="dxa"/>
          </w:tcPr>
          <w:p w14:paraId="77A95880" w14:textId="77777777" w:rsidR="00F952F7" w:rsidRPr="001018D9" w:rsidRDefault="00F952F7" w:rsidP="00A0066A">
            <w:pPr>
              <w:pStyle w:val="Tabletext"/>
              <w:ind w:right="113"/>
              <w:jc w:val="right"/>
              <w:rPr>
                <w:sz w:val="24"/>
              </w:rPr>
            </w:pPr>
            <w:r w:rsidRPr="001018D9">
              <w:t>140 937</w:t>
            </w:r>
          </w:p>
        </w:tc>
      </w:tr>
      <w:tr w:rsidR="00F952F7" w:rsidRPr="001018D9" w14:paraId="0C6DED0E" w14:textId="77777777" w:rsidTr="002E4A6D">
        <w:trPr>
          <w:cantSplit/>
          <w:jc w:val="center"/>
        </w:trPr>
        <w:tc>
          <w:tcPr>
            <w:tcW w:w="1418" w:type="dxa"/>
          </w:tcPr>
          <w:p w14:paraId="5D2AA9B1" w14:textId="77777777" w:rsidR="00F952F7" w:rsidRPr="001018D9" w:rsidRDefault="00F952F7" w:rsidP="002E4A6D">
            <w:pPr>
              <w:pStyle w:val="Tabletext"/>
              <w:jc w:val="center"/>
              <w:rPr>
                <w:sz w:val="24"/>
              </w:rPr>
            </w:pPr>
            <w:r w:rsidRPr="001018D9">
              <w:t>G5</w:t>
            </w:r>
          </w:p>
        </w:tc>
        <w:tc>
          <w:tcPr>
            <w:tcW w:w="1843" w:type="dxa"/>
          </w:tcPr>
          <w:p w14:paraId="48BCC211" w14:textId="77777777" w:rsidR="00F952F7" w:rsidRPr="001018D9" w:rsidRDefault="00F952F7" w:rsidP="00A0066A">
            <w:pPr>
              <w:pStyle w:val="Tabletext"/>
              <w:ind w:right="113"/>
              <w:jc w:val="right"/>
              <w:rPr>
                <w:sz w:val="24"/>
              </w:rPr>
            </w:pPr>
            <w:r w:rsidRPr="001018D9">
              <w:t>46 934</w:t>
            </w:r>
          </w:p>
        </w:tc>
      </w:tr>
    </w:tbl>
    <w:p w14:paraId="61545CFD" w14:textId="06EFC62F" w:rsidR="00F952F7" w:rsidRPr="001018D9" w:rsidRDefault="00F952F7" w:rsidP="00A0066A">
      <w:pPr>
        <w:pStyle w:val="Tabletitle"/>
        <w:spacing w:before="360"/>
      </w:pPr>
      <w:r w:rsidRPr="001018D9">
        <w:t xml:space="preserve">Общая смета затрат, не связанных с заработной платой сотрудников, </w:t>
      </w:r>
      <w:r w:rsidR="00A0066A" w:rsidRPr="001018D9">
        <w:br/>
      </w:r>
      <w:r w:rsidRPr="001018D9">
        <w:t xml:space="preserve">при их размещении в помещениях PIFS </w:t>
      </w:r>
      <w:r w:rsidRPr="001018D9">
        <w:br/>
        <w:t>(все три сотрудника)</w:t>
      </w:r>
    </w:p>
    <w:tbl>
      <w:tblPr>
        <w:tblStyle w:val="TableGrid"/>
        <w:tblW w:w="9634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7"/>
        <w:gridCol w:w="2800"/>
        <w:gridCol w:w="1143"/>
        <w:gridCol w:w="1143"/>
        <w:gridCol w:w="1143"/>
        <w:gridCol w:w="1302"/>
        <w:gridCol w:w="1156"/>
      </w:tblGrid>
      <w:tr w:rsidR="00F952F7" w:rsidRPr="001018D9" w14:paraId="27134AB0" w14:textId="77777777" w:rsidTr="00E21E1C">
        <w:trPr>
          <w:cantSplit/>
          <w:jc w:val="center"/>
        </w:trPr>
        <w:tc>
          <w:tcPr>
            <w:tcW w:w="947" w:type="dxa"/>
            <w:vAlign w:val="center"/>
            <w:hideMark/>
          </w:tcPr>
          <w:p w14:paraId="7C803F08" w14:textId="5A1B28BD" w:rsidR="00F952F7" w:rsidRPr="001018D9" w:rsidRDefault="00F952F7" w:rsidP="00A0066A">
            <w:pPr>
              <w:pStyle w:val="Tablehead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Категория</w:t>
            </w:r>
          </w:p>
        </w:tc>
        <w:tc>
          <w:tcPr>
            <w:tcW w:w="2800" w:type="dxa"/>
            <w:noWrap/>
            <w:vAlign w:val="center"/>
            <w:hideMark/>
          </w:tcPr>
          <w:p w14:paraId="5EFF100A" w14:textId="77777777" w:rsidR="00F952F7" w:rsidRPr="001018D9" w:rsidRDefault="00F952F7" w:rsidP="00A0066A">
            <w:pPr>
              <w:pStyle w:val="Tablehead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Разделы бюджета</w:t>
            </w:r>
          </w:p>
        </w:tc>
        <w:tc>
          <w:tcPr>
            <w:tcW w:w="1143" w:type="dxa"/>
            <w:noWrap/>
            <w:vAlign w:val="center"/>
            <w:hideMark/>
          </w:tcPr>
          <w:p w14:paraId="7A172C77" w14:textId="49070F23" w:rsidR="00F952F7" w:rsidRPr="001018D9" w:rsidRDefault="00F952F7" w:rsidP="00A0066A">
            <w:pPr>
              <w:pStyle w:val="Tablehead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 xml:space="preserve">Бюджет на первый год </w:t>
            </w:r>
            <w:r w:rsidRPr="001018D9">
              <w:rPr>
                <w:sz w:val="18"/>
                <w:szCs w:val="18"/>
              </w:rPr>
              <w:br/>
              <w:t>(шв</w:t>
            </w:r>
            <w:r w:rsidR="00A0066A" w:rsidRPr="001018D9">
              <w:rPr>
                <w:sz w:val="18"/>
                <w:szCs w:val="18"/>
              </w:rPr>
              <w:t>.</w:t>
            </w:r>
            <w:r w:rsidRPr="001018D9">
              <w:rPr>
                <w:sz w:val="18"/>
                <w:szCs w:val="18"/>
              </w:rPr>
              <w:t xml:space="preserve"> фр</w:t>
            </w:r>
            <w:r w:rsidR="00A0066A" w:rsidRPr="001018D9">
              <w:rPr>
                <w:sz w:val="18"/>
                <w:szCs w:val="18"/>
              </w:rPr>
              <w:t>.</w:t>
            </w:r>
            <w:r w:rsidRPr="001018D9">
              <w:rPr>
                <w:sz w:val="18"/>
                <w:szCs w:val="18"/>
              </w:rPr>
              <w:t>)</w:t>
            </w:r>
          </w:p>
        </w:tc>
        <w:tc>
          <w:tcPr>
            <w:tcW w:w="1143" w:type="dxa"/>
            <w:noWrap/>
            <w:vAlign w:val="center"/>
            <w:hideMark/>
          </w:tcPr>
          <w:p w14:paraId="6611D374" w14:textId="5BA691FE" w:rsidR="00F952F7" w:rsidRPr="001018D9" w:rsidRDefault="00F952F7" w:rsidP="00A0066A">
            <w:pPr>
              <w:pStyle w:val="Tablehead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 xml:space="preserve">Бюджет на второй год </w:t>
            </w:r>
            <w:r w:rsidRPr="001018D9">
              <w:rPr>
                <w:sz w:val="18"/>
                <w:szCs w:val="18"/>
              </w:rPr>
              <w:br/>
            </w:r>
            <w:r w:rsidR="00A0066A" w:rsidRPr="001018D9">
              <w:rPr>
                <w:sz w:val="18"/>
                <w:szCs w:val="18"/>
              </w:rPr>
              <w:t>(шв. фр.)</w:t>
            </w:r>
          </w:p>
        </w:tc>
        <w:tc>
          <w:tcPr>
            <w:tcW w:w="1143" w:type="dxa"/>
            <w:vAlign w:val="center"/>
          </w:tcPr>
          <w:p w14:paraId="54E9FDA7" w14:textId="2B3A8D06" w:rsidR="00F952F7" w:rsidRPr="001018D9" w:rsidRDefault="00F952F7" w:rsidP="00A0066A">
            <w:pPr>
              <w:pStyle w:val="Tablehead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 xml:space="preserve">Бюджет на третий год </w:t>
            </w:r>
            <w:r w:rsidRPr="001018D9">
              <w:rPr>
                <w:sz w:val="18"/>
                <w:szCs w:val="18"/>
              </w:rPr>
              <w:br/>
            </w:r>
            <w:r w:rsidR="00A0066A" w:rsidRPr="001018D9">
              <w:rPr>
                <w:sz w:val="18"/>
                <w:szCs w:val="18"/>
              </w:rPr>
              <w:t>(шв. фр.)</w:t>
            </w:r>
          </w:p>
        </w:tc>
        <w:tc>
          <w:tcPr>
            <w:tcW w:w="1302" w:type="dxa"/>
            <w:vAlign w:val="center"/>
          </w:tcPr>
          <w:p w14:paraId="2FB4DAD1" w14:textId="570B6D15" w:rsidR="00F952F7" w:rsidRPr="001018D9" w:rsidRDefault="00F952F7" w:rsidP="00A0066A">
            <w:pPr>
              <w:pStyle w:val="Tablehead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 xml:space="preserve">Бюджет на четвертый год </w:t>
            </w:r>
            <w:r w:rsidRPr="001018D9">
              <w:rPr>
                <w:sz w:val="18"/>
                <w:szCs w:val="18"/>
              </w:rPr>
              <w:br/>
            </w:r>
            <w:r w:rsidR="00A0066A" w:rsidRPr="001018D9">
              <w:rPr>
                <w:sz w:val="18"/>
                <w:szCs w:val="18"/>
              </w:rPr>
              <w:t>(шв. фр.)</w:t>
            </w:r>
          </w:p>
        </w:tc>
        <w:tc>
          <w:tcPr>
            <w:tcW w:w="1156" w:type="dxa"/>
            <w:vAlign w:val="center"/>
          </w:tcPr>
          <w:p w14:paraId="483B5406" w14:textId="6CE914BE" w:rsidR="00F952F7" w:rsidRPr="001018D9" w:rsidRDefault="00F952F7" w:rsidP="00A0066A">
            <w:pPr>
              <w:pStyle w:val="Tablehead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 xml:space="preserve">Всего за четыре года </w:t>
            </w:r>
            <w:r w:rsidR="00A0066A" w:rsidRPr="001018D9">
              <w:rPr>
                <w:sz w:val="18"/>
                <w:szCs w:val="18"/>
              </w:rPr>
              <w:br/>
              <w:t>(шв. фр.)</w:t>
            </w:r>
          </w:p>
        </w:tc>
      </w:tr>
      <w:tr w:rsidR="00F952F7" w:rsidRPr="001018D9" w14:paraId="02367EF3" w14:textId="77777777" w:rsidTr="00E21E1C">
        <w:trPr>
          <w:cantSplit/>
          <w:jc w:val="center"/>
        </w:trPr>
        <w:tc>
          <w:tcPr>
            <w:tcW w:w="947" w:type="dxa"/>
          </w:tcPr>
          <w:p w14:paraId="2A2519FB" w14:textId="77777777" w:rsidR="00F952F7" w:rsidRPr="001018D9" w:rsidRDefault="00F952F7" w:rsidP="002E4A6D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Кат. 2</w:t>
            </w:r>
          </w:p>
        </w:tc>
        <w:tc>
          <w:tcPr>
            <w:tcW w:w="2800" w:type="dxa"/>
            <w:noWrap/>
          </w:tcPr>
          <w:p w14:paraId="6C627611" w14:textId="77777777" w:rsidR="00F952F7" w:rsidRPr="001018D9" w:rsidRDefault="00F952F7" w:rsidP="002E4A6D">
            <w:pPr>
              <w:pStyle w:val="Tabletex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Субсидия на образование</w:t>
            </w:r>
          </w:p>
        </w:tc>
        <w:tc>
          <w:tcPr>
            <w:tcW w:w="1143" w:type="dxa"/>
            <w:noWrap/>
            <w:vAlign w:val="bottom"/>
          </w:tcPr>
          <w:p w14:paraId="185859BF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30 000</w:t>
            </w:r>
          </w:p>
        </w:tc>
        <w:tc>
          <w:tcPr>
            <w:tcW w:w="1143" w:type="dxa"/>
            <w:noWrap/>
            <w:vAlign w:val="bottom"/>
          </w:tcPr>
          <w:p w14:paraId="1077B9B3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30 000</w:t>
            </w:r>
          </w:p>
        </w:tc>
        <w:tc>
          <w:tcPr>
            <w:tcW w:w="1143" w:type="dxa"/>
            <w:vAlign w:val="bottom"/>
          </w:tcPr>
          <w:p w14:paraId="5C1BBC2D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30 000</w:t>
            </w:r>
          </w:p>
        </w:tc>
        <w:tc>
          <w:tcPr>
            <w:tcW w:w="1302" w:type="dxa"/>
            <w:vAlign w:val="bottom"/>
          </w:tcPr>
          <w:p w14:paraId="2F0EF45F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30 000</w:t>
            </w:r>
          </w:p>
        </w:tc>
        <w:tc>
          <w:tcPr>
            <w:tcW w:w="1156" w:type="dxa"/>
            <w:vAlign w:val="bottom"/>
          </w:tcPr>
          <w:p w14:paraId="6BC1BB2C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120 000</w:t>
            </w:r>
          </w:p>
        </w:tc>
      </w:tr>
      <w:tr w:rsidR="00F952F7" w:rsidRPr="001018D9" w14:paraId="1243B7F6" w14:textId="77777777" w:rsidTr="00E21E1C">
        <w:trPr>
          <w:cantSplit/>
          <w:jc w:val="center"/>
        </w:trPr>
        <w:tc>
          <w:tcPr>
            <w:tcW w:w="947" w:type="dxa"/>
          </w:tcPr>
          <w:p w14:paraId="7FB0DC68" w14:textId="77777777" w:rsidR="00F952F7" w:rsidRPr="001018D9" w:rsidRDefault="00F952F7" w:rsidP="002E4A6D">
            <w:pPr>
              <w:pStyle w:val="Tabletext"/>
              <w:jc w:val="center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  <w:lang w:eastAsia="en-IN"/>
              </w:rPr>
              <w:t>Кат. 2</w:t>
            </w:r>
          </w:p>
        </w:tc>
        <w:tc>
          <w:tcPr>
            <w:tcW w:w="2800" w:type="dxa"/>
            <w:noWrap/>
          </w:tcPr>
          <w:p w14:paraId="3F048176" w14:textId="58097F9C" w:rsidR="00F952F7" w:rsidRPr="001018D9" w:rsidRDefault="00F952F7" w:rsidP="002E4A6D">
            <w:pPr>
              <w:pStyle w:val="Tabletex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  <w:lang w:eastAsia="en-IN"/>
              </w:rPr>
              <w:t>Выплаты в связи с отпуском на</w:t>
            </w:r>
            <w:r w:rsidR="001018D9">
              <w:rPr>
                <w:sz w:val="18"/>
                <w:szCs w:val="18"/>
                <w:lang w:eastAsia="en-IN"/>
              </w:rPr>
              <w:t> </w:t>
            </w:r>
            <w:r w:rsidRPr="001018D9">
              <w:rPr>
                <w:sz w:val="18"/>
                <w:szCs w:val="18"/>
                <w:lang w:eastAsia="en-IN"/>
              </w:rPr>
              <w:t>родину</w:t>
            </w:r>
          </w:p>
        </w:tc>
        <w:tc>
          <w:tcPr>
            <w:tcW w:w="1143" w:type="dxa"/>
            <w:noWrap/>
            <w:vAlign w:val="bottom"/>
          </w:tcPr>
          <w:p w14:paraId="2AE76A34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43" w:type="dxa"/>
            <w:noWrap/>
            <w:vAlign w:val="bottom"/>
          </w:tcPr>
          <w:p w14:paraId="0AE21AAB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43" w:type="dxa"/>
            <w:vAlign w:val="bottom"/>
          </w:tcPr>
          <w:p w14:paraId="1F25DA6E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50 000</w:t>
            </w:r>
          </w:p>
        </w:tc>
        <w:tc>
          <w:tcPr>
            <w:tcW w:w="1302" w:type="dxa"/>
            <w:vAlign w:val="bottom"/>
          </w:tcPr>
          <w:p w14:paraId="0A396C4E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56" w:type="dxa"/>
            <w:vAlign w:val="bottom"/>
          </w:tcPr>
          <w:p w14:paraId="57FCA49B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50 000</w:t>
            </w:r>
          </w:p>
        </w:tc>
      </w:tr>
      <w:tr w:rsidR="00F952F7" w:rsidRPr="001018D9" w14:paraId="243EFBAB" w14:textId="77777777" w:rsidTr="00E21E1C">
        <w:trPr>
          <w:cantSplit/>
          <w:jc w:val="center"/>
        </w:trPr>
        <w:tc>
          <w:tcPr>
            <w:tcW w:w="947" w:type="dxa"/>
            <w:noWrap/>
            <w:hideMark/>
          </w:tcPr>
          <w:p w14:paraId="4AF51030" w14:textId="77777777" w:rsidR="00F952F7" w:rsidRPr="001018D9" w:rsidRDefault="00F952F7" w:rsidP="002E4A6D">
            <w:pPr>
              <w:pStyle w:val="Tabletext"/>
              <w:jc w:val="center"/>
              <w:rPr>
                <w:color w:val="000000"/>
                <w:sz w:val="18"/>
                <w:szCs w:val="18"/>
                <w:lang w:eastAsia="en-IN"/>
              </w:rPr>
            </w:pPr>
            <w:r w:rsidRPr="001018D9">
              <w:rPr>
                <w:sz w:val="18"/>
                <w:szCs w:val="18"/>
                <w:lang w:eastAsia="en-IN"/>
              </w:rPr>
              <w:t>Кат. 3</w:t>
            </w:r>
          </w:p>
        </w:tc>
        <w:tc>
          <w:tcPr>
            <w:tcW w:w="2800" w:type="dxa"/>
            <w:noWrap/>
            <w:hideMark/>
          </w:tcPr>
          <w:p w14:paraId="367AE7A4" w14:textId="39C4A128" w:rsidR="00F952F7" w:rsidRPr="001018D9" w:rsidRDefault="00F952F7" w:rsidP="002E4A6D">
            <w:pPr>
              <w:pStyle w:val="Tabletext"/>
              <w:rPr>
                <w:color w:val="000000"/>
                <w:sz w:val="18"/>
                <w:szCs w:val="18"/>
                <w:lang w:eastAsia="en-IN"/>
              </w:rPr>
            </w:pPr>
            <w:r w:rsidRPr="001018D9">
              <w:rPr>
                <w:sz w:val="18"/>
                <w:szCs w:val="18"/>
                <w:lang w:eastAsia="en-IN"/>
              </w:rPr>
              <w:t>Затраты, связанные с миссиями/ служебными командировками (в</w:t>
            </w:r>
            <w:r w:rsidR="00A0066A" w:rsidRPr="001018D9">
              <w:rPr>
                <w:sz w:val="18"/>
                <w:szCs w:val="18"/>
                <w:lang w:eastAsia="en-IN"/>
              </w:rPr>
              <w:t> </w:t>
            </w:r>
            <w:r w:rsidRPr="001018D9">
              <w:rPr>
                <w:sz w:val="18"/>
                <w:szCs w:val="18"/>
                <w:lang w:eastAsia="en-IN"/>
              </w:rPr>
              <w:t>штаб-квартиру и обратно)</w:t>
            </w:r>
          </w:p>
        </w:tc>
        <w:tc>
          <w:tcPr>
            <w:tcW w:w="1143" w:type="dxa"/>
            <w:noWrap/>
            <w:vAlign w:val="bottom"/>
            <w:hideMark/>
          </w:tcPr>
          <w:p w14:paraId="24154F21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43" w:type="dxa"/>
            <w:noWrap/>
            <w:vAlign w:val="bottom"/>
            <w:hideMark/>
          </w:tcPr>
          <w:p w14:paraId="60896294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43" w:type="dxa"/>
            <w:vAlign w:val="bottom"/>
          </w:tcPr>
          <w:p w14:paraId="1197AD72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302" w:type="dxa"/>
            <w:vAlign w:val="bottom"/>
          </w:tcPr>
          <w:p w14:paraId="02E5B48D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56" w:type="dxa"/>
            <w:vAlign w:val="bottom"/>
          </w:tcPr>
          <w:p w14:paraId="414C394C" w14:textId="77777777" w:rsidR="00F952F7" w:rsidRPr="001018D9" w:rsidRDefault="00F952F7" w:rsidP="001018D9">
            <w:pPr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</w:tr>
      <w:tr w:rsidR="00F952F7" w:rsidRPr="001018D9" w14:paraId="459C0F46" w14:textId="77777777" w:rsidTr="00E21E1C">
        <w:trPr>
          <w:cantSplit/>
          <w:jc w:val="center"/>
        </w:trPr>
        <w:tc>
          <w:tcPr>
            <w:tcW w:w="947" w:type="dxa"/>
            <w:noWrap/>
            <w:hideMark/>
          </w:tcPr>
          <w:p w14:paraId="1F499E8C" w14:textId="77777777" w:rsidR="00F952F7" w:rsidRPr="001018D9" w:rsidRDefault="00F952F7" w:rsidP="002E4A6D">
            <w:pPr>
              <w:pStyle w:val="Tabletext"/>
              <w:jc w:val="center"/>
              <w:rPr>
                <w:color w:val="000000"/>
                <w:sz w:val="18"/>
                <w:szCs w:val="18"/>
                <w:lang w:eastAsia="en-IN"/>
              </w:rPr>
            </w:pPr>
            <w:r w:rsidRPr="001018D9">
              <w:rPr>
                <w:sz w:val="18"/>
                <w:szCs w:val="18"/>
                <w:lang w:eastAsia="en-IN"/>
              </w:rPr>
              <w:t>Кат. 3</w:t>
            </w:r>
          </w:p>
        </w:tc>
        <w:tc>
          <w:tcPr>
            <w:tcW w:w="2800" w:type="dxa"/>
            <w:noWrap/>
            <w:hideMark/>
          </w:tcPr>
          <w:p w14:paraId="66542903" w14:textId="5F8E2E59" w:rsidR="00F952F7" w:rsidRPr="001018D9" w:rsidRDefault="00F952F7" w:rsidP="002E4A6D">
            <w:pPr>
              <w:pStyle w:val="Tabletext"/>
              <w:rPr>
                <w:color w:val="000000"/>
                <w:sz w:val="18"/>
                <w:szCs w:val="18"/>
                <w:lang w:eastAsia="en-IN"/>
              </w:rPr>
            </w:pPr>
            <w:r w:rsidRPr="001018D9">
              <w:rPr>
                <w:sz w:val="18"/>
                <w:szCs w:val="18"/>
                <w:lang w:eastAsia="en-IN"/>
              </w:rPr>
              <w:t>Служебные поездки, связанные с</w:t>
            </w:r>
            <w:r w:rsidR="00A0066A" w:rsidRPr="001018D9">
              <w:rPr>
                <w:sz w:val="18"/>
                <w:szCs w:val="18"/>
                <w:lang w:eastAsia="en-IN"/>
              </w:rPr>
              <w:t> </w:t>
            </w:r>
            <w:r w:rsidRPr="001018D9">
              <w:rPr>
                <w:sz w:val="18"/>
                <w:szCs w:val="18"/>
                <w:lang w:eastAsia="en-IN"/>
              </w:rPr>
              <w:t>первоначальным обустройством (в штаб-квартиру и обратно)</w:t>
            </w:r>
          </w:p>
        </w:tc>
        <w:tc>
          <w:tcPr>
            <w:tcW w:w="1143" w:type="dxa"/>
            <w:noWrap/>
            <w:vAlign w:val="bottom"/>
            <w:hideMark/>
          </w:tcPr>
          <w:p w14:paraId="45B65538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7 286</w:t>
            </w:r>
          </w:p>
        </w:tc>
        <w:tc>
          <w:tcPr>
            <w:tcW w:w="1143" w:type="dxa"/>
            <w:noWrap/>
            <w:vAlign w:val="bottom"/>
            <w:hideMark/>
          </w:tcPr>
          <w:p w14:paraId="7EF02C37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43" w:type="dxa"/>
            <w:vAlign w:val="bottom"/>
          </w:tcPr>
          <w:p w14:paraId="5EDD493E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302" w:type="dxa"/>
            <w:vAlign w:val="bottom"/>
          </w:tcPr>
          <w:p w14:paraId="6A4FB4C0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56" w:type="dxa"/>
            <w:vAlign w:val="bottom"/>
          </w:tcPr>
          <w:p w14:paraId="0ED612CE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7 286</w:t>
            </w:r>
          </w:p>
        </w:tc>
      </w:tr>
      <w:tr w:rsidR="00F952F7" w:rsidRPr="001018D9" w14:paraId="27D8FBA9" w14:textId="77777777" w:rsidTr="00E21E1C">
        <w:trPr>
          <w:cantSplit/>
          <w:jc w:val="center"/>
        </w:trPr>
        <w:tc>
          <w:tcPr>
            <w:tcW w:w="947" w:type="dxa"/>
            <w:noWrap/>
            <w:hideMark/>
          </w:tcPr>
          <w:p w14:paraId="0F02D13E" w14:textId="77777777" w:rsidR="00F952F7" w:rsidRPr="001018D9" w:rsidRDefault="00F952F7" w:rsidP="002E4A6D">
            <w:pPr>
              <w:pStyle w:val="Tabletext"/>
              <w:jc w:val="center"/>
              <w:rPr>
                <w:color w:val="000000"/>
                <w:sz w:val="18"/>
                <w:szCs w:val="18"/>
                <w:lang w:eastAsia="en-IN"/>
              </w:rPr>
            </w:pPr>
            <w:r w:rsidRPr="001018D9">
              <w:rPr>
                <w:sz w:val="18"/>
                <w:szCs w:val="18"/>
                <w:lang w:eastAsia="en-IN"/>
              </w:rPr>
              <w:t>Кат. 4</w:t>
            </w:r>
          </w:p>
        </w:tc>
        <w:tc>
          <w:tcPr>
            <w:tcW w:w="2800" w:type="dxa"/>
            <w:noWrap/>
            <w:hideMark/>
          </w:tcPr>
          <w:p w14:paraId="7A21DEB5" w14:textId="77777777" w:rsidR="00F952F7" w:rsidRPr="001018D9" w:rsidRDefault="00F952F7" w:rsidP="002E4A6D">
            <w:pPr>
              <w:pStyle w:val="Tabletext"/>
              <w:rPr>
                <w:color w:val="000000"/>
                <w:sz w:val="18"/>
                <w:szCs w:val="18"/>
                <w:lang w:eastAsia="en-IN"/>
              </w:rPr>
            </w:pPr>
            <w:r w:rsidRPr="001018D9">
              <w:rPr>
                <w:sz w:val="18"/>
                <w:szCs w:val="18"/>
                <w:lang w:eastAsia="en-IN"/>
              </w:rPr>
              <w:t>Контрактные услуги</w:t>
            </w:r>
          </w:p>
        </w:tc>
        <w:tc>
          <w:tcPr>
            <w:tcW w:w="1143" w:type="dxa"/>
            <w:noWrap/>
            <w:vAlign w:val="bottom"/>
            <w:hideMark/>
          </w:tcPr>
          <w:p w14:paraId="0069C5E3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43" w:type="dxa"/>
            <w:noWrap/>
            <w:vAlign w:val="bottom"/>
            <w:hideMark/>
          </w:tcPr>
          <w:p w14:paraId="74D939F4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43" w:type="dxa"/>
            <w:vAlign w:val="bottom"/>
          </w:tcPr>
          <w:p w14:paraId="4C913117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302" w:type="dxa"/>
            <w:vAlign w:val="bottom"/>
          </w:tcPr>
          <w:p w14:paraId="79151359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56" w:type="dxa"/>
            <w:vAlign w:val="bottom"/>
          </w:tcPr>
          <w:p w14:paraId="38942EED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</w:tr>
      <w:tr w:rsidR="00F952F7" w:rsidRPr="001018D9" w14:paraId="4F3FF7DD" w14:textId="77777777" w:rsidTr="00E21E1C">
        <w:trPr>
          <w:cantSplit/>
          <w:jc w:val="center"/>
        </w:trPr>
        <w:tc>
          <w:tcPr>
            <w:tcW w:w="947" w:type="dxa"/>
            <w:noWrap/>
            <w:hideMark/>
          </w:tcPr>
          <w:p w14:paraId="4A3B59C3" w14:textId="77777777" w:rsidR="00F952F7" w:rsidRPr="001018D9" w:rsidRDefault="00F952F7" w:rsidP="002E4A6D">
            <w:pPr>
              <w:pStyle w:val="Tabletext"/>
              <w:jc w:val="center"/>
              <w:rPr>
                <w:color w:val="000000"/>
                <w:sz w:val="18"/>
                <w:szCs w:val="18"/>
                <w:lang w:eastAsia="en-IN"/>
              </w:rPr>
            </w:pPr>
            <w:r w:rsidRPr="001018D9">
              <w:rPr>
                <w:sz w:val="18"/>
                <w:szCs w:val="18"/>
                <w:lang w:eastAsia="en-IN"/>
              </w:rPr>
              <w:t>Кат. 5</w:t>
            </w:r>
          </w:p>
        </w:tc>
        <w:tc>
          <w:tcPr>
            <w:tcW w:w="2800" w:type="dxa"/>
            <w:noWrap/>
            <w:hideMark/>
          </w:tcPr>
          <w:p w14:paraId="61EF5FBC" w14:textId="77777777" w:rsidR="00F952F7" w:rsidRPr="001018D9" w:rsidRDefault="00F952F7" w:rsidP="002E4A6D">
            <w:pPr>
              <w:pStyle w:val="Tabletext"/>
              <w:rPr>
                <w:color w:val="000000"/>
                <w:sz w:val="18"/>
                <w:szCs w:val="18"/>
                <w:lang w:eastAsia="en-IN"/>
              </w:rPr>
            </w:pPr>
            <w:r w:rsidRPr="001018D9">
              <w:rPr>
                <w:sz w:val="18"/>
                <w:szCs w:val="18"/>
                <w:lang w:eastAsia="en-IN"/>
              </w:rPr>
              <w:t>Аренда (ИТ-оборудование и прочее оборудование)</w:t>
            </w:r>
          </w:p>
        </w:tc>
        <w:tc>
          <w:tcPr>
            <w:tcW w:w="1143" w:type="dxa"/>
            <w:noWrap/>
            <w:vAlign w:val="bottom"/>
            <w:hideMark/>
          </w:tcPr>
          <w:p w14:paraId="37389D98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43" w:type="dxa"/>
            <w:noWrap/>
            <w:vAlign w:val="bottom"/>
            <w:hideMark/>
          </w:tcPr>
          <w:p w14:paraId="12029215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43" w:type="dxa"/>
            <w:vAlign w:val="bottom"/>
          </w:tcPr>
          <w:p w14:paraId="07AAFC82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302" w:type="dxa"/>
            <w:vAlign w:val="bottom"/>
          </w:tcPr>
          <w:p w14:paraId="45A5C8A4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56" w:type="dxa"/>
            <w:vAlign w:val="bottom"/>
          </w:tcPr>
          <w:p w14:paraId="040F0503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</w:tr>
      <w:tr w:rsidR="00F952F7" w:rsidRPr="001018D9" w14:paraId="1C941989" w14:textId="77777777" w:rsidTr="00E21E1C">
        <w:trPr>
          <w:cantSplit/>
          <w:jc w:val="center"/>
        </w:trPr>
        <w:tc>
          <w:tcPr>
            <w:tcW w:w="947" w:type="dxa"/>
            <w:noWrap/>
            <w:hideMark/>
          </w:tcPr>
          <w:p w14:paraId="6414C6D4" w14:textId="77777777" w:rsidR="00F952F7" w:rsidRPr="001018D9" w:rsidRDefault="00F952F7" w:rsidP="002E4A6D">
            <w:pPr>
              <w:pStyle w:val="Tabletext"/>
              <w:jc w:val="center"/>
              <w:rPr>
                <w:color w:val="000000"/>
                <w:sz w:val="18"/>
                <w:szCs w:val="18"/>
                <w:lang w:eastAsia="en-IN"/>
              </w:rPr>
            </w:pPr>
            <w:r w:rsidRPr="001018D9">
              <w:rPr>
                <w:sz w:val="18"/>
                <w:szCs w:val="18"/>
                <w:lang w:eastAsia="en-IN"/>
              </w:rPr>
              <w:t>Кат. 7</w:t>
            </w:r>
          </w:p>
        </w:tc>
        <w:tc>
          <w:tcPr>
            <w:tcW w:w="2800" w:type="dxa"/>
            <w:noWrap/>
            <w:hideMark/>
          </w:tcPr>
          <w:p w14:paraId="0C1CA24A" w14:textId="77777777" w:rsidR="00F952F7" w:rsidRPr="001018D9" w:rsidRDefault="00F952F7" w:rsidP="002E4A6D">
            <w:pPr>
              <w:pStyle w:val="Tabletext"/>
              <w:rPr>
                <w:color w:val="000000"/>
                <w:sz w:val="18"/>
                <w:szCs w:val="18"/>
                <w:lang w:eastAsia="en-IN"/>
              </w:rPr>
            </w:pPr>
            <w:r w:rsidRPr="001018D9">
              <w:rPr>
                <w:sz w:val="18"/>
                <w:szCs w:val="18"/>
                <w:lang w:eastAsia="en-IN"/>
              </w:rPr>
              <w:t>ИТ-оборудование (трехлетний срок эксплуатации)</w:t>
            </w:r>
          </w:p>
        </w:tc>
        <w:tc>
          <w:tcPr>
            <w:tcW w:w="1143" w:type="dxa"/>
            <w:noWrap/>
            <w:vAlign w:val="bottom"/>
            <w:hideMark/>
          </w:tcPr>
          <w:p w14:paraId="418A9A3E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10 583</w:t>
            </w:r>
          </w:p>
        </w:tc>
        <w:tc>
          <w:tcPr>
            <w:tcW w:w="1143" w:type="dxa"/>
            <w:noWrap/>
            <w:vAlign w:val="bottom"/>
            <w:hideMark/>
          </w:tcPr>
          <w:p w14:paraId="7D4C208D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43" w:type="dxa"/>
            <w:vAlign w:val="bottom"/>
          </w:tcPr>
          <w:p w14:paraId="6C89ADDE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302" w:type="dxa"/>
            <w:vAlign w:val="bottom"/>
          </w:tcPr>
          <w:p w14:paraId="78E0062C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10 583</w:t>
            </w:r>
          </w:p>
        </w:tc>
        <w:tc>
          <w:tcPr>
            <w:tcW w:w="1156" w:type="dxa"/>
            <w:vAlign w:val="bottom"/>
          </w:tcPr>
          <w:p w14:paraId="4559AECF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21 166</w:t>
            </w:r>
          </w:p>
        </w:tc>
      </w:tr>
      <w:tr w:rsidR="00F952F7" w:rsidRPr="001018D9" w14:paraId="5D928E7D" w14:textId="77777777" w:rsidTr="00E21E1C">
        <w:trPr>
          <w:cantSplit/>
          <w:jc w:val="center"/>
        </w:trPr>
        <w:tc>
          <w:tcPr>
            <w:tcW w:w="947" w:type="dxa"/>
            <w:noWrap/>
            <w:hideMark/>
          </w:tcPr>
          <w:p w14:paraId="78A46A8B" w14:textId="77777777" w:rsidR="00F952F7" w:rsidRPr="001018D9" w:rsidRDefault="00F952F7" w:rsidP="002E4A6D">
            <w:pPr>
              <w:pStyle w:val="Tabletext"/>
              <w:jc w:val="center"/>
              <w:rPr>
                <w:color w:val="000000"/>
                <w:sz w:val="18"/>
                <w:szCs w:val="18"/>
                <w:lang w:eastAsia="en-IN"/>
              </w:rPr>
            </w:pPr>
            <w:r w:rsidRPr="001018D9">
              <w:rPr>
                <w:sz w:val="18"/>
                <w:szCs w:val="18"/>
                <w:lang w:eastAsia="en-IN"/>
              </w:rPr>
              <w:t>Кат. 7</w:t>
            </w:r>
          </w:p>
        </w:tc>
        <w:tc>
          <w:tcPr>
            <w:tcW w:w="2800" w:type="dxa"/>
            <w:noWrap/>
            <w:hideMark/>
          </w:tcPr>
          <w:p w14:paraId="5698452A" w14:textId="77777777" w:rsidR="00F952F7" w:rsidRPr="001018D9" w:rsidRDefault="00F952F7" w:rsidP="002E4A6D">
            <w:pPr>
              <w:pStyle w:val="Tabletext"/>
              <w:rPr>
                <w:color w:val="000000"/>
                <w:sz w:val="18"/>
                <w:szCs w:val="18"/>
                <w:lang w:eastAsia="en-IN"/>
              </w:rPr>
            </w:pPr>
            <w:r w:rsidRPr="001018D9">
              <w:rPr>
                <w:sz w:val="18"/>
                <w:szCs w:val="18"/>
                <w:lang w:eastAsia="en-IN"/>
              </w:rPr>
              <w:t>Мебель (четырехлетний срок эксплуатации)</w:t>
            </w:r>
          </w:p>
        </w:tc>
        <w:tc>
          <w:tcPr>
            <w:tcW w:w="1143" w:type="dxa"/>
            <w:noWrap/>
            <w:vAlign w:val="bottom"/>
            <w:hideMark/>
          </w:tcPr>
          <w:p w14:paraId="2AA2410A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43" w:type="dxa"/>
            <w:noWrap/>
            <w:vAlign w:val="bottom"/>
            <w:hideMark/>
          </w:tcPr>
          <w:p w14:paraId="2DA5DBE0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43" w:type="dxa"/>
            <w:vAlign w:val="bottom"/>
          </w:tcPr>
          <w:p w14:paraId="4EF0DF8A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302" w:type="dxa"/>
            <w:vAlign w:val="bottom"/>
          </w:tcPr>
          <w:p w14:paraId="09BC8FB2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56" w:type="dxa"/>
            <w:vAlign w:val="bottom"/>
          </w:tcPr>
          <w:p w14:paraId="21E15BFC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</w:tr>
      <w:tr w:rsidR="00F952F7" w:rsidRPr="001018D9" w14:paraId="7B5D8D59" w14:textId="77777777" w:rsidTr="00E21E1C">
        <w:trPr>
          <w:cantSplit/>
          <w:jc w:val="center"/>
        </w:trPr>
        <w:tc>
          <w:tcPr>
            <w:tcW w:w="947" w:type="dxa"/>
            <w:noWrap/>
            <w:hideMark/>
          </w:tcPr>
          <w:p w14:paraId="5A71373D" w14:textId="77777777" w:rsidR="00F952F7" w:rsidRPr="001018D9" w:rsidRDefault="00F952F7" w:rsidP="002E4A6D">
            <w:pPr>
              <w:pStyle w:val="Tabletext"/>
              <w:jc w:val="center"/>
              <w:rPr>
                <w:color w:val="000000"/>
                <w:sz w:val="18"/>
                <w:szCs w:val="18"/>
                <w:lang w:eastAsia="en-IN"/>
              </w:rPr>
            </w:pPr>
            <w:r w:rsidRPr="001018D9">
              <w:rPr>
                <w:sz w:val="18"/>
                <w:szCs w:val="18"/>
                <w:lang w:eastAsia="en-IN"/>
              </w:rPr>
              <w:t>Кат. 7</w:t>
            </w:r>
          </w:p>
        </w:tc>
        <w:tc>
          <w:tcPr>
            <w:tcW w:w="2800" w:type="dxa"/>
            <w:noWrap/>
            <w:hideMark/>
          </w:tcPr>
          <w:p w14:paraId="4460F33B" w14:textId="77777777" w:rsidR="00F952F7" w:rsidRPr="001018D9" w:rsidRDefault="00F952F7" w:rsidP="002E4A6D">
            <w:pPr>
              <w:pStyle w:val="Tabletext"/>
              <w:rPr>
                <w:color w:val="000000"/>
                <w:sz w:val="18"/>
                <w:szCs w:val="18"/>
                <w:lang w:eastAsia="en-IN"/>
              </w:rPr>
            </w:pPr>
            <w:r w:rsidRPr="001018D9">
              <w:rPr>
                <w:sz w:val="18"/>
                <w:szCs w:val="18"/>
                <w:lang w:eastAsia="en-IN"/>
              </w:rPr>
              <w:t>Установка</w:t>
            </w:r>
          </w:p>
        </w:tc>
        <w:tc>
          <w:tcPr>
            <w:tcW w:w="1143" w:type="dxa"/>
            <w:noWrap/>
            <w:vAlign w:val="bottom"/>
            <w:hideMark/>
          </w:tcPr>
          <w:p w14:paraId="565FF0A1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21 000</w:t>
            </w:r>
          </w:p>
        </w:tc>
        <w:tc>
          <w:tcPr>
            <w:tcW w:w="1143" w:type="dxa"/>
            <w:noWrap/>
            <w:vAlign w:val="bottom"/>
            <w:hideMark/>
          </w:tcPr>
          <w:p w14:paraId="399F344B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43" w:type="dxa"/>
            <w:vAlign w:val="bottom"/>
          </w:tcPr>
          <w:p w14:paraId="2BA5F8FD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302" w:type="dxa"/>
            <w:vAlign w:val="bottom"/>
          </w:tcPr>
          <w:p w14:paraId="194DD04A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56" w:type="dxa"/>
            <w:vAlign w:val="bottom"/>
          </w:tcPr>
          <w:p w14:paraId="593C5A35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21 000</w:t>
            </w:r>
          </w:p>
        </w:tc>
      </w:tr>
      <w:tr w:rsidR="00F952F7" w:rsidRPr="001018D9" w14:paraId="565CBD52" w14:textId="77777777" w:rsidTr="00E21E1C">
        <w:trPr>
          <w:cantSplit/>
          <w:jc w:val="center"/>
        </w:trPr>
        <w:tc>
          <w:tcPr>
            <w:tcW w:w="947" w:type="dxa"/>
            <w:noWrap/>
            <w:hideMark/>
          </w:tcPr>
          <w:p w14:paraId="4F049754" w14:textId="77777777" w:rsidR="00F952F7" w:rsidRPr="001018D9" w:rsidRDefault="00F952F7" w:rsidP="002E4A6D">
            <w:pPr>
              <w:pStyle w:val="Tabletext"/>
              <w:jc w:val="center"/>
              <w:rPr>
                <w:color w:val="000000"/>
                <w:sz w:val="18"/>
                <w:szCs w:val="18"/>
                <w:lang w:eastAsia="en-IN"/>
              </w:rPr>
            </w:pPr>
            <w:r w:rsidRPr="001018D9">
              <w:rPr>
                <w:sz w:val="18"/>
                <w:szCs w:val="18"/>
                <w:lang w:eastAsia="en-IN"/>
              </w:rPr>
              <w:t>Кат. 7</w:t>
            </w:r>
          </w:p>
        </w:tc>
        <w:tc>
          <w:tcPr>
            <w:tcW w:w="2800" w:type="dxa"/>
            <w:noWrap/>
            <w:hideMark/>
          </w:tcPr>
          <w:p w14:paraId="7E2E3F10" w14:textId="77777777" w:rsidR="00F952F7" w:rsidRPr="001018D9" w:rsidRDefault="00F952F7" w:rsidP="002E4A6D">
            <w:pPr>
              <w:pStyle w:val="Tabletext"/>
              <w:rPr>
                <w:color w:val="000000"/>
                <w:sz w:val="18"/>
                <w:szCs w:val="18"/>
                <w:lang w:eastAsia="en-IN"/>
              </w:rPr>
            </w:pPr>
            <w:r w:rsidRPr="001018D9">
              <w:rPr>
                <w:sz w:val="18"/>
                <w:szCs w:val="18"/>
                <w:lang w:eastAsia="en-IN"/>
              </w:rPr>
              <w:t>Безопасность SRM-MOSS/RSM (задача безопасности + DSA)</w:t>
            </w:r>
          </w:p>
        </w:tc>
        <w:tc>
          <w:tcPr>
            <w:tcW w:w="1143" w:type="dxa"/>
            <w:noWrap/>
            <w:vAlign w:val="bottom"/>
            <w:hideMark/>
          </w:tcPr>
          <w:p w14:paraId="4F3648F0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46 860</w:t>
            </w:r>
          </w:p>
        </w:tc>
        <w:tc>
          <w:tcPr>
            <w:tcW w:w="1143" w:type="dxa"/>
            <w:noWrap/>
            <w:vAlign w:val="bottom"/>
            <w:hideMark/>
          </w:tcPr>
          <w:p w14:paraId="70991067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43" w:type="dxa"/>
            <w:vAlign w:val="bottom"/>
          </w:tcPr>
          <w:p w14:paraId="3B172ADE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302" w:type="dxa"/>
            <w:vAlign w:val="bottom"/>
          </w:tcPr>
          <w:p w14:paraId="02D44C69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0</w:t>
            </w:r>
          </w:p>
        </w:tc>
        <w:tc>
          <w:tcPr>
            <w:tcW w:w="1156" w:type="dxa"/>
            <w:vAlign w:val="bottom"/>
          </w:tcPr>
          <w:p w14:paraId="25840FBE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46 860</w:t>
            </w:r>
          </w:p>
        </w:tc>
      </w:tr>
      <w:tr w:rsidR="00F952F7" w:rsidRPr="001018D9" w14:paraId="43398E39" w14:textId="77777777" w:rsidTr="00E21E1C">
        <w:trPr>
          <w:cantSplit/>
          <w:jc w:val="center"/>
        </w:trPr>
        <w:tc>
          <w:tcPr>
            <w:tcW w:w="947" w:type="dxa"/>
            <w:noWrap/>
            <w:hideMark/>
          </w:tcPr>
          <w:p w14:paraId="3ED7E6B4" w14:textId="77777777" w:rsidR="00F952F7" w:rsidRPr="001018D9" w:rsidRDefault="00F952F7" w:rsidP="002E4A6D">
            <w:pPr>
              <w:pStyle w:val="Tabletext"/>
              <w:jc w:val="center"/>
              <w:rPr>
                <w:color w:val="000000"/>
                <w:sz w:val="18"/>
                <w:szCs w:val="18"/>
                <w:lang w:eastAsia="en-IN"/>
              </w:rPr>
            </w:pPr>
            <w:r w:rsidRPr="001018D9">
              <w:rPr>
                <w:sz w:val="18"/>
                <w:szCs w:val="18"/>
                <w:lang w:eastAsia="en-IN"/>
              </w:rPr>
              <w:t>Кат. 8</w:t>
            </w:r>
          </w:p>
        </w:tc>
        <w:tc>
          <w:tcPr>
            <w:tcW w:w="2800" w:type="dxa"/>
            <w:noWrap/>
            <w:hideMark/>
          </w:tcPr>
          <w:p w14:paraId="7BBA6127" w14:textId="77777777" w:rsidR="00F952F7" w:rsidRPr="001018D9" w:rsidRDefault="00F952F7" w:rsidP="002E4A6D">
            <w:pPr>
              <w:pStyle w:val="Tabletext"/>
              <w:rPr>
                <w:color w:val="000000"/>
                <w:sz w:val="18"/>
                <w:szCs w:val="18"/>
                <w:lang w:eastAsia="en-IN"/>
              </w:rPr>
            </w:pPr>
            <w:r w:rsidRPr="001018D9">
              <w:rPr>
                <w:sz w:val="18"/>
                <w:szCs w:val="18"/>
                <w:lang w:eastAsia="en-IN"/>
              </w:rPr>
              <w:t>Государственные услуги</w:t>
            </w:r>
          </w:p>
        </w:tc>
        <w:tc>
          <w:tcPr>
            <w:tcW w:w="1143" w:type="dxa"/>
            <w:noWrap/>
            <w:vAlign w:val="bottom"/>
            <w:hideMark/>
          </w:tcPr>
          <w:p w14:paraId="382E063C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5 000</w:t>
            </w:r>
          </w:p>
        </w:tc>
        <w:tc>
          <w:tcPr>
            <w:tcW w:w="1143" w:type="dxa"/>
            <w:noWrap/>
            <w:vAlign w:val="bottom"/>
            <w:hideMark/>
          </w:tcPr>
          <w:p w14:paraId="58B20962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5 000</w:t>
            </w:r>
          </w:p>
        </w:tc>
        <w:tc>
          <w:tcPr>
            <w:tcW w:w="1143" w:type="dxa"/>
            <w:vAlign w:val="bottom"/>
          </w:tcPr>
          <w:p w14:paraId="411EC96C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5 000</w:t>
            </w:r>
          </w:p>
        </w:tc>
        <w:tc>
          <w:tcPr>
            <w:tcW w:w="1302" w:type="dxa"/>
            <w:vAlign w:val="bottom"/>
          </w:tcPr>
          <w:p w14:paraId="5521FF63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5 000</w:t>
            </w:r>
          </w:p>
        </w:tc>
        <w:tc>
          <w:tcPr>
            <w:tcW w:w="1156" w:type="dxa"/>
            <w:vAlign w:val="bottom"/>
          </w:tcPr>
          <w:p w14:paraId="144F59ED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20 000</w:t>
            </w:r>
          </w:p>
        </w:tc>
      </w:tr>
      <w:tr w:rsidR="00F952F7" w:rsidRPr="001018D9" w14:paraId="07F1D44D" w14:textId="77777777" w:rsidTr="00E21E1C">
        <w:trPr>
          <w:cantSplit/>
          <w:jc w:val="center"/>
        </w:trPr>
        <w:tc>
          <w:tcPr>
            <w:tcW w:w="947" w:type="dxa"/>
            <w:tcBorders>
              <w:bottom w:val="double" w:sz="4" w:space="0" w:color="auto"/>
            </w:tcBorders>
            <w:noWrap/>
            <w:hideMark/>
          </w:tcPr>
          <w:p w14:paraId="1211F23B" w14:textId="77777777" w:rsidR="00F952F7" w:rsidRPr="001018D9" w:rsidRDefault="00F952F7" w:rsidP="002E4A6D">
            <w:pPr>
              <w:pStyle w:val="Tabletext"/>
              <w:jc w:val="center"/>
              <w:rPr>
                <w:color w:val="000000"/>
                <w:sz w:val="18"/>
                <w:szCs w:val="18"/>
                <w:lang w:eastAsia="en-IN"/>
              </w:rPr>
            </w:pPr>
            <w:r w:rsidRPr="001018D9">
              <w:rPr>
                <w:sz w:val="18"/>
                <w:szCs w:val="18"/>
                <w:lang w:eastAsia="en-IN"/>
              </w:rPr>
              <w:t>Кат. 9</w:t>
            </w:r>
          </w:p>
        </w:tc>
        <w:tc>
          <w:tcPr>
            <w:tcW w:w="2800" w:type="dxa"/>
            <w:tcBorders>
              <w:bottom w:val="double" w:sz="4" w:space="0" w:color="auto"/>
            </w:tcBorders>
            <w:noWrap/>
            <w:hideMark/>
          </w:tcPr>
          <w:p w14:paraId="55868CE3" w14:textId="77777777" w:rsidR="00F952F7" w:rsidRPr="001018D9" w:rsidRDefault="00F952F7" w:rsidP="002E4A6D">
            <w:pPr>
              <w:pStyle w:val="Tabletext"/>
              <w:rPr>
                <w:color w:val="000000"/>
                <w:sz w:val="18"/>
                <w:szCs w:val="18"/>
                <w:lang w:eastAsia="en-IN"/>
              </w:rPr>
            </w:pPr>
            <w:r w:rsidRPr="001018D9">
              <w:rPr>
                <w:sz w:val="18"/>
                <w:szCs w:val="18"/>
                <w:lang w:eastAsia="en-IN"/>
              </w:rPr>
              <w:t xml:space="preserve">Межведомственные расходы, банковские сборы, прочие расходы </w:t>
            </w:r>
          </w:p>
        </w:tc>
        <w:tc>
          <w:tcPr>
            <w:tcW w:w="1143" w:type="dxa"/>
            <w:tcBorders>
              <w:bottom w:val="double" w:sz="4" w:space="0" w:color="auto"/>
            </w:tcBorders>
            <w:noWrap/>
            <w:vAlign w:val="bottom"/>
            <w:hideMark/>
          </w:tcPr>
          <w:p w14:paraId="25D7B6EF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20 000</w:t>
            </w:r>
          </w:p>
        </w:tc>
        <w:tc>
          <w:tcPr>
            <w:tcW w:w="1143" w:type="dxa"/>
            <w:tcBorders>
              <w:bottom w:val="double" w:sz="4" w:space="0" w:color="auto"/>
            </w:tcBorders>
            <w:noWrap/>
            <w:vAlign w:val="bottom"/>
            <w:hideMark/>
          </w:tcPr>
          <w:p w14:paraId="5F91B9D3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20 000</w:t>
            </w:r>
          </w:p>
        </w:tc>
        <w:tc>
          <w:tcPr>
            <w:tcW w:w="1143" w:type="dxa"/>
            <w:tcBorders>
              <w:bottom w:val="double" w:sz="4" w:space="0" w:color="auto"/>
            </w:tcBorders>
            <w:vAlign w:val="bottom"/>
          </w:tcPr>
          <w:p w14:paraId="7492CD09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20 000</w:t>
            </w:r>
          </w:p>
        </w:tc>
        <w:tc>
          <w:tcPr>
            <w:tcW w:w="1302" w:type="dxa"/>
            <w:tcBorders>
              <w:bottom w:val="double" w:sz="4" w:space="0" w:color="auto"/>
            </w:tcBorders>
            <w:vAlign w:val="bottom"/>
          </w:tcPr>
          <w:p w14:paraId="3ED0B600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20 000</w:t>
            </w:r>
          </w:p>
        </w:tc>
        <w:tc>
          <w:tcPr>
            <w:tcW w:w="1156" w:type="dxa"/>
            <w:tcBorders>
              <w:bottom w:val="double" w:sz="4" w:space="0" w:color="auto"/>
            </w:tcBorders>
            <w:vAlign w:val="bottom"/>
          </w:tcPr>
          <w:p w14:paraId="67E2EED8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sz w:val="18"/>
                <w:szCs w:val="18"/>
              </w:rPr>
            </w:pPr>
            <w:r w:rsidRPr="001018D9">
              <w:rPr>
                <w:sz w:val="18"/>
                <w:szCs w:val="18"/>
              </w:rPr>
              <w:t>80 000</w:t>
            </w:r>
          </w:p>
        </w:tc>
      </w:tr>
      <w:tr w:rsidR="00F952F7" w:rsidRPr="001018D9" w14:paraId="492EFEFA" w14:textId="77777777" w:rsidTr="00E21E1C">
        <w:trPr>
          <w:cantSplit/>
          <w:jc w:val="center"/>
        </w:trPr>
        <w:tc>
          <w:tcPr>
            <w:tcW w:w="947" w:type="dxa"/>
            <w:tcBorders>
              <w:top w:val="double" w:sz="4" w:space="0" w:color="auto"/>
              <w:right w:val="nil"/>
            </w:tcBorders>
            <w:noWrap/>
            <w:hideMark/>
          </w:tcPr>
          <w:p w14:paraId="636A3CCD" w14:textId="77777777" w:rsidR="00F952F7" w:rsidRPr="001018D9" w:rsidRDefault="00F952F7" w:rsidP="002E4A6D">
            <w:pPr>
              <w:pStyle w:val="Table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double" w:sz="4" w:space="0" w:color="auto"/>
              <w:left w:val="nil"/>
            </w:tcBorders>
            <w:noWrap/>
            <w:hideMark/>
          </w:tcPr>
          <w:p w14:paraId="7DAB7277" w14:textId="77777777" w:rsidR="00F952F7" w:rsidRPr="001018D9" w:rsidRDefault="00F952F7" w:rsidP="00EF65BE">
            <w:pPr>
              <w:pStyle w:val="Tabletext"/>
              <w:jc w:val="right"/>
              <w:rPr>
                <w:b/>
                <w:bCs/>
                <w:sz w:val="18"/>
                <w:szCs w:val="18"/>
              </w:rPr>
            </w:pPr>
            <w:r w:rsidRPr="001018D9">
              <w:rPr>
                <w:b/>
                <w:bCs/>
                <w:sz w:val="18"/>
                <w:szCs w:val="18"/>
              </w:rPr>
              <w:t>Общие затраты</w:t>
            </w:r>
          </w:p>
        </w:tc>
        <w:tc>
          <w:tcPr>
            <w:tcW w:w="1143" w:type="dxa"/>
            <w:tcBorders>
              <w:top w:val="double" w:sz="4" w:space="0" w:color="auto"/>
            </w:tcBorders>
            <w:noWrap/>
            <w:vAlign w:val="bottom"/>
            <w:hideMark/>
          </w:tcPr>
          <w:p w14:paraId="355331F2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b/>
                <w:bCs/>
                <w:sz w:val="18"/>
                <w:szCs w:val="18"/>
              </w:rPr>
            </w:pPr>
            <w:r w:rsidRPr="001018D9">
              <w:rPr>
                <w:b/>
                <w:bCs/>
                <w:sz w:val="18"/>
                <w:szCs w:val="18"/>
              </w:rPr>
              <w:t>140 729</w:t>
            </w:r>
          </w:p>
        </w:tc>
        <w:tc>
          <w:tcPr>
            <w:tcW w:w="1143" w:type="dxa"/>
            <w:tcBorders>
              <w:top w:val="double" w:sz="4" w:space="0" w:color="auto"/>
            </w:tcBorders>
            <w:noWrap/>
            <w:vAlign w:val="bottom"/>
            <w:hideMark/>
          </w:tcPr>
          <w:p w14:paraId="53AFEE59" w14:textId="17E249CE" w:rsidR="00F952F7" w:rsidRPr="001018D9" w:rsidRDefault="00F952F7" w:rsidP="001018D9">
            <w:pPr>
              <w:pStyle w:val="Tabletext"/>
              <w:ind w:right="113"/>
              <w:jc w:val="right"/>
              <w:rPr>
                <w:b/>
                <w:bCs/>
                <w:sz w:val="18"/>
                <w:szCs w:val="18"/>
              </w:rPr>
            </w:pPr>
            <w:r w:rsidRPr="001018D9">
              <w:rPr>
                <w:b/>
                <w:bCs/>
                <w:sz w:val="18"/>
                <w:szCs w:val="18"/>
              </w:rPr>
              <w:t>55 000</w:t>
            </w:r>
          </w:p>
        </w:tc>
        <w:tc>
          <w:tcPr>
            <w:tcW w:w="1143" w:type="dxa"/>
            <w:tcBorders>
              <w:top w:val="double" w:sz="4" w:space="0" w:color="auto"/>
            </w:tcBorders>
            <w:vAlign w:val="bottom"/>
          </w:tcPr>
          <w:p w14:paraId="1F57B994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b/>
                <w:bCs/>
                <w:sz w:val="18"/>
                <w:szCs w:val="18"/>
              </w:rPr>
            </w:pPr>
            <w:r w:rsidRPr="001018D9">
              <w:rPr>
                <w:b/>
                <w:bCs/>
                <w:sz w:val="18"/>
                <w:szCs w:val="18"/>
              </w:rPr>
              <w:t>105 000</w:t>
            </w:r>
          </w:p>
        </w:tc>
        <w:tc>
          <w:tcPr>
            <w:tcW w:w="1302" w:type="dxa"/>
            <w:tcBorders>
              <w:top w:val="double" w:sz="4" w:space="0" w:color="auto"/>
            </w:tcBorders>
            <w:vAlign w:val="bottom"/>
          </w:tcPr>
          <w:p w14:paraId="0377362A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b/>
                <w:bCs/>
                <w:sz w:val="18"/>
                <w:szCs w:val="18"/>
              </w:rPr>
            </w:pPr>
            <w:r w:rsidRPr="001018D9">
              <w:rPr>
                <w:b/>
                <w:bCs/>
                <w:sz w:val="18"/>
                <w:szCs w:val="18"/>
              </w:rPr>
              <w:t>65 583</w:t>
            </w:r>
          </w:p>
        </w:tc>
        <w:tc>
          <w:tcPr>
            <w:tcW w:w="1156" w:type="dxa"/>
            <w:tcBorders>
              <w:top w:val="double" w:sz="4" w:space="0" w:color="auto"/>
            </w:tcBorders>
            <w:vAlign w:val="bottom"/>
          </w:tcPr>
          <w:p w14:paraId="0F65A31B" w14:textId="77777777" w:rsidR="00F952F7" w:rsidRPr="001018D9" w:rsidRDefault="00F952F7" w:rsidP="001018D9">
            <w:pPr>
              <w:pStyle w:val="Tabletext"/>
              <w:ind w:right="113"/>
              <w:jc w:val="right"/>
              <w:rPr>
                <w:b/>
                <w:bCs/>
                <w:sz w:val="18"/>
                <w:szCs w:val="18"/>
              </w:rPr>
            </w:pPr>
            <w:r w:rsidRPr="001018D9">
              <w:rPr>
                <w:b/>
                <w:bCs/>
                <w:sz w:val="18"/>
                <w:szCs w:val="18"/>
              </w:rPr>
              <w:t>366 312</w:t>
            </w:r>
          </w:p>
        </w:tc>
      </w:tr>
    </w:tbl>
    <w:p w14:paraId="65212DA8" w14:textId="73251E42" w:rsidR="007E4D0F" w:rsidRPr="001018D9" w:rsidRDefault="00F952F7" w:rsidP="00F952F7">
      <w:pPr>
        <w:spacing w:before="720"/>
        <w:jc w:val="center"/>
      </w:pPr>
      <w:r w:rsidRPr="001018D9">
        <w:t>______________</w:t>
      </w:r>
    </w:p>
    <w:sectPr w:rsidR="007E4D0F" w:rsidRPr="001018D9" w:rsidSect="00172DFB">
      <w:headerReference w:type="default" r:id="rId31"/>
      <w:footerReference w:type="first" r:id="rId32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0946D" w14:textId="77777777" w:rsidR="002E78A1" w:rsidRDefault="002E78A1" w:rsidP="0079159C">
      <w:r>
        <w:separator/>
      </w:r>
    </w:p>
    <w:p w14:paraId="42FB092B" w14:textId="77777777" w:rsidR="002E78A1" w:rsidRDefault="002E78A1" w:rsidP="0079159C"/>
    <w:p w14:paraId="339B7BDB" w14:textId="77777777" w:rsidR="002E78A1" w:rsidRDefault="002E78A1" w:rsidP="0079159C"/>
    <w:p w14:paraId="6EEB541A" w14:textId="77777777" w:rsidR="002E78A1" w:rsidRDefault="002E78A1" w:rsidP="0079159C"/>
    <w:p w14:paraId="55065797" w14:textId="77777777" w:rsidR="002E78A1" w:rsidRDefault="002E78A1" w:rsidP="0079159C"/>
    <w:p w14:paraId="6F5B164B" w14:textId="77777777" w:rsidR="002E78A1" w:rsidRDefault="002E78A1" w:rsidP="0079159C"/>
    <w:p w14:paraId="14731E4E" w14:textId="77777777" w:rsidR="002E78A1" w:rsidRDefault="002E78A1" w:rsidP="0079159C"/>
    <w:p w14:paraId="1F5E4EE9" w14:textId="77777777" w:rsidR="002E78A1" w:rsidRDefault="002E78A1" w:rsidP="0079159C"/>
    <w:p w14:paraId="0005F972" w14:textId="77777777" w:rsidR="002E78A1" w:rsidRDefault="002E78A1" w:rsidP="0079159C"/>
    <w:p w14:paraId="003F31C1" w14:textId="77777777" w:rsidR="002E78A1" w:rsidRDefault="002E78A1" w:rsidP="0079159C"/>
    <w:p w14:paraId="13647A75" w14:textId="77777777" w:rsidR="002E78A1" w:rsidRDefault="002E78A1" w:rsidP="0079159C"/>
    <w:p w14:paraId="10BA8443" w14:textId="77777777" w:rsidR="002E78A1" w:rsidRDefault="002E78A1" w:rsidP="0079159C"/>
    <w:p w14:paraId="5E70ADC5" w14:textId="77777777" w:rsidR="002E78A1" w:rsidRDefault="002E78A1" w:rsidP="0079159C"/>
    <w:p w14:paraId="23C73795" w14:textId="77777777" w:rsidR="002E78A1" w:rsidRDefault="002E78A1" w:rsidP="0079159C"/>
    <w:p w14:paraId="2CAC20E1" w14:textId="77777777" w:rsidR="002E78A1" w:rsidRDefault="002E78A1" w:rsidP="004B3A6C"/>
    <w:p w14:paraId="627611BB" w14:textId="77777777" w:rsidR="002E78A1" w:rsidRDefault="002E78A1" w:rsidP="004B3A6C"/>
  </w:endnote>
  <w:endnote w:type="continuationSeparator" w:id="0">
    <w:p w14:paraId="35C1F28C" w14:textId="77777777" w:rsidR="002E78A1" w:rsidRDefault="002E78A1" w:rsidP="0079159C">
      <w:r>
        <w:continuationSeparator/>
      </w:r>
    </w:p>
    <w:p w14:paraId="6C82AD50" w14:textId="77777777" w:rsidR="002E78A1" w:rsidRDefault="002E78A1" w:rsidP="0079159C"/>
    <w:p w14:paraId="6C3FC8B3" w14:textId="77777777" w:rsidR="002E78A1" w:rsidRDefault="002E78A1" w:rsidP="0079159C"/>
    <w:p w14:paraId="660377EE" w14:textId="77777777" w:rsidR="002E78A1" w:rsidRDefault="002E78A1" w:rsidP="0079159C"/>
    <w:p w14:paraId="2E1CDDDF" w14:textId="77777777" w:rsidR="002E78A1" w:rsidRDefault="002E78A1" w:rsidP="0079159C"/>
    <w:p w14:paraId="247889E2" w14:textId="77777777" w:rsidR="002E78A1" w:rsidRDefault="002E78A1" w:rsidP="0079159C"/>
    <w:p w14:paraId="3F4E5CB9" w14:textId="77777777" w:rsidR="002E78A1" w:rsidRDefault="002E78A1" w:rsidP="0079159C"/>
    <w:p w14:paraId="3C47F2D5" w14:textId="77777777" w:rsidR="002E78A1" w:rsidRDefault="002E78A1" w:rsidP="0079159C"/>
    <w:p w14:paraId="2F3BB61D" w14:textId="77777777" w:rsidR="002E78A1" w:rsidRDefault="002E78A1" w:rsidP="0079159C"/>
    <w:p w14:paraId="20C63D1F" w14:textId="77777777" w:rsidR="002E78A1" w:rsidRDefault="002E78A1" w:rsidP="0079159C"/>
    <w:p w14:paraId="702385C8" w14:textId="77777777" w:rsidR="002E78A1" w:rsidRDefault="002E78A1" w:rsidP="0079159C"/>
    <w:p w14:paraId="1DD03A5A" w14:textId="77777777" w:rsidR="002E78A1" w:rsidRDefault="002E78A1" w:rsidP="0079159C"/>
    <w:p w14:paraId="585B495D" w14:textId="77777777" w:rsidR="002E78A1" w:rsidRDefault="002E78A1" w:rsidP="0079159C"/>
    <w:p w14:paraId="411A573E" w14:textId="77777777" w:rsidR="002E78A1" w:rsidRDefault="002E78A1" w:rsidP="0079159C"/>
    <w:p w14:paraId="2A91B2ED" w14:textId="77777777" w:rsidR="002E78A1" w:rsidRDefault="002E78A1" w:rsidP="004B3A6C"/>
    <w:p w14:paraId="3289F9ED" w14:textId="77777777" w:rsidR="002E78A1" w:rsidRDefault="002E78A1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2C933" w14:textId="30493B8E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="00555396" w:rsidRPr="008715E3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8D664" w14:textId="77777777" w:rsidR="002E78A1" w:rsidRDefault="002E78A1" w:rsidP="0079159C">
      <w:r>
        <w:t>____________________</w:t>
      </w:r>
    </w:p>
  </w:footnote>
  <w:footnote w:type="continuationSeparator" w:id="0">
    <w:p w14:paraId="0086985E" w14:textId="77777777" w:rsidR="002E78A1" w:rsidRDefault="002E78A1" w:rsidP="0079159C">
      <w:r>
        <w:continuationSeparator/>
      </w:r>
    </w:p>
    <w:p w14:paraId="46900811" w14:textId="77777777" w:rsidR="002E78A1" w:rsidRDefault="002E78A1" w:rsidP="0079159C"/>
    <w:p w14:paraId="1E925DAE" w14:textId="77777777" w:rsidR="002E78A1" w:rsidRDefault="002E78A1" w:rsidP="0079159C"/>
    <w:p w14:paraId="7020918F" w14:textId="77777777" w:rsidR="002E78A1" w:rsidRDefault="002E78A1" w:rsidP="0079159C"/>
    <w:p w14:paraId="2C7D0161" w14:textId="77777777" w:rsidR="002E78A1" w:rsidRDefault="002E78A1" w:rsidP="0079159C"/>
    <w:p w14:paraId="52AAA567" w14:textId="77777777" w:rsidR="002E78A1" w:rsidRDefault="002E78A1" w:rsidP="0079159C"/>
    <w:p w14:paraId="77983EF9" w14:textId="77777777" w:rsidR="002E78A1" w:rsidRDefault="002E78A1" w:rsidP="0079159C"/>
    <w:p w14:paraId="26B4DF81" w14:textId="77777777" w:rsidR="002E78A1" w:rsidRDefault="002E78A1" w:rsidP="0079159C"/>
    <w:p w14:paraId="03EF13E3" w14:textId="77777777" w:rsidR="002E78A1" w:rsidRDefault="002E78A1" w:rsidP="0079159C"/>
    <w:p w14:paraId="05DA8B8A" w14:textId="77777777" w:rsidR="002E78A1" w:rsidRDefault="002E78A1" w:rsidP="0079159C"/>
    <w:p w14:paraId="2C27D6B8" w14:textId="77777777" w:rsidR="002E78A1" w:rsidRDefault="002E78A1" w:rsidP="0079159C"/>
    <w:p w14:paraId="0F65236B" w14:textId="77777777" w:rsidR="002E78A1" w:rsidRDefault="002E78A1" w:rsidP="0079159C"/>
    <w:p w14:paraId="360C79CB" w14:textId="77777777" w:rsidR="002E78A1" w:rsidRDefault="002E78A1" w:rsidP="0079159C"/>
    <w:p w14:paraId="17A923E2" w14:textId="77777777" w:rsidR="002E78A1" w:rsidRDefault="002E78A1" w:rsidP="0079159C"/>
    <w:p w14:paraId="4ED26559" w14:textId="77777777" w:rsidR="002E78A1" w:rsidRDefault="002E78A1" w:rsidP="004B3A6C"/>
    <w:p w14:paraId="7886F5C6" w14:textId="77777777" w:rsidR="002E78A1" w:rsidRDefault="002E78A1" w:rsidP="004B3A6C"/>
  </w:footnote>
  <w:footnote w:id="1">
    <w:p w14:paraId="57A7E3BC" w14:textId="0D2E1786" w:rsidR="00F952F7" w:rsidRPr="0034777C" w:rsidRDefault="00F952F7" w:rsidP="00F952F7">
      <w:pPr>
        <w:pStyle w:val="FootnoteText"/>
      </w:pPr>
      <w:r w:rsidRPr="67C7819D">
        <w:rPr>
          <w:rStyle w:val="FootnoteReference"/>
        </w:rPr>
        <w:footnoteRef/>
      </w:r>
      <w:r w:rsidRPr="0034777C">
        <w:t xml:space="preserve"> </w:t>
      </w:r>
      <w:r w:rsidRPr="0034777C">
        <w:tab/>
      </w:r>
      <w:r w:rsidRPr="00B607E1">
        <w:t>С проектом технико-экономического обоснования по Тихоокеанскому региону можно ознакомиться по</w:t>
      </w:r>
      <w:r w:rsidR="005200AC">
        <w:rPr>
          <w:lang w:val="en-US"/>
        </w:rPr>
        <w:t> </w:t>
      </w:r>
      <w:r w:rsidRPr="00B607E1">
        <w:t xml:space="preserve">ссылке </w:t>
      </w:r>
      <w:hyperlink r:id="rId1" w:history="1">
        <w:r w:rsidR="00920D6C" w:rsidRPr="00250EF0">
          <w:rPr>
            <w:rStyle w:val="Hyperlink"/>
          </w:rPr>
          <w:t>https://www.itu.int/en/ITU-D/Regional-Presence/AsiaPacific/Documents/Projects/Pacific%20Feasibility</w:t>
        </w:r>
        <w:r w:rsidR="00920D6C" w:rsidRPr="00250EF0">
          <w:rPr>
            <w:rStyle w:val="Hyperlink"/>
          </w:rPr>
          <w:br/>
          <w:t>%20Study/29092026%20I</w:t>
        </w:r>
        <w:r w:rsidR="00920D6C" w:rsidRPr="00250EF0">
          <w:rPr>
            <w:rStyle w:val="Hyperlink"/>
          </w:rPr>
          <w:t>T</w:t>
        </w:r>
        <w:r w:rsidR="00920D6C" w:rsidRPr="00250EF0">
          <w:rPr>
            <w:rStyle w:val="Hyperlink"/>
          </w:rPr>
          <w:t>U%20Pacific%20Regional%20Presence%20Feasibility%20Study%20Draft%20for%20Review.pdf</w:t>
        </w:r>
      </w:hyperlink>
      <w:r w:rsidR="00B607E1" w:rsidRPr="0034777C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ED000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6FFE8F3A" w14:textId="15E3AD80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</w:t>
    </w:r>
    <w:r w:rsidR="00B17D14">
      <w:t>66</w:t>
    </w:r>
    <w:r w:rsidR="001E31D2">
      <w:t>-R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4B48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71427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40DF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3FE7B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8839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F41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9874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9148C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966A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E02C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1162C08"/>
    <w:multiLevelType w:val="multilevel"/>
    <w:tmpl w:val="FA64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510A38"/>
    <w:multiLevelType w:val="multilevel"/>
    <w:tmpl w:val="7564E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6B5D7E"/>
    <w:multiLevelType w:val="hybridMultilevel"/>
    <w:tmpl w:val="CCDC9C8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907094A"/>
    <w:multiLevelType w:val="multilevel"/>
    <w:tmpl w:val="230E1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43CEC5"/>
    <w:multiLevelType w:val="hybridMultilevel"/>
    <w:tmpl w:val="18084AA0"/>
    <w:lvl w:ilvl="0" w:tplc="714CCAEC">
      <w:start w:val="1"/>
      <w:numFmt w:val="decimal"/>
      <w:lvlText w:val="5)"/>
      <w:lvlJc w:val="left"/>
      <w:pPr>
        <w:ind w:left="720" w:hanging="360"/>
      </w:pPr>
    </w:lvl>
    <w:lvl w:ilvl="1" w:tplc="75467840">
      <w:start w:val="1"/>
      <w:numFmt w:val="lowerLetter"/>
      <w:lvlText w:val="%2."/>
      <w:lvlJc w:val="left"/>
      <w:pPr>
        <w:ind w:left="1440" w:hanging="360"/>
      </w:pPr>
    </w:lvl>
    <w:lvl w:ilvl="2" w:tplc="AAB0A4CE">
      <w:start w:val="1"/>
      <w:numFmt w:val="lowerRoman"/>
      <w:lvlText w:val="%3."/>
      <w:lvlJc w:val="right"/>
      <w:pPr>
        <w:ind w:left="2160" w:hanging="180"/>
      </w:pPr>
    </w:lvl>
    <w:lvl w:ilvl="3" w:tplc="DCE854C2">
      <w:start w:val="1"/>
      <w:numFmt w:val="decimal"/>
      <w:lvlText w:val="%4."/>
      <w:lvlJc w:val="left"/>
      <w:pPr>
        <w:ind w:left="2880" w:hanging="360"/>
      </w:pPr>
    </w:lvl>
    <w:lvl w:ilvl="4" w:tplc="F776F90E">
      <w:start w:val="1"/>
      <w:numFmt w:val="lowerLetter"/>
      <w:lvlText w:val="%5."/>
      <w:lvlJc w:val="left"/>
      <w:pPr>
        <w:ind w:left="3600" w:hanging="360"/>
      </w:pPr>
    </w:lvl>
    <w:lvl w:ilvl="5" w:tplc="1A266F64">
      <w:start w:val="1"/>
      <w:numFmt w:val="lowerRoman"/>
      <w:lvlText w:val="%6."/>
      <w:lvlJc w:val="right"/>
      <w:pPr>
        <w:ind w:left="4320" w:hanging="180"/>
      </w:pPr>
    </w:lvl>
    <w:lvl w:ilvl="6" w:tplc="D2660DC2">
      <w:start w:val="1"/>
      <w:numFmt w:val="decimal"/>
      <w:lvlText w:val="%7."/>
      <w:lvlJc w:val="left"/>
      <w:pPr>
        <w:ind w:left="5040" w:hanging="360"/>
      </w:pPr>
    </w:lvl>
    <w:lvl w:ilvl="7" w:tplc="366AED06">
      <w:start w:val="1"/>
      <w:numFmt w:val="lowerLetter"/>
      <w:lvlText w:val="%8."/>
      <w:lvlJc w:val="left"/>
      <w:pPr>
        <w:ind w:left="5760" w:hanging="360"/>
      </w:pPr>
    </w:lvl>
    <w:lvl w:ilvl="8" w:tplc="9D6A584C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742489">
    <w:abstractNumId w:val="14"/>
  </w:num>
  <w:num w:numId="2" w16cid:durableId="1058358738">
    <w:abstractNumId w:val="12"/>
  </w:num>
  <w:num w:numId="3" w16cid:durableId="1940215380">
    <w:abstractNumId w:val="9"/>
  </w:num>
  <w:num w:numId="4" w16cid:durableId="210924111">
    <w:abstractNumId w:val="7"/>
  </w:num>
  <w:num w:numId="5" w16cid:durableId="997076387">
    <w:abstractNumId w:val="6"/>
  </w:num>
  <w:num w:numId="6" w16cid:durableId="286741146">
    <w:abstractNumId w:val="5"/>
  </w:num>
  <w:num w:numId="7" w16cid:durableId="149903441">
    <w:abstractNumId w:val="4"/>
  </w:num>
  <w:num w:numId="8" w16cid:durableId="1610818179">
    <w:abstractNumId w:val="8"/>
  </w:num>
  <w:num w:numId="9" w16cid:durableId="1037463191">
    <w:abstractNumId w:val="3"/>
  </w:num>
  <w:num w:numId="10" w16cid:durableId="306251779">
    <w:abstractNumId w:val="2"/>
  </w:num>
  <w:num w:numId="11" w16cid:durableId="1683124518">
    <w:abstractNumId w:val="1"/>
  </w:num>
  <w:num w:numId="12" w16cid:durableId="1675497877">
    <w:abstractNumId w:val="0"/>
  </w:num>
  <w:num w:numId="13" w16cid:durableId="1833570543">
    <w:abstractNumId w:val="11"/>
  </w:num>
  <w:num w:numId="14" w16cid:durableId="1064715897">
    <w:abstractNumId w:val="10"/>
  </w:num>
  <w:num w:numId="15" w16cid:durableId="11885655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430F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2F5A"/>
    <w:rsid w:val="000E3AAE"/>
    <w:rsid w:val="000E4C7A"/>
    <w:rsid w:val="000E63E8"/>
    <w:rsid w:val="000F0F87"/>
    <w:rsid w:val="00100DF6"/>
    <w:rsid w:val="001018D9"/>
    <w:rsid w:val="00120697"/>
    <w:rsid w:val="00130C1F"/>
    <w:rsid w:val="00133F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E31D2"/>
    <w:rsid w:val="001F0B24"/>
    <w:rsid w:val="00200992"/>
    <w:rsid w:val="00201EE3"/>
    <w:rsid w:val="00202880"/>
    <w:rsid w:val="0020313F"/>
    <w:rsid w:val="002173B8"/>
    <w:rsid w:val="002237FC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E78A1"/>
    <w:rsid w:val="003104EE"/>
    <w:rsid w:val="003429D1"/>
    <w:rsid w:val="00375BBA"/>
    <w:rsid w:val="00384CFC"/>
    <w:rsid w:val="00395CE4"/>
    <w:rsid w:val="003B1A77"/>
    <w:rsid w:val="003E7EAA"/>
    <w:rsid w:val="00400701"/>
    <w:rsid w:val="004014B0"/>
    <w:rsid w:val="00426AC1"/>
    <w:rsid w:val="004335F9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0AC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E1BF1"/>
    <w:rsid w:val="005F526C"/>
    <w:rsid w:val="00600272"/>
    <w:rsid w:val="006104EA"/>
    <w:rsid w:val="0061434A"/>
    <w:rsid w:val="00617BE4"/>
    <w:rsid w:val="0062155D"/>
    <w:rsid w:val="00627A76"/>
    <w:rsid w:val="00635958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649C2"/>
    <w:rsid w:val="0079159C"/>
    <w:rsid w:val="007919C2"/>
    <w:rsid w:val="007C2BDB"/>
    <w:rsid w:val="007C50AF"/>
    <w:rsid w:val="007E4D0F"/>
    <w:rsid w:val="008034F1"/>
    <w:rsid w:val="008048D3"/>
    <w:rsid w:val="008102A6"/>
    <w:rsid w:val="008113A1"/>
    <w:rsid w:val="00812372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20D6C"/>
    <w:rsid w:val="0093377B"/>
    <w:rsid w:val="00934241"/>
    <w:rsid w:val="00950E0F"/>
    <w:rsid w:val="00962CCF"/>
    <w:rsid w:val="0097690C"/>
    <w:rsid w:val="00996435"/>
    <w:rsid w:val="009A47A2"/>
    <w:rsid w:val="009A6D9A"/>
    <w:rsid w:val="009D4320"/>
    <w:rsid w:val="009E4F4B"/>
    <w:rsid w:val="009F0BA9"/>
    <w:rsid w:val="009F3A10"/>
    <w:rsid w:val="00A0066A"/>
    <w:rsid w:val="00A03465"/>
    <w:rsid w:val="00A27A55"/>
    <w:rsid w:val="00A3200E"/>
    <w:rsid w:val="00A54F56"/>
    <w:rsid w:val="00A75EAA"/>
    <w:rsid w:val="00AA49B8"/>
    <w:rsid w:val="00AB190D"/>
    <w:rsid w:val="00AC20C0"/>
    <w:rsid w:val="00AD6841"/>
    <w:rsid w:val="00AE7BC9"/>
    <w:rsid w:val="00B1156A"/>
    <w:rsid w:val="00B14377"/>
    <w:rsid w:val="00B1733E"/>
    <w:rsid w:val="00B17D14"/>
    <w:rsid w:val="00B26450"/>
    <w:rsid w:val="00B27E0C"/>
    <w:rsid w:val="00B45785"/>
    <w:rsid w:val="00B52354"/>
    <w:rsid w:val="00B52BF1"/>
    <w:rsid w:val="00B607E1"/>
    <w:rsid w:val="00B62568"/>
    <w:rsid w:val="00BA154E"/>
    <w:rsid w:val="00BB6D72"/>
    <w:rsid w:val="00BE52B6"/>
    <w:rsid w:val="00BF252A"/>
    <w:rsid w:val="00BF720B"/>
    <w:rsid w:val="00C04511"/>
    <w:rsid w:val="00C1004D"/>
    <w:rsid w:val="00C16846"/>
    <w:rsid w:val="00C40979"/>
    <w:rsid w:val="00C415B9"/>
    <w:rsid w:val="00C46ECA"/>
    <w:rsid w:val="00C62242"/>
    <w:rsid w:val="00C6326D"/>
    <w:rsid w:val="00CA38C9"/>
    <w:rsid w:val="00CC443B"/>
    <w:rsid w:val="00CC6362"/>
    <w:rsid w:val="00CD163A"/>
    <w:rsid w:val="00CD367F"/>
    <w:rsid w:val="00CE40BB"/>
    <w:rsid w:val="00D15682"/>
    <w:rsid w:val="00D20FA1"/>
    <w:rsid w:val="00D25CE3"/>
    <w:rsid w:val="00D37275"/>
    <w:rsid w:val="00D37469"/>
    <w:rsid w:val="00D50E12"/>
    <w:rsid w:val="00D55DD9"/>
    <w:rsid w:val="00D57F41"/>
    <w:rsid w:val="00D955EF"/>
    <w:rsid w:val="00D97CC5"/>
    <w:rsid w:val="00DB0F64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1E1C"/>
    <w:rsid w:val="00E227E4"/>
    <w:rsid w:val="00E2538B"/>
    <w:rsid w:val="00E33188"/>
    <w:rsid w:val="00E54E66"/>
    <w:rsid w:val="00E56E57"/>
    <w:rsid w:val="00E86DC6"/>
    <w:rsid w:val="00E91D24"/>
    <w:rsid w:val="00E954CA"/>
    <w:rsid w:val="00EB26B5"/>
    <w:rsid w:val="00EC064C"/>
    <w:rsid w:val="00ED279F"/>
    <w:rsid w:val="00ED4CB2"/>
    <w:rsid w:val="00EF2642"/>
    <w:rsid w:val="00EF3681"/>
    <w:rsid w:val="00EF65BE"/>
    <w:rsid w:val="00F06FDE"/>
    <w:rsid w:val="00F076D9"/>
    <w:rsid w:val="00F20BC2"/>
    <w:rsid w:val="00F27805"/>
    <w:rsid w:val="00F34194"/>
    <w:rsid w:val="00F342E4"/>
    <w:rsid w:val="00F44625"/>
    <w:rsid w:val="00F44B70"/>
    <w:rsid w:val="00F537ED"/>
    <w:rsid w:val="00F649D6"/>
    <w:rsid w:val="00F654DD"/>
    <w:rsid w:val="00F952F7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4069E9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99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0FA1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D20FA1"/>
    <w:pPr>
      <w:keepNext/>
      <w:keepLines/>
      <w:spacing w:before="36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D20FA1"/>
    <w:pPr>
      <w:spacing w:before="24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qFormat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link w:val="FootnoteTextChar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uiPriority w:val="99"/>
    <w:rsid w:val="002237FC"/>
    <w:rPr>
      <w:color w:val="0070C0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D20FA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0" w:after="40"/>
    </w:pPr>
    <w:rPr>
      <w:sz w:val="20"/>
    </w:rPr>
  </w:style>
  <w:style w:type="paragraph" w:customStyle="1" w:styleId="Tablehead">
    <w:name w:val="Table_head"/>
    <w:basedOn w:val="Tabletext"/>
    <w:rsid w:val="002237FC"/>
    <w:pPr>
      <w:keepNext/>
      <w:keepLines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uiPriority w:val="39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uiPriority w:val="39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uiPriority w:val="39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eastAsia="zh-CN"/>
    </w:rPr>
  </w:style>
  <w:style w:type="paragraph" w:customStyle="1" w:styleId="OPtitle">
    <w:name w:val="OP_title"/>
    <w:basedOn w:val="Normal"/>
    <w:next w:val="Normalaftertitle"/>
    <w:qFormat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table" w:styleId="TableGrid">
    <w:name w:val="Table Grid"/>
    <w:basedOn w:val="TableNormal"/>
    <w:uiPriority w:val="59"/>
    <w:rsid w:val="000E2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E2F5A"/>
    <w:rPr>
      <w:rFonts w:ascii="Calibri" w:eastAsia="Calibri" w:hAnsi="Calibri" w:cs="Arial"/>
      <w:kern w:val="2"/>
      <w:sz w:val="22"/>
      <w:szCs w:val="22"/>
      <w:lang w:val="en-GB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ialFooter">
    <w:name w:val="Special Footer"/>
    <w:basedOn w:val="Footer"/>
    <w:rsid w:val="00F952F7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  <w:lang w:val="en-GB"/>
    </w:rPr>
  </w:style>
  <w:style w:type="paragraph" w:customStyle="1" w:styleId="VolumeTitleS2">
    <w:name w:val="VolumeTitle_S2"/>
    <w:basedOn w:val="VolumeTitle"/>
    <w:next w:val="Normal"/>
    <w:qFormat/>
    <w:rsid w:val="00F952F7"/>
  </w:style>
  <w:style w:type="paragraph" w:customStyle="1" w:styleId="StyleCommitteeAfter0ptLinespacingsingle">
    <w:name w:val="Style Committee + After:  0 pt Line spacing:  single"/>
    <w:basedOn w:val="Committee"/>
    <w:rsid w:val="00F952F7"/>
    <w:pPr>
      <w:framePr w:hSpace="0" w:wrap="around" w:hAnchor="text" w:yAlign="inline"/>
      <w:tabs>
        <w:tab w:val="clear" w:pos="1134"/>
        <w:tab w:val="clear" w:pos="1871"/>
        <w:tab w:val="clear" w:pos="2268"/>
        <w:tab w:val="left" w:pos="851"/>
      </w:tabs>
      <w:overflowPunct/>
      <w:autoSpaceDE/>
      <w:autoSpaceDN/>
      <w:adjustRightInd/>
      <w:spacing w:after="0" w:line="240" w:lineRule="auto"/>
      <w:textAlignment w:val="auto"/>
    </w:pPr>
    <w:rPr>
      <w:rFonts w:cs="Times New Roman"/>
      <w:bCs/>
      <w:smallCaps w:val="0"/>
      <w:sz w:val="24"/>
      <w:szCs w:val="20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F952F7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F952F7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line="259" w:lineRule="auto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/>
    </w:rPr>
  </w:style>
  <w:style w:type="paragraph" w:styleId="NormalWeb">
    <w:name w:val="Normal (Web)"/>
    <w:basedOn w:val="Normal"/>
    <w:uiPriority w:val="99"/>
    <w:semiHidden/>
    <w:unhideWhenUsed/>
    <w:rsid w:val="00F952F7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n-IN" w:eastAsia="en-IN"/>
    </w:rPr>
  </w:style>
  <w:style w:type="paragraph" w:styleId="Revision">
    <w:name w:val="Revision"/>
    <w:hidden/>
    <w:uiPriority w:val="99"/>
    <w:semiHidden/>
    <w:rsid w:val="00F952F7"/>
    <w:rPr>
      <w:rFonts w:ascii="Calibri" w:hAnsi="Calibri"/>
      <w:sz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F952F7"/>
    <w:pPr>
      <w:ind w:left="720"/>
      <w:contextualSpacing/>
    </w:pPr>
    <w:rPr>
      <w:sz w:val="24"/>
      <w:lang w:val="en-GB"/>
    </w:rPr>
  </w:style>
  <w:style w:type="paragraph" w:styleId="CommentText">
    <w:name w:val="annotation text"/>
    <w:basedOn w:val="Normal"/>
    <w:link w:val="CommentTextChar"/>
    <w:unhideWhenUsed/>
    <w:rsid w:val="00F952F7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F952F7"/>
    <w:rPr>
      <w:rFonts w:ascii="Calibri" w:hAnsi="Calibri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F952F7"/>
    <w:rPr>
      <w:sz w:val="16"/>
      <w:szCs w:val="16"/>
    </w:rPr>
  </w:style>
  <w:style w:type="paragraph" w:styleId="Caption">
    <w:name w:val="caption"/>
    <w:basedOn w:val="Normal"/>
    <w:next w:val="Normal"/>
    <w:unhideWhenUsed/>
    <w:qFormat/>
    <w:rsid w:val="00F952F7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120"/>
      <w:textAlignment w:val="auto"/>
    </w:pPr>
    <w:rPr>
      <w:rFonts w:ascii="Arial" w:eastAsia="Arial" w:hAnsi="Arial" w:cstheme="minorBidi"/>
      <w:b/>
      <w:bCs/>
      <w:i/>
      <w:color w:val="505050"/>
      <w:sz w:val="18"/>
      <w:szCs w:val="18"/>
      <w:lang w:val="en-US"/>
    </w:rPr>
  </w:style>
  <w:style w:type="table" w:styleId="PlainTable3">
    <w:name w:val="Plain Table 3"/>
    <w:basedOn w:val="TableNormal"/>
    <w:uiPriority w:val="99"/>
    <w:rsid w:val="00F952F7"/>
    <w:rPr>
      <w:rFonts w:asciiTheme="minorHAnsi" w:eastAsiaTheme="minorEastAsia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F952F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Figure">
    <w:name w:val="Figure"/>
    <w:basedOn w:val="firstfooter0"/>
    <w:rsid w:val="00F952F7"/>
    <w:pPr>
      <w:spacing w:before="120" w:beforeAutospacing="0" w:after="240" w:afterAutospacing="0"/>
      <w:jc w:val="center"/>
    </w:pPr>
    <w:rPr>
      <w:noProof/>
    </w:rPr>
  </w:style>
  <w:style w:type="paragraph" w:customStyle="1" w:styleId="Tablefin">
    <w:name w:val="Table_fin"/>
    <w:basedOn w:val="Tabletext"/>
    <w:rsid w:val="00F952F7"/>
    <w:pPr>
      <w:spacing w:before="0" w:after="0"/>
    </w:pPr>
    <w:rPr>
      <w:rFonts w:eastAsiaTheme="minorEastAsia"/>
      <w:sz w:val="22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952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952F7"/>
    <w:rPr>
      <w:rFonts w:ascii="Calibri" w:hAnsi="Calibri"/>
      <w:b/>
      <w:bCs/>
      <w:lang w:val="en-GB" w:eastAsia="en-US"/>
    </w:rPr>
  </w:style>
  <w:style w:type="character" w:styleId="Mention">
    <w:name w:val="Mention"/>
    <w:basedOn w:val="DefaultParagraphFont"/>
    <w:uiPriority w:val="99"/>
    <w:unhideWhenUsed/>
    <w:rsid w:val="00F952F7"/>
    <w:rPr>
      <w:color w:val="2B579A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952F7"/>
    <w:rPr>
      <w:color w:val="666666"/>
    </w:rPr>
  </w:style>
  <w:style w:type="paragraph" w:customStyle="1" w:styleId="Data">
    <w:name w:val="Data"/>
    <w:basedOn w:val="Normal"/>
    <w:rsid w:val="00F952F7"/>
    <w:pPr>
      <w:framePr w:hSpace="181" w:wrap="around" w:hAnchor="margin" w:xAlign="center" w:y="-674"/>
      <w:tabs>
        <w:tab w:val="left" w:pos="851"/>
      </w:tabs>
      <w:spacing w:before="0"/>
    </w:pPr>
    <w:rPr>
      <w:rFonts w:cstheme="minorHAnsi"/>
      <w:b/>
      <w:sz w:val="24"/>
      <w:szCs w:val="24"/>
      <w:lang w:val="en-GB"/>
    </w:rPr>
  </w:style>
  <w:style w:type="paragraph" w:customStyle="1" w:styleId="Figure-with-legend">
    <w:name w:val="Figure-with-legend"/>
    <w:basedOn w:val="Figure"/>
    <w:rsid w:val="00F952F7"/>
    <w:pPr>
      <w:keepNext/>
      <w:keepLines/>
      <w:spacing w:after="0"/>
    </w:pPr>
  </w:style>
  <w:style w:type="paragraph" w:customStyle="1" w:styleId="Figurelegend">
    <w:name w:val="Figure_legend"/>
    <w:basedOn w:val="Normal"/>
    <w:rsid w:val="00F952F7"/>
    <w:pPr>
      <w:spacing w:before="20" w:after="240" w:line="259" w:lineRule="auto"/>
      <w:jc w:val="both"/>
    </w:pPr>
    <w:rPr>
      <w:i/>
      <w:iCs/>
      <w:sz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F952F7"/>
    <w:rPr>
      <w:rFonts w:ascii="Calibri" w:hAnsi="Calibri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tu.int/md/S26-CL-C-0119/en" TargetMode="External"/><Relationship Id="rId18" Type="http://schemas.openxmlformats.org/officeDocument/2006/relationships/hyperlink" Target="https://www.itu.int/en/council/Documents/basic-texts-2023/RES-025-R.pdf" TargetMode="External"/><Relationship Id="rId26" Type="http://schemas.openxmlformats.org/officeDocument/2006/relationships/hyperlink" Target="https://www.itu.int/md/S24-CL-C-0066/e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tu.int/pub/D-TDC-WTDC-2025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itu.int/md/S26-CL-C-0085/en" TargetMode="External"/><Relationship Id="rId17" Type="http://schemas.openxmlformats.org/officeDocument/2006/relationships/hyperlink" Target="https://www.itu.int/md/S26-CL-C-0119/en" TargetMode="External"/><Relationship Id="rId25" Type="http://schemas.openxmlformats.org/officeDocument/2006/relationships/hyperlink" Target="https://www.itu.int/dms_pub/itu-d/md/26/tdag33/c/D26-TDAG33-C-0002!N1-A1!MSW-R.docx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itu.int/md/S26-CL-C-0085/en" TargetMode="External"/><Relationship Id="rId20" Type="http://schemas.openxmlformats.org/officeDocument/2006/relationships/hyperlink" Target="https://www.itu.int/pub/D-TDC-WTDC-2025" TargetMode="External"/><Relationship Id="rId29" Type="http://schemas.openxmlformats.org/officeDocument/2006/relationships/image" Target="media/image2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tu.int/md/S26-CL-C-0024/en" TargetMode="External"/><Relationship Id="rId24" Type="http://schemas.openxmlformats.org/officeDocument/2006/relationships/hyperlink" Target="https://www.itu.int/md/S24-CL-C-0066/en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itu.int/dms_pub/itu-d/md/26/tdag33/c/D26-TDAG33-C-0002!N1-A1!MSW-R.docx" TargetMode="External"/><Relationship Id="rId23" Type="http://schemas.openxmlformats.org/officeDocument/2006/relationships/hyperlink" Target="https://www.itu.int/md/S26-CL-C-0024/en" TargetMode="External"/><Relationship Id="rId28" Type="http://schemas.openxmlformats.org/officeDocument/2006/relationships/hyperlink" Target="https://www.itu.int/net4/ITU-D/CDS/Resolutions/Resolution-94-Baku-2025.pdf" TargetMode="External"/><Relationship Id="rId10" Type="http://schemas.openxmlformats.org/officeDocument/2006/relationships/hyperlink" Target="https://www.itu.int/md/S24-CL-C-0066/en" TargetMode="External"/><Relationship Id="rId19" Type="http://schemas.openxmlformats.org/officeDocument/2006/relationships/hyperlink" Target="https://www.itu.int/md/S20-CL-C-0074/en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itu.int/md/S20-CL-C-0074/en" TargetMode="External"/><Relationship Id="rId14" Type="http://schemas.openxmlformats.org/officeDocument/2006/relationships/hyperlink" Target="https://www.itu.int/pub/D-TDC-WTDC-2025" TargetMode="External"/><Relationship Id="rId22" Type="http://schemas.openxmlformats.org/officeDocument/2006/relationships/hyperlink" Target="https://www.itu.int/pub/D-TDC-WTDC-2025" TargetMode="External"/><Relationship Id="rId27" Type="http://schemas.openxmlformats.org/officeDocument/2006/relationships/hyperlink" Target="https://www.ict.gov.pg/Press%20Statement/Pacific%20ICT%20Ministerial%20Declaration.%20Monday%2028%20August%202023.%20APEC%20Haus.pdf" TargetMode="External"/><Relationship Id="rId30" Type="http://schemas.openxmlformats.org/officeDocument/2006/relationships/hyperlink" Target="https://www.itu.int/md/S24-CL-C-0066/en" TargetMode="External"/><Relationship Id="rId8" Type="http://schemas.openxmlformats.org/officeDocument/2006/relationships/hyperlink" Target="https://www.itu.int/en/council/Documents/basic-texts-2023/RES-025-R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tu.int/en/ITU-D/Regional-Presence/AsiaPacific/Documents/Projects/Pacific%20Feasibility%20Study/29092026%20ITU%20Pacific%20Regional%20Presence%20Feasibility%20Study%20Draft%20for%20Review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4092</Words>
  <Characters>28647</Characters>
  <Application>Microsoft Office Word</Application>
  <DocSecurity>0</DocSecurity>
  <Lines>716</Lines>
  <Paragraphs>348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establishment plan for Pacific Area Office</dc:title>
  <dc:subject>Plenipotentiary Conference (PP-26)</dc:subject>
  <cp:keywords>PP-26, PP26, ITU</cp:keywords>
  <dc:description/>
  <dcterms:created xsi:type="dcterms:W3CDTF">2026-10-14T13:18:00Z</dcterms:created>
  <dcterms:modified xsi:type="dcterms:W3CDTF">2026-10-14T13:21:00Z</dcterms:modified>
  <cp:category>Conference document</cp:category>
</cp:coreProperties>
</file>