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6E56A1"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6E56A1" w:rsidRDefault="00CE496F" w:rsidP="00CE496F">
            <w:pPr>
              <w:spacing w:before="0" w:line="240" w:lineRule="atLeast"/>
              <w:rPr>
                <w:rFonts w:cstheme="minorHAnsi"/>
              </w:rPr>
            </w:pPr>
            <w:bookmarkStart w:id="0" w:name="ditulogo"/>
            <w:bookmarkEnd w:id="0"/>
            <w:r w:rsidRPr="006E56A1">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6E56A1" w14:paraId="3120A8D9" w14:textId="77777777" w:rsidTr="00BD5C12">
        <w:trPr>
          <w:cantSplit/>
          <w:jc w:val="center"/>
        </w:trPr>
        <w:tc>
          <w:tcPr>
            <w:tcW w:w="10031" w:type="dxa"/>
            <w:gridSpan w:val="2"/>
            <w:tcBorders>
              <w:bottom w:val="single" w:sz="12" w:space="0" w:color="71716F"/>
            </w:tcBorders>
          </w:tcPr>
          <w:p w14:paraId="57068B73" w14:textId="77777777" w:rsidR="002E1AF7" w:rsidRPr="006E56A1" w:rsidRDefault="002E1AF7" w:rsidP="00CE496F">
            <w:pPr>
              <w:spacing w:before="0" w:line="240" w:lineRule="atLeast"/>
              <w:rPr>
                <w:rFonts w:cstheme="minorHAnsi"/>
                <w:b/>
                <w:smallCaps/>
                <w:szCs w:val="24"/>
              </w:rPr>
            </w:pPr>
            <w:bookmarkStart w:id="1" w:name="dhead"/>
          </w:p>
        </w:tc>
      </w:tr>
      <w:tr w:rsidR="00BD1614" w:rsidRPr="006E56A1" w14:paraId="20A2296F" w14:textId="77777777" w:rsidTr="00EC1877">
        <w:trPr>
          <w:cantSplit/>
          <w:jc w:val="center"/>
        </w:trPr>
        <w:tc>
          <w:tcPr>
            <w:tcW w:w="7229" w:type="dxa"/>
            <w:tcBorders>
              <w:top w:val="single" w:sz="12" w:space="0" w:color="71716F"/>
            </w:tcBorders>
          </w:tcPr>
          <w:p w14:paraId="4CFA6027" w14:textId="77777777" w:rsidR="00BD1614" w:rsidRPr="006E56A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6E56A1" w:rsidRDefault="00BD1614" w:rsidP="007A47E9">
            <w:pPr>
              <w:spacing w:before="0"/>
              <w:rPr>
                <w:rFonts w:cstheme="minorHAnsi"/>
                <w:szCs w:val="24"/>
              </w:rPr>
            </w:pPr>
          </w:p>
        </w:tc>
      </w:tr>
      <w:tr w:rsidR="000B7BDE" w:rsidRPr="006E56A1" w14:paraId="5EBA9561" w14:textId="77777777" w:rsidTr="00CE496F">
        <w:trPr>
          <w:cantSplit/>
          <w:jc w:val="center"/>
        </w:trPr>
        <w:tc>
          <w:tcPr>
            <w:tcW w:w="7229" w:type="dxa"/>
          </w:tcPr>
          <w:p w14:paraId="081C5B53" w14:textId="208B41EF" w:rsidR="000B7BDE" w:rsidRPr="006E56A1" w:rsidRDefault="000B7BDE" w:rsidP="000B7BDE">
            <w:pPr>
              <w:pStyle w:val="Committee"/>
              <w:framePr w:hSpace="0" w:wrap="auto" w:hAnchor="text" w:yAlign="inline"/>
              <w:spacing w:after="0" w:line="240" w:lineRule="auto"/>
              <w:rPr>
                <w:lang w:val="fr-FR"/>
              </w:rPr>
            </w:pPr>
            <w:r w:rsidRPr="006E56A1">
              <w:rPr>
                <w:lang w:val="fr-FR"/>
              </w:rPr>
              <w:t>SÉANCE PLÉNIÈRE</w:t>
            </w:r>
          </w:p>
        </w:tc>
        <w:tc>
          <w:tcPr>
            <w:tcW w:w="2802" w:type="dxa"/>
            <w:tcMar>
              <w:left w:w="142" w:type="dxa"/>
              <w:right w:w="0" w:type="dxa"/>
            </w:tcMar>
          </w:tcPr>
          <w:p w14:paraId="42E82404" w14:textId="087CCD39" w:rsidR="000B7BDE" w:rsidRPr="006E56A1" w:rsidRDefault="000B7BDE" w:rsidP="000B7BDE">
            <w:pPr>
              <w:spacing w:before="0"/>
              <w:rPr>
                <w:rFonts w:cstheme="minorHAnsi"/>
                <w:b/>
                <w:szCs w:val="24"/>
              </w:rPr>
            </w:pPr>
            <w:r w:rsidRPr="006E56A1">
              <w:rPr>
                <w:b/>
                <w:color w:val="000000"/>
              </w:rPr>
              <w:t>Document 66-F</w:t>
            </w:r>
          </w:p>
        </w:tc>
      </w:tr>
      <w:tr w:rsidR="000B7BDE" w:rsidRPr="006E56A1" w14:paraId="5C605E2F" w14:textId="77777777" w:rsidTr="00CE496F">
        <w:trPr>
          <w:cantSplit/>
          <w:jc w:val="center"/>
        </w:trPr>
        <w:tc>
          <w:tcPr>
            <w:tcW w:w="7229" w:type="dxa"/>
          </w:tcPr>
          <w:p w14:paraId="3701819B" w14:textId="4343949C" w:rsidR="000B7BDE" w:rsidRPr="006E56A1" w:rsidRDefault="000B7BDE" w:rsidP="000B7BDE">
            <w:pPr>
              <w:spacing w:before="0"/>
              <w:rPr>
                <w:rFonts w:cstheme="minorHAnsi"/>
                <w:b/>
                <w:szCs w:val="24"/>
              </w:rPr>
            </w:pPr>
          </w:p>
        </w:tc>
        <w:tc>
          <w:tcPr>
            <w:tcW w:w="2802" w:type="dxa"/>
            <w:tcMar>
              <w:left w:w="142" w:type="dxa"/>
              <w:right w:w="0" w:type="dxa"/>
            </w:tcMar>
          </w:tcPr>
          <w:p w14:paraId="4FD5E934" w14:textId="59DC71AB" w:rsidR="000B7BDE" w:rsidRPr="006E56A1" w:rsidRDefault="000B7BDE" w:rsidP="000B7BDE">
            <w:pPr>
              <w:spacing w:before="0"/>
              <w:rPr>
                <w:rFonts w:cstheme="minorHAnsi"/>
                <w:b/>
                <w:szCs w:val="24"/>
              </w:rPr>
            </w:pPr>
            <w:r w:rsidRPr="006E56A1">
              <w:rPr>
                <w:b/>
                <w:color w:val="000000"/>
              </w:rPr>
              <w:t>7 octobre 2026</w:t>
            </w:r>
          </w:p>
        </w:tc>
      </w:tr>
      <w:tr w:rsidR="000B7BDE" w:rsidRPr="006E56A1" w14:paraId="6B2B4BC1" w14:textId="77777777" w:rsidTr="00CE496F">
        <w:trPr>
          <w:cantSplit/>
          <w:jc w:val="center"/>
        </w:trPr>
        <w:tc>
          <w:tcPr>
            <w:tcW w:w="7229" w:type="dxa"/>
          </w:tcPr>
          <w:p w14:paraId="780A194C" w14:textId="77777777" w:rsidR="000B7BDE" w:rsidRPr="006E56A1" w:rsidRDefault="000B7BDE" w:rsidP="000B7BDE">
            <w:pPr>
              <w:spacing w:before="0"/>
              <w:rPr>
                <w:rFonts w:cstheme="minorHAnsi"/>
                <w:b/>
                <w:smallCaps/>
                <w:szCs w:val="24"/>
              </w:rPr>
            </w:pPr>
          </w:p>
        </w:tc>
        <w:tc>
          <w:tcPr>
            <w:tcW w:w="2802" w:type="dxa"/>
            <w:tcMar>
              <w:left w:w="142" w:type="dxa"/>
              <w:right w:w="0" w:type="dxa"/>
            </w:tcMar>
          </w:tcPr>
          <w:p w14:paraId="36796BDA" w14:textId="4A4A410C" w:rsidR="000B7BDE" w:rsidRPr="006E56A1" w:rsidRDefault="000B7BDE" w:rsidP="000B7BDE">
            <w:pPr>
              <w:spacing w:before="0"/>
              <w:rPr>
                <w:rFonts w:cstheme="minorHAnsi"/>
                <w:b/>
                <w:szCs w:val="24"/>
              </w:rPr>
            </w:pPr>
            <w:r w:rsidRPr="006E56A1">
              <w:rPr>
                <w:b/>
                <w:color w:val="000000"/>
              </w:rPr>
              <w:t>Original: anglais</w:t>
            </w:r>
          </w:p>
        </w:tc>
      </w:tr>
      <w:tr w:rsidR="00BD1614" w:rsidRPr="006E56A1" w14:paraId="4259B884" w14:textId="77777777" w:rsidTr="002E1AF7">
        <w:trPr>
          <w:cantSplit/>
          <w:jc w:val="center"/>
        </w:trPr>
        <w:tc>
          <w:tcPr>
            <w:tcW w:w="10031" w:type="dxa"/>
            <w:gridSpan w:val="2"/>
          </w:tcPr>
          <w:p w14:paraId="770628D7" w14:textId="77777777" w:rsidR="00BD1614" w:rsidRPr="006E56A1" w:rsidRDefault="00BD1614" w:rsidP="007A47E9">
            <w:pPr>
              <w:spacing w:before="0" w:line="240" w:lineRule="atLeast"/>
              <w:rPr>
                <w:rFonts w:cstheme="minorHAnsi"/>
                <w:b/>
                <w:szCs w:val="24"/>
              </w:rPr>
            </w:pPr>
          </w:p>
        </w:tc>
      </w:tr>
      <w:tr w:rsidR="000B7BDE" w:rsidRPr="006E56A1" w14:paraId="6A9FB924" w14:textId="77777777" w:rsidTr="002E1AF7">
        <w:trPr>
          <w:cantSplit/>
          <w:jc w:val="center"/>
        </w:trPr>
        <w:tc>
          <w:tcPr>
            <w:tcW w:w="10031" w:type="dxa"/>
            <w:gridSpan w:val="2"/>
          </w:tcPr>
          <w:p w14:paraId="070875E6" w14:textId="6A208758" w:rsidR="000B7BDE" w:rsidRPr="006E56A1" w:rsidRDefault="000B7BDE" w:rsidP="000B7BDE">
            <w:pPr>
              <w:pStyle w:val="Source"/>
            </w:pPr>
            <w:bookmarkStart w:id="2" w:name="dsource" w:colFirst="0" w:colLast="0"/>
            <w:bookmarkEnd w:id="1"/>
            <w:r w:rsidRPr="006E56A1">
              <w:t>Rapport de la Secrétaire générale</w:t>
            </w:r>
          </w:p>
        </w:tc>
      </w:tr>
      <w:tr w:rsidR="000B7BDE" w:rsidRPr="006E56A1" w14:paraId="534EEA05" w14:textId="77777777" w:rsidTr="002E1AF7">
        <w:trPr>
          <w:cantSplit/>
          <w:jc w:val="center"/>
        </w:trPr>
        <w:tc>
          <w:tcPr>
            <w:tcW w:w="10031" w:type="dxa"/>
            <w:gridSpan w:val="2"/>
          </w:tcPr>
          <w:p w14:paraId="0C8E89F3" w14:textId="66483BB9" w:rsidR="000B7BDE" w:rsidRPr="006E56A1" w:rsidRDefault="00DB3E32" w:rsidP="000B7BDE">
            <w:pPr>
              <w:pStyle w:val="Title1"/>
            </w:pPr>
            <w:bookmarkStart w:id="3" w:name="dtitle1" w:colFirst="0" w:colLast="0"/>
            <w:bookmarkEnd w:id="2"/>
            <w:r w:rsidRPr="006E56A1">
              <w:rPr>
                <w:caps w:val="0"/>
              </w:rPr>
              <w:t>PLAN DE CRÉATION D'UN BUREAU DE L'UIT DANS LE PACIFIQUE</w:t>
            </w:r>
          </w:p>
        </w:tc>
      </w:tr>
      <w:bookmarkEnd w:id="3"/>
    </w:tbl>
    <w:p w14:paraId="1A4AE4D7" w14:textId="77777777" w:rsidR="000B7BDE" w:rsidRPr="006E56A1" w:rsidRDefault="000B7BDE" w:rsidP="000B7BDE"/>
    <w:tbl>
      <w:tblPr>
        <w:tblStyle w:val="TableGrid"/>
        <w:tblW w:w="0" w:type="auto"/>
        <w:jc w:val="center"/>
        <w:tblLayout w:type="fixed"/>
        <w:tblLook w:val="04A0" w:firstRow="1" w:lastRow="0" w:firstColumn="1" w:lastColumn="0" w:noHBand="0" w:noVBand="1"/>
      </w:tblPr>
      <w:tblGrid>
        <w:gridCol w:w="7937"/>
      </w:tblGrid>
      <w:tr w:rsidR="000B7BDE" w:rsidRPr="006E56A1" w14:paraId="5667D8B5" w14:textId="77777777" w:rsidTr="004A63F7">
        <w:trPr>
          <w:cantSplit/>
          <w:jc w:val="center"/>
        </w:trPr>
        <w:tc>
          <w:tcPr>
            <w:tcW w:w="7937" w:type="dxa"/>
          </w:tcPr>
          <w:p w14:paraId="4639CD98" w14:textId="77777777" w:rsidR="000B7BDE" w:rsidRPr="006E56A1" w:rsidRDefault="000B7BDE" w:rsidP="004A63F7">
            <w:pPr>
              <w:pStyle w:val="Headingb"/>
            </w:pPr>
            <w:r w:rsidRPr="006E56A1">
              <w:t>Résumé</w:t>
            </w:r>
          </w:p>
          <w:p w14:paraId="3291109E" w14:textId="77777777" w:rsidR="000B7BDE" w:rsidRPr="006E56A1" w:rsidRDefault="000B7BDE" w:rsidP="004A63F7">
            <w:r w:rsidRPr="006E56A1">
              <w:t>À sa session de 2026, le Conseil a approuvé le principe de la création du Bureau de zone de l'UIT pour le Pacifique le 28 avril 2026 et a demandé au Secrétariat d'élaborer un plan détaillé pour la création du nouveau bureau de zone et de le présenter à la Conférence de plénipotentiaires de 2026 (PP-26) pour examen. Le présent document a pour objet de donner des informations contextuelles et de décrire la méthode employée pour élaborer ce plan de création, en intégrant une proposition de dotation en personnel, une analyse financière et des considérations logistiques.</w:t>
            </w:r>
          </w:p>
          <w:p w14:paraId="0237536C" w14:textId="77777777" w:rsidR="000B7BDE" w:rsidRPr="006E56A1" w:rsidRDefault="000B7BDE" w:rsidP="004A63F7">
            <w:pPr>
              <w:pStyle w:val="Headingb"/>
            </w:pPr>
            <w:r w:rsidRPr="006E56A1">
              <w:t>Suite à donner</w:t>
            </w:r>
          </w:p>
          <w:p w14:paraId="1F87F76E" w14:textId="77777777" w:rsidR="000B7BDE" w:rsidRPr="006E56A1" w:rsidRDefault="000B7BDE" w:rsidP="004A63F7">
            <w:r w:rsidRPr="006E56A1">
              <w:t xml:space="preserve">La Conférence de plénipotentiaires est invitée à </w:t>
            </w:r>
            <w:r w:rsidRPr="006E56A1">
              <w:rPr>
                <w:b/>
                <w:bCs/>
              </w:rPr>
              <w:t xml:space="preserve">examiner </w:t>
            </w:r>
            <w:r w:rsidRPr="006E56A1">
              <w:t>le présent rapport.</w:t>
            </w:r>
          </w:p>
          <w:p w14:paraId="3E2BFC59" w14:textId="77777777" w:rsidR="000B7BDE" w:rsidRPr="006E56A1" w:rsidRDefault="000B7BDE" w:rsidP="004A63F7">
            <w:pPr>
              <w:pStyle w:val="Headingb"/>
            </w:pPr>
            <w:r w:rsidRPr="006E56A1">
              <w:t>Lien(s) pertinent(s) avec le Plan stratégique</w:t>
            </w:r>
          </w:p>
          <w:p w14:paraId="387CB474" w14:textId="77777777" w:rsidR="000B7BDE" w:rsidRPr="006E56A1" w:rsidRDefault="000B7BDE" w:rsidP="004A63F7">
            <w:r w:rsidRPr="006E56A1">
              <w:t>Paragraphe 66 relatif à la présence régionale du Plan stratégique de l'Union pour la période 2024-2027.</w:t>
            </w:r>
          </w:p>
          <w:p w14:paraId="2323A2FB" w14:textId="77777777" w:rsidR="000B7BDE" w:rsidRPr="006E56A1" w:rsidRDefault="000B7BDE" w:rsidP="004A63F7">
            <w:pPr>
              <w:pStyle w:val="Headingb"/>
            </w:pPr>
            <w:r w:rsidRPr="006E56A1">
              <w:t>Incidences financières</w:t>
            </w:r>
          </w:p>
          <w:p w14:paraId="29302CAF" w14:textId="77777777" w:rsidR="000B7BDE" w:rsidRPr="006E56A1" w:rsidRDefault="000B7BDE" w:rsidP="004A63F7">
            <w:pPr>
              <w:rPr>
                <w:rFonts w:eastAsia="Calibri"/>
              </w:rPr>
            </w:pPr>
            <w:r w:rsidRPr="006E56A1">
              <w:rPr>
                <w:rFonts w:eastAsia="Calibri"/>
              </w:rPr>
              <w:t>On estime qu'il faudrait 521 806 CHF pour la première année et 1 368 814 CHF pour les trois années suivantes (1 890 620 CHF pour quatre ans), des sommes qui viennent s'ajouter aux charges autres que les charges de personnel, qui sont habituellement couvertes par le pays hôte.</w:t>
            </w:r>
          </w:p>
          <w:p w14:paraId="382F0393" w14:textId="77777777" w:rsidR="000B7BDE" w:rsidRPr="006E56A1" w:rsidRDefault="000B7BDE" w:rsidP="004A63F7">
            <w:pPr>
              <w:rPr>
                <w:rFonts w:asciiTheme="minorHAnsi" w:hAnsiTheme="minorHAnsi" w:cstheme="minorHAnsi"/>
                <w:caps/>
                <w:szCs w:val="24"/>
              </w:rPr>
            </w:pPr>
            <w:r w:rsidRPr="006E56A1">
              <w:rPr>
                <w:rFonts w:asciiTheme="minorHAnsi" w:hAnsiTheme="minorHAnsi" w:cstheme="minorHAnsi"/>
                <w:color w:val="000000"/>
                <w:szCs w:val="24"/>
              </w:rPr>
              <w:t>____________</w:t>
            </w:r>
          </w:p>
          <w:p w14:paraId="7EA8FB9C" w14:textId="77777777" w:rsidR="000B7BDE" w:rsidRPr="006E56A1" w:rsidRDefault="000B7BDE" w:rsidP="004A63F7">
            <w:pPr>
              <w:pStyle w:val="Headingb"/>
            </w:pPr>
            <w:r w:rsidRPr="006E56A1">
              <w:t>Références</w:t>
            </w:r>
          </w:p>
          <w:p w14:paraId="33C98E60" w14:textId="0B64A85A" w:rsidR="000B7BDE" w:rsidRPr="00DB3E32" w:rsidRDefault="000B7BDE" w:rsidP="000B7BDE">
            <w:pPr>
              <w:spacing w:after="120"/>
              <w:rPr>
                <w:i/>
                <w:iCs/>
                <w:spacing w:val="-3"/>
                <w:sz w:val="22"/>
                <w:szCs w:val="22"/>
              </w:rPr>
            </w:pPr>
            <w:r w:rsidRPr="00DB3E32">
              <w:rPr>
                <w:i/>
                <w:iCs/>
                <w:color w:val="000000"/>
                <w:sz w:val="22"/>
                <w:szCs w:val="22"/>
              </w:rPr>
              <w:t xml:space="preserve">Résolution </w:t>
            </w:r>
            <w:hyperlink r:id="rId9" w:history="1">
              <w:r w:rsidRPr="00DB3E32">
                <w:rPr>
                  <w:rStyle w:val="Hyperlink"/>
                  <w:i/>
                  <w:iCs/>
                  <w:sz w:val="22"/>
                  <w:szCs w:val="22"/>
                </w:rPr>
                <w:t>25</w:t>
              </w:r>
            </w:hyperlink>
            <w:r w:rsidRPr="00DB3E32">
              <w:rPr>
                <w:i/>
                <w:iCs/>
                <w:sz w:val="22"/>
                <w:szCs w:val="22"/>
              </w:rPr>
              <w:t xml:space="preserve"> (Rév. Bucarest, 2022)</w:t>
            </w:r>
            <w:r w:rsidRPr="00DB3E32">
              <w:rPr>
                <w:i/>
                <w:iCs/>
                <w:color w:val="000000"/>
                <w:sz w:val="22"/>
                <w:szCs w:val="22"/>
              </w:rPr>
              <w:t xml:space="preserve"> de la Conférence de plénipotentiaires; Documents</w:t>
            </w:r>
            <w:r w:rsidR="00DB3E32">
              <w:rPr>
                <w:i/>
                <w:iCs/>
                <w:color w:val="000000"/>
                <w:sz w:val="22"/>
                <w:szCs w:val="22"/>
              </w:rPr>
              <w:t> </w:t>
            </w:r>
            <w:proofErr w:type="spellStart"/>
            <w:r w:rsidRPr="00DB3E32">
              <w:rPr>
                <w:sz w:val="22"/>
                <w:szCs w:val="22"/>
              </w:rPr>
              <w:fldChar w:fldCharType="begin"/>
            </w:r>
            <w:r w:rsidRPr="00DB3E32">
              <w:rPr>
                <w:sz w:val="22"/>
                <w:szCs w:val="22"/>
              </w:rPr>
              <w:instrText>HYPERLINK "https://www.itu.int/md/S20-CL-C-0074/fr"</w:instrText>
            </w:r>
            <w:r w:rsidRPr="00DB3E32">
              <w:rPr>
                <w:sz w:val="22"/>
                <w:szCs w:val="22"/>
              </w:rPr>
            </w:r>
            <w:r w:rsidRPr="00DB3E32">
              <w:rPr>
                <w:sz w:val="22"/>
                <w:szCs w:val="22"/>
              </w:rPr>
              <w:fldChar w:fldCharType="separate"/>
            </w:r>
            <w:r w:rsidRPr="00DB3E32">
              <w:rPr>
                <w:rStyle w:val="Hyperlink"/>
                <w:i/>
                <w:iCs/>
                <w:spacing w:val="-3"/>
                <w:sz w:val="22"/>
                <w:szCs w:val="22"/>
              </w:rPr>
              <w:t>C20</w:t>
            </w:r>
            <w:proofErr w:type="spellEnd"/>
            <w:r w:rsidRPr="00DB3E32">
              <w:rPr>
                <w:rStyle w:val="Hyperlink"/>
                <w:i/>
                <w:iCs/>
                <w:spacing w:val="-3"/>
                <w:sz w:val="22"/>
                <w:szCs w:val="22"/>
              </w:rPr>
              <w:t>/74</w:t>
            </w:r>
            <w:r w:rsidRPr="00DB3E32">
              <w:rPr>
                <w:sz w:val="22"/>
                <w:szCs w:val="22"/>
              </w:rPr>
              <w:fldChar w:fldCharType="end"/>
            </w:r>
            <w:r w:rsidRPr="00DB3E32">
              <w:rPr>
                <w:i/>
                <w:iCs/>
                <w:spacing w:val="-3"/>
                <w:sz w:val="22"/>
                <w:szCs w:val="22"/>
              </w:rPr>
              <w:t xml:space="preserve">, </w:t>
            </w:r>
            <w:hyperlink r:id="rId10" w:history="1">
              <w:proofErr w:type="spellStart"/>
              <w:r w:rsidRPr="00DB3E32">
                <w:rPr>
                  <w:rStyle w:val="Hyperlink"/>
                  <w:i/>
                  <w:iCs/>
                  <w:spacing w:val="-3"/>
                  <w:sz w:val="22"/>
                  <w:szCs w:val="22"/>
                </w:rPr>
                <w:t>C24</w:t>
              </w:r>
              <w:proofErr w:type="spellEnd"/>
              <w:r w:rsidRPr="00DB3E32">
                <w:rPr>
                  <w:rStyle w:val="Hyperlink"/>
                  <w:i/>
                  <w:iCs/>
                  <w:spacing w:val="-3"/>
                  <w:sz w:val="22"/>
                  <w:szCs w:val="22"/>
                </w:rPr>
                <w:t>/66</w:t>
              </w:r>
            </w:hyperlink>
            <w:r w:rsidRPr="00DB3E32">
              <w:rPr>
                <w:i/>
                <w:iCs/>
                <w:spacing w:val="-3"/>
                <w:sz w:val="22"/>
                <w:szCs w:val="22"/>
              </w:rPr>
              <w:t xml:space="preserve">, </w:t>
            </w:r>
            <w:hyperlink r:id="rId11" w:history="1">
              <w:proofErr w:type="spellStart"/>
              <w:r w:rsidRPr="00DB3E32">
                <w:rPr>
                  <w:rStyle w:val="Hyperlink"/>
                  <w:i/>
                  <w:iCs/>
                  <w:spacing w:val="-3"/>
                  <w:sz w:val="22"/>
                  <w:szCs w:val="22"/>
                </w:rPr>
                <w:t>C26</w:t>
              </w:r>
              <w:proofErr w:type="spellEnd"/>
              <w:r w:rsidRPr="00DB3E32">
                <w:rPr>
                  <w:rStyle w:val="Hyperlink"/>
                  <w:i/>
                  <w:iCs/>
                  <w:spacing w:val="-3"/>
                  <w:sz w:val="22"/>
                  <w:szCs w:val="22"/>
                </w:rPr>
                <w:t>/24</w:t>
              </w:r>
            </w:hyperlink>
            <w:r w:rsidRPr="00DB3E32">
              <w:rPr>
                <w:i/>
                <w:iCs/>
                <w:spacing w:val="-3"/>
                <w:sz w:val="22"/>
                <w:szCs w:val="22"/>
              </w:rPr>
              <w:t xml:space="preserve">, </w:t>
            </w:r>
            <w:hyperlink r:id="rId12" w:history="1">
              <w:proofErr w:type="spellStart"/>
              <w:r w:rsidRPr="00DB3E32">
                <w:rPr>
                  <w:rStyle w:val="Hyperlink"/>
                  <w:i/>
                  <w:iCs/>
                  <w:spacing w:val="-3"/>
                  <w:sz w:val="22"/>
                  <w:szCs w:val="22"/>
                </w:rPr>
                <w:t>C26</w:t>
              </w:r>
              <w:proofErr w:type="spellEnd"/>
              <w:r w:rsidRPr="00DB3E32">
                <w:rPr>
                  <w:rStyle w:val="Hyperlink"/>
                  <w:i/>
                  <w:iCs/>
                  <w:spacing w:val="-3"/>
                  <w:sz w:val="22"/>
                  <w:szCs w:val="22"/>
                </w:rPr>
                <w:t>/85</w:t>
              </w:r>
            </w:hyperlink>
            <w:r w:rsidRPr="00DB3E32">
              <w:rPr>
                <w:sz w:val="22"/>
                <w:szCs w:val="22"/>
              </w:rPr>
              <w:t xml:space="preserve"> </w:t>
            </w:r>
            <w:r w:rsidRPr="00DB3E32">
              <w:rPr>
                <w:i/>
                <w:iCs/>
                <w:color w:val="000000"/>
                <w:sz w:val="22"/>
                <w:szCs w:val="22"/>
              </w:rPr>
              <w:t xml:space="preserve">et </w:t>
            </w:r>
            <w:hyperlink r:id="rId13" w:history="1">
              <w:proofErr w:type="spellStart"/>
              <w:r w:rsidRPr="00DB3E32">
                <w:rPr>
                  <w:rStyle w:val="Hyperlink"/>
                  <w:i/>
                  <w:iCs/>
                  <w:sz w:val="22"/>
                  <w:szCs w:val="22"/>
                </w:rPr>
                <w:t>C26</w:t>
              </w:r>
              <w:proofErr w:type="spellEnd"/>
              <w:r w:rsidRPr="00DB3E32">
                <w:rPr>
                  <w:rStyle w:val="Hyperlink"/>
                  <w:i/>
                  <w:iCs/>
                  <w:sz w:val="22"/>
                  <w:szCs w:val="22"/>
                </w:rPr>
                <w:t>/119</w:t>
              </w:r>
            </w:hyperlink>
            <w:r w:rsidRPr="00DB3E32">
              <w:rPr>
                <w:i/>
                <w:iCs/>
                <w:color w:val="000000"/>
                <w:sz w:val="22"/>
                <w:szCs w:val="22"/>
              </w:rPr>
              <w:t xml:space="preserve"> du Conseil;</w:t>
            </w:r>
            <w:r w:rsidR="00DB3E32" w:rsidRPr="00382A4F">
              <w:t xml:space="preserve"> </w:t>
            </w:r>
            <w:r w:rsidR="00DB3E32" w:rsidRPr="00DB3E32">
              <w:rPr>
                <w:i/>
                <w:iCs/>
                <w:color w:val="000000"/>
                <w:sz w:val="22"/>
                <w:szCs w:val="22"/>
              </w:rPr>
              <w:t>Résolutions </w:t>
            </w:r>
            <w:hyperlink r:id="rId14" w:history="1">
              <w:r w:rsidRPr="00DB3E32">
                <w:rPr>
                  <w:rStyle w:val="Hyperlink"/>
                  <w:i/>
                  <w:iCs/>
                  <w:sz w:val="22"/>
                  <w:szCs w:val="22"/>
                </w:rPr>
                <w:t>16, 17 et 94 (Bakou, 2025)</w:t>
              </w:r>
            </w:hyperlink>
            <w:r w:rsidR="00DB3E32">
              <w:rPr>
                <w:i/>
                <w:iCs/>
                <w:color w:val="000000"/>
                <w:sz w:val="22"/>
                <w:szCs w:val="22"/>
              </w:rPr>
              <w:t xml:space="preserve"> </w:t>
            </w:r>
            <w:r w:rsidR="00DB3E32" w:rsidRPr="00DB3E32">
              <w:rPr>
                <w:i/>
                <w:iCs/>
                <w:color w:val="000000"/>
                <w:sz w:val="22"/>
                <w:szCs w:val="22"/>
              </w:rPr>
              <w:t>de la Conférence mondiale de développement des télécommunications</w:t>
            </w:r>
            <w:r w:rsidR="00DB3E32">
              <w:rPr>
                <w:i/>
                <w:iCs/>
                <w:color w:val="000000"/>
                <w:sz w:val="22"/>
                <w:szCs w:val="22"/>
              </w:rPr>
              <w:t>;</w:t>
            </w:r>
            <w:r w:rsidR="00DB3E32" w:rsidRPr="00382A4F">
              <w:t xml:space="preserve"> </w:t>
            </w:r>
            <w:r w:rsidR="00DB3E32" w:rsidRPr="00DB3E32">
              <w:rPr>
                <w:i/>
                <w:iCs/>
                <w:color w:val="000000"/>
                <w:sz w:val="22"/>
                <w:szCs w:val="22"/>
              </w:rPr>
              <w:t xml:space="preserve">Document </w:t>
            </w:r>
            <w:hyperlink r:id="rId15" w:history="1">
              <w:r w:rsidRPr="00DB3E32">
                <w:rPr>
                  <w:rStyle w:val="Hyperlink"/>
                  <w:i/>
                  <w:iCs/>
                  <w:sz w:val="22"/>
                  <w:szCs w:val="22"/>
                </w:rPr>
                <w:t>TDAG26/2(</w:t>
              </w:r>
              <w:proofErr w:type="spellStart"/>
              <w:r w:rsidRPr="00DB3E32">
                <w:rPr>
                  <w:rStyle w:val="Hyperlink"/>
                  <w:i/>
                  <w:iCs/>
                  <w:sz w:val="22"/>
                  <w:szCs w:val="22"/>
                </w:rPr>
                <w:t>Add.1</w:t>
              </w:r>
              <w:proofErr w:type="spellEnd"/>
              <w:r w:rsidRPr="00DB3E32">
                <w:rPr>
                  <w:rStyle w:val="Hyperlink"/>
                  <w:i/>
                  <w:iCs/>
                  <w:sz w:val="22"/>
                  <w:szCs w:val="22"/>
                </w:rPr>
                <w:t>)</w:t>
              </w:r>
            </w:hyperlink>
            <w:hyperlink r:id="rId16"/>
            <w:hyperlink r:id="rId17" w:history="1"/>
            <w:hyperlink r:id="rId18" w:history="1"/>
            <w:hyperlink r:id="rId19" w:history="1"/>
            <w:hyperlink r:id="rId20" w:history="1"/>
            <w:hyperlink r:id="rId21" w:history="1"/>
            <w:hyperlink r:id="rId22"/>
            <w:hyperlink r:id="rId23"/>
          </w:p>
        </w:tc>
      </w:tr>
    </w:tbl>
    <w:p w14:paraId="68F17DCE" w14:textId="77777777" w:rsidR="000B7BDE" w:rsidRPr="006E56A1" w:rsidRDefault="000B7BDE" w:rsidP="000B7BDE">
      <w:r w:rsidRPr="006E56A1">
        <w:br w:type="page"/>
      </w:r>
    </w:p>
    <w:p w14:paraId="137430D0" w14:textId="77777777" w:rsidR="000B7BDE" w:rsidRPr="006E56A1" w:rsidRDefault="000B7BDE" w:rsidP="000B7BDE">
      <w:pPr>
        <w:pStyle w:val="Headingb"/>
      </w:pPr>
      <w:bookmarkStart w:id="4" w:name="_Toc236855353"/>
      <w:r w:rsidRPr="006E56A1">
        <w:lastRenderedPageBreak/>
        <w:t>Introduction</w:t>
      </w:r>
      <w:bookmarkEnd w:id="4"/>
    </w:p>
    <w:p w14:paraId="6B816165" w14:textId="77777777" w:rsidR="000B7BDE" w:rsidRPr="006E56A1" w:rsidRDefault="000B7BDE" w:rsidP="000B7BDE">
      <w:r w:rsidRPr="006E56A1">
        <w:t xml:space="preserve">À sa session de 2026, le Conseil de l'Union internationale des télécommunications (UIT) a examiné la contribution soumise par plusieurs États Membres du Pacifique (Document </w:t>
      </w:r>
      <w:hyperlink r:id="rId24">
        <w:r w:rsidRPr="006E56A1">
          <w:rPr>
            <w:rStyle w:val="Hyperlink"/>
            <w:rFonts w:cs="Calibri"/>
          </w:rPr>
          <w:t>C26/85</w:t>
        </w:r>
      </w:hyperlink>
      <w:r w:rsidRPr="006E56A1">
        <w:t>), dans laquelle le Conseil est invité à envisager la création d'un bureau de zone de l'UIT dans le Pacifique.</w:t>
      </w:r>
      <w:hyperlink r:id="rId25"/>
    </w:p>
    <w:p w14:paraId="5D82449E" w14:textId="77777777" w:rsidR="000B7BDE" w:rsidRPr="006E56A1" w:rsidRDefault="000B7BDE" w:rsidP="000B7BDE">
      <w:r w:rsidRPr="006E56A1">
        <w:t xml:space="preserve">Le Conseil a approuvé sur le principe la mise en place d'une présence de l'UIT dans le Pacifique et a demandé au Secrétariat de définir des options concrètes et un plan de création d'un bureau de zone de l'UIT dans le Pacifique (Document </w:t>
      </w:r>
      <w:hyperlink r:id="rId26" w:history="1">
        <w:r w:rsidRPr="006E56A1">
          <w:rPr>
            <w:rStyle w:val="Hyperlink"/>
            <w:rFonts w:cs="Calibri"/>
          </w:rPr>
          <w:t>C26/119</w:t>
        </w:r>
      </w:hyperlink>
      <w:r w:rsidRPr="006E56A1">
        <w:t>). Il a également demandé que ce plan comprenne une analyse financière détaillée des ressources, de la dotation en personnel et des options concernant le lieu et le financement, et de présenter cette proposition à la Conférence de plénipotentiaires de 2026 (PP-26) pour examen et approbation.</w:t>
      </w:r>
      <w:hyperlink r:id="rId27" w:history="1"/>
    </w:p>
    <w:p w14:paraId="698F5503" w14:textId="77777777" w:rsidR="000B7BDE" w:rsidRPr="006E56A1" w:rsidRDefault="000B7BDE" w:rsidP="000B7BDE">
      <w:pPr>
        <w:pStyle w:val="Headingb"/>
      </w:pPr>
      <w:bookmarkStart w:id="5" w:name="_Toc236855354"/>
      <w:r w:rsidRPr="006E56A1">
        <w:t>Considérations générales</w:t>
      </w:r>
      <w:bookmarkEnd w:id="5"/>
    </w:p>
    <w:p w14:paraId="3ABD3858" w14:textId="77777777" w:rsidR="000B7BDE" w:rsidRPr="006E56A1" w:rsidRDefault="000B7BDE" w:rsidP="000B7BDE">
      <w:r w:rsidRPr="006E56A1">
        <w:t xml:space="preserve">Conformément à la Résolution </w:t>
      </w:r>
      <w:hyperlink r:id="rId28" w:history="1">
        <w:r w:rsidRPr="006E56A1">
          <w:rPr>
            <w:rStyle w:val="Hyperlink"/>
          </w:rPr>
          <w:t>25</w:t>
        </w:r>
      </w:hyperlink>
      <w:r w:rsidRPr="006E56A1">
        <w:t xml:space="preserve"> (Rév. Bucarest, 2022) de la Conférence de plénipotentiaires, au rapport du cabinet PwC sur la présence régionale de l'UIT (Document </w:t>
      </w:r>
      <w:hyperlink r:id="rId29" w:history="1">
        <w:r w:rsidRPr="006E56A1">
          <w:rPr>
            <w:rStyle w:val="Hyperlink"/>
          </w:rPr>
          <w:t>C20/74</w:t>
        </w:r>
      </w:hyperlink>
      <w:r w:rsidRPr="006E56A1">
        <w:t>), aux Résolutions </w:t>
      </w:r>
      <w:hyperlink r:id="rId30" w:history="1">
        <w:r w:rsidRPr="006E56A1">
          <w:rPr>
            <w:rStyle w:val="Hyperlink"/>
          </w:rPr>
          <w:t>16</w:t>
        </w:r>
      </w:hyperlink>
      <w:r w:rsidRPr="006E56A1">
        <w:t xml:space="preserve"> (Rév. Bakou, 2025), </w:t>
      </w:r>
      <w:hyperlink r:id="rId31" w:history="1">
        <w:r w:rsidRPr="006E56A1">
          <w:rPr>
            <w:rStyle w:val="Hyperlink"/>
          </w:rPr>
          <w:t>17</w:t>
        </w:r>
      </w:hyperlink>
      <w:r w:rsidRPr="006E56A1">
        <w:t xml:space="preserve"> (Rév. Bakou, 2025) et </w:t>
      </w:r>
      <w:hyperlink r:id="rId32" w:history="1">
        <w:r w:rsidRPr="006E56A1">
          <w:rPr>
            <w:rStyle w:val="Hyperlink"/>
          </w:rPr>
          <w:t>94</w:t>
        </w:r>
      </w:hyperlink>
      <w:r w:rsidRPr="006E56A1">
        <w:t xml:space="preserve"> (Bakou, 2025) de la Conférence mondiale de développement des télécommunications (CMDT), à l'Initiative régionale 1 pour l'Asie-Pacifique, aux discussions en cours sur la présence régionale de l'UIT (Document </w:t>
      </w:r>
      <w:hyperlink r:id="rId33" w:history="1">
        <w:r w:rsidRPr="006E56A1">
          <w:rPr>
            <w:rStyle w:val="Hyperlink"/>
          </w:rPr>
          <w:t>C26/24</w:t>
        </w:r>
      </w:hyperlink>
      <w:r w:rsidRPr="006E56A1">
        <w:t xml:space="preserve">) et aux discussions antérieures du Conseil sur les critères applicables à la création de nouveaux bureaux régionaux et bureaux de zone de l'UIT (Document </w:t>
      </w:r>
      <w:hyperlink r:id="rId34" w:history="1">
        <w:r w:rsidRPr="006E56A1">
          <w:rPr>
            <w:rStyle w:val="Hyperlink"/>
          </w:rPr>
          <w:t>C24/66</w:t>
        </w:r>
      </w:hyperlink>
      <w:r w:rsidRPr="006E56A1">
        <w:t>), le Bureau régional de l'UIT pour la région Asie-Pacifique a procédé à une évaluation des besoins et à une analyse de la situation dans le Pacifique avec l'appui du gouvernement australien.</w:t>
      </w:r>
      <w:hyperlink r:id="rId35" w:history="1"/>
      <w:hyperlink r:id="rId36" w:history="1"/>
      <w:hyperlink r:id="rId37" w:history="1"/>
      <w:hyperlink r:id="rId38" w:history="1"/>
      <w:hyperlink r:id="rId39" w:history="1"/>
    </w:p>
    <w:p w14:paraId="08276329" w14:textId="77777777" w:rsidR="000B7BDE" w:rsidRPr="006E56A1" w:rsidRDefault="000B7BDE" w:rsidP="000B7BDE">
      <w:r w:rsidRPr="006E56A1">
        <w:t xml:space="preserve">Un résumé de l'évaluation des besoins et de l'analyse de la situation a été présenté à la 33ème réunion du Groupe consultatif pour le développement des télécommunications (GCDT) en avril 2026 (Annexe 1 du Document </w:t>
      </w:r>
      <w:hyperlink r:id="rId40" w:history="1">
        <w:proofErr w:type="spellStart"/>
        <w:r w:rsidRPr="006E56A1">
          <w:rPr>
            <w:rStyle w:val="Hyperlink"/>
          </w:rPr>
          <w:t>TDAG</w:t>
        </w:r>
        <w:proofErr w:type="spellEnd"/>
        <w:r w:rsidRPr="006E56A1">
          <w:rPr>
            <w:rStyle w:val="Hyperlink"/>
          </w:rPr>
          <w:t>-26/2(</w:t>
        </w:r>
        <w:proofErr w:type="spellStart"/>
        <w:r w:rsidRPr="006E56A1">
          <w:rPr>
            <w:rStyle w:val="Hyperlink"/>
          </w:rPr>
          <w:t>Add.1</w:t>
        </w:r>
        <w:proofErr w:type="spellEnd"/>
        <w:r w:rsidRPr="006E56A1">
          <w:rPr>
            <w:rStyle w:val="Hyperlink"/>
          </w:rPr>
          <w:t>)</w:t>
        </w:r>
      </w:hyperlink>
      <w:r w:rsidRPr="006E56A1">
        <w:t>).</w:t>
      </w:r>
      <w:hyperlink r:id="rId41" w:history="1"/>
    </w:p>
    <w:p w14:paraId="6A13D18A" w14:textId="77777777" w:rsidR="000B7BDE" w:rsidRPr="006E56A1" w:rsidRDefault="000B7BDE" w:rsidP="000B7BDE">
      <w:pPr>
        <w:pStyle w:val="Headingi"/>
      </w:pPr>
      <w:r w:rsidRPr="006E56A1">
        <w:t>Évaluation des besoins et analyse de la situation pour la période 2024-2025</w:t>
      </w:r>
    </w:p>
    <w:p w14:paraId="155A9D70" w14:textId="77777777" w:rsidR="000B7BDE" w:rsidRPr="006E56A1" w:rsidRDefault="000B7BDE" w:rsidP="000B7BDE">
      <w:r w:rsidRPr="006E56A1">
        <w:t>Partenaire de longue date des petits États insulaires en développement (PEID) du Pacifique, l'UIT appuie les efforts de ces derniers en faveur d'une transformation numérique inclusive et durable. Par l'intermédiaire de son Bureau régional pour l'Asie-Pacifique, l'Union offre une assistance technique, un appui politique et réglementaire, des moyens de renforcement des capacités, des compétences spécialisées en matière de cybersécurité, une assistance en matière de gestion du spectre et un appui pour les télécommunications d'urgence et les initiatives d'inclusion numérique. L'UIT a également mis en œuvre des projets concrets dans le domaine de la connectivité, notamment l'initiative "Villages intelligents et îles intelligentes", visant à étendre les avantages des technologies numériques aux communautés isolées et mal desservies.</w:t>
      </w:r>
    </w:p>
    <w:p w14:paraId="5056804B" w14:textId="77777777" w:rsidR="000B7BDE" w:rsidRPr="006E56A1" w:rsidRDefault="000B7BDE" w:rsidP="000B7BDE">
      <w:r w:rsidRPr="006E56A1">
        <w:t>Compte tenu de la spécificité des pays du Pacifique, le Bureau régional de l'UIT pour l'Asie</w:t>
      </w:r>
      <w:r w:rsidRPr="006E56A1">
        <w:noBreakHyphen/>
        <w:t xml:space="preserve">Pacifique a lancé en 2024 une évaluation des besoins et une analyse de la situation dans le Pacifique dans le cadre du projet intitulé "Étude de faisabilité: répondre aux besoins particuliers des petits États insulaires en développement du Pacifique en matière de télécommunications/TIC". Le projet a été financé par le Ministère australien des infrastructures, des transports, du développement régional, des communications, des sports et des arts (DITRDCSA) et mis en œuvre sur la base des critères visant à créer de nouveaux bureaux régionaux et bureaux de zone de l'UIT (Document </w:t>
      </w:r>
      <w:hyperlink r:id="rId42">
        <w:r w:rsidRPr="006E56A1">
          <w:rPr>
            <w:rStyle w:val="Hyperlink"/>
          </w:rPr>
          <w:t>C24/66</w:t>
        </w:r>
      </w:hyperlink>
      <w:r w:rsidRPr="006E56A1">
        <w:t>) adoptés par le Conseil de l'UIT à sa session de 2024.</w:t>
      </w:r>
    </w:p>
    <w:p w14:paraId="21849657" w14:textId="77777777" w:rsidR="000B7BDE" w:rsidRPr="006E56A1" w:rsidRDefault="000B7BDE" w:rsidP="000B7BDE">
      <w:pPr>
        <w:keepLines/>
      </w:pPr>
      <w:r w:rsidRPr="006E56A1">
        <w:lastRenderedPageBreak/>
        <w:t>Cette étude a permis de cerner les besoins uniques et urgents des PEID du Pacifique en matière de télécommunications et de TIC, et de proposer un ensemble de priorités programmatiques, compte tenu de l'étendue de la zone géographique, de la petite taille des marchés et du décalage horaire important avec Genève et Bangkok. Les conclusions ont été examinées avec des représentants des PEID du Pacifique lors de consultations tenues à Suva (Fidji) en février 2025. À la suite de ces consultations, plusieurs séries de révisions ont été effectuées avant la mise au point finale du rapport.</w:t>
      </w:r>
    </w:p>
    <w:p w14:paraId="768839F4" w14:textId="77777777" w:rsidR="000B7BDE" w:rsidRPr="006E56A1" w:rsidRDefault="000B7BDE" w:rsidP="000B7BDE">
      <w:r w:rsidRPr="006E56A1">
        <w:t>L'évaluation des besoins et l'analyse de la situation ont révélé que les PEID du Pacifique continuent de se heurter à des obstacles structurels et contextuels sur la voie de la transformation numérique. D'importantes lacunes en matière d'infrastructures, notamment la pénétration faible et inégale du large bande, la dépendance à des connexions en câbles sous-marins isolées et une connectivité rurale limitée, entravent l'expansion des réseaux numériques dans la région. L'accessibilité économique reste un défi majeur, les coûts de l'Internet dans certains pays dépassant les objectifs reconnus au niveau international en la matière et représentant une part disproportionnée du revenu des ménages. En outre, la fragmentation des environnements réglementaires et le manque d'harmonisation au niveau régional continuent de freiner les investissements du secteur privé et la coopération régionale.</w:t>
      </w:r>
    </w:p>
    <w:p w14:paraId="6324483D" w14:textId="77777777" w:rsidR="000B7BDE" w:rsidRPr="006E56A1" w:rsidRDefault="000B7BDE" w:rsidP="000B7BDE">
      <w:r w:rsidRPr="006E56A1">
        <w:t xml:space="preserve">Malgré ces difficultés, la transformation numérique est largement reconnue dans tout le Pacifique comme étant un catalyseur essentiel du développement durable et de la croissance inclusive. Dans ce contexte, les pays du Pacifique ont régulièrement fait part de la nécessité de renforcer la présence régionale de l'UIT, notamment lors des réunions ministérielles sur les TIC pour le Pacifique tenues en Papouasie-Nouvelle-Guinée en 2023 et 2026, et à travers les textes de politique régionale, plus particulièrement la </w:t>
      </w:r>
      <w:hyperlink r:id="rId43" w:history="1">
        <w:r w:rsidRPr="006E56A1">
          <w:rPr>
            <w:rStyle w:val="Hyperlink"/>
          </w:rPr>
          <w:t>Déclaration de Lagatoi de 2023 des ministres des TIC du Pacifique</w:t>
        </w:r>
      </w:hyperlink>
      <w:r w:rsidRPr="006E56A1">
        <w:t>.</w:t>
      </w:r>
      <w:hyperlink r:id="rId44" w:history="1"/>
    </w:p>
    <w:p w14:paraId="01F43D15" w14:textId="77777777" w:rsidR="000B7BDE" w:rsidRPr="006E56A1" w:rsidRDefault="000B7BDE" w:rsidP="000B7BDE">
      <w:r w:rsidRPr="006E56A1">
        <w:t xml:space="preserve">La création d'un bureau de zone de l'UIT dans le Pacifique permettrait d'apporter un appui plus réactif, soutenu et adapté aux PEID de la région, conformément à la </w:t>
      </w:r>
      <w:hyperlink r:id="rId45" w:history="1">
        <w:r w:rsidRPr="006E56A1">
          <w:rPr>
            <w:rStyle w:val="Hyperlink"/>
            <w:color w:val="auto"/>
            <w:u w:val="none"/>
          </w:rPr>
          <w:t xml:space="preserve">Résolution </w:t>
        </w:r>
        <w:r w:rsidRPr="006E56A1">
          <w:rPr>
            <w:rStyle w:val="Hyperlink"/>
          </w:rPr>
          <w:t>94</w:t>
        </w:r>
        <w:r w:rsidRPr="006E56A1">
          <w:rPr>
            <w:rStyle w:val="Hyperlink"/>
            <w:color w:val="auto"/>
            <w:u w:val="none"/>
          </w:rPr>
          <w:t xml:space="preserve"> (Bakou, 2025) de la CMDT</w:t>
        </w:r>
      </w:hyperlink>
      <w:r w:rsidRPr="006E56A1">
        <w:t xml:space="preserve"> et à l'appel lancé dans la Déclaration de Lagatoi en faveur d'un renforcement de la mobilisation et d'une présence institutionnelle accrue dans la région du Pacifique.</w:t>
      </w:r>
      <w:hyperlink r:id="rId46" w:history="1"/>
    </w:p>
    <w:p w14:paraId="11D7F7D8" w14:textId="77777777" w:rsidR="000B7BDE" w:rsidRPr="006E56A1" w:rsidRDefault="000B7BDE" w:rsidP="000B7BDE">
      <w:pPr>
        <w:pStyle w:val="Headingi"/>
      </w:pPr>
      <w:bookmarkStart w:id="6" w:name="_Toc236855356"/>
      <w:r w:rsidRPr="006E56A1">
        <w:t>L'étude de faisabilité de 2026</w:t>
      </w:r>
      <w:bookmarkEnd w:id="6"/>
    </w:p>
    <w:p w14:paraId="254BC934" w14:textId="77777777" w:rsidR="000B7BDE" w:rsidRPr="006E56A1" w:rsidRDefault="000B7BDE" w:rsidP="000B7BDE">
      <w:r w:rsidRPr="006E56A1">
        <w:t>Sur la base des conclusions de l'évaluation des besoins et de l'analyse de la situation, l'UIT a mené une étude de faisabilité sur le renforcement de sa présence régionale dans le Pacifique.</w:t>
      </w:r>
    </w:p>
    <w:p w14:paraId="67728F0E" w14:textId="77777777" w:rsidR="000B7BDE" w:rsidRPr="006E56A1" w:rsidRDefault="000B7BDE" w:rsidP="000B7BDE">
      <w:r w:rsidRPr="006E56A1">
        <w:t>Cette étude</w:t>
      </w:r>
      <w:r w:rsidRPr="006E56A1">
        <w:rPr>
          <w:rStyle w:val="FootnoteReference"/>
        </w:rPr>
        <w:footnoteReference w:id="1"/>
      </w:r>
      <w:r w:rsidRPr="006E56A1">
        <w:t xml:space="preserve"> a été réalisée dans le cadre d'un processus consultatif et progressif. À l'issue de l'évaluation des besoins et de l'analyse de la situation, l'UIT a échangé avec les États Membres du Pacifique sur les différentes manières possibles de renforcer sa présence dans la région. Des consultations ont été menées lors de l'atelier sur la transformation numérique pour le Pacifique, tenu à Suva (Fidji) en février 2025, ainsi que lors de réunions en ligne et en présentiel organisées ultérieurement les 17, 19, 23 et 24 février, 9 juin et 6 août 2026, en parallèle du 19ème Forum de la Télécommunauté pour l'Asie et le Pacifique (APT) sur les politiques et la réglementation pour le Pacifique.</w:t>
      </w:r>
    </w:p>
    <w:p w14:paraId="30E6EAA6" w14:textId="77777777" w:rsidR="000B7BDE" w:rsidRPr="006E56A1" w:rsidRDefault="000B7BDE" w:rsidP="000B7BDE">
      <w:r w:rsidRPr="006E56A1">
        <w:lastRenderedPageBreak/>
        <w:t>Au cours de ces consultations, les membres ont examiné diverses options permettant de renforcer les dispositifs d'appui et la présence régionale de l'UIT dans le Pacifique. Cinq grandes options ont été recensées:</w:t>
      </w:r>
    </w:p>
    <w:p w14:paraId="25C49EA0" w14:textId="77777777" w:rsidR="000B7BDE" w:rsidRPr="006E56A1" w:rsidRDefault="000B7BDE" w:rsidP="000B7BDE">
      <w:pPr>
        <w:pStyle w:val="enumlev1"/>
      </w:pPr>
      <w:r w:rsidRPr="006E56A1">
        <w:t>1)</w:t>
      </w:r>
      <w:r w:rsidRPr="006E56A1">
        <w:tab/>
        <w:t>création d'un bureau de zone hébergé par un seul pays;</w:t>
      </w:r>
    </w:p>
    <w:p w14:paraId="03061C12" w14:textId="77777777" w:rsidR="000B7BDE" w:rsidRPr="006E56A1" w:rsidRDefault="000B7BDE" w:rsidP="000B7BDE">
      <w:pPr>
        <w:pStyle w:val="enumlev1"/>
      </w:pPr>
      <w:r w:rsidRPr="006E56A1">
        <w:t>2)</w:t>
      </w:r>
      <w:r w:rsidRPr="006E56A1">
        <w:tab/>
        <w:t>répartition du personnel de l'UIT entre plusieurs pays du Pacifique selon un modèle de réseau dirigé par un chef de bureau de zone;</w:t>
      </w:r>
    </w:p>
    <w:p w14:paraId="1C6F9E01" w14:textId="77777777" w:rsidR="000B7BDE" w:rsidRPr="006E56A1" w:rsidRDefault="000B7BDE" w:rsidP="000B7BDE">
      <w:pPr>
        <w:pStyle w:val="enumlev1"/>
      </w:pPr>
      <w:r w:rsidRPr="006E56A1">
        <w:t>3)</w:t>
      </w:r>
      <w:r w:rsidRPr="006E56A1">
        <w:tab/>
        <w:t>poursuite ou élargissement de l'appui fourni par le Bureau régional à Bangkok;</w:t>
      </w:r>
    </w:p>
    <w:p w14:paraId="010D6070" w14:textId="77777777" w:rsidR="000B7BDE" w:rsidRPr="006E56A1" w:rsidRDefault="000B7BDE" w:rsidP="000B7BDE">
      <w:pPr>
        <w:pStyle w:val="enumlev1"/>
      </w:pPr>
      <w:r w:rsidRPr="006E56A1">
        <w:t>4)</w:t>
      </w:r>
      <w:r w:rsidRPr="006E56A1">
        <w:tab/>
        <w:t>création d'un bureau de zone fonctionnant selon un système de rotation dans le Pacifique; et</w:t>
      </w:r>
    </w:p>
    <w:p w14:paraId="79396B85" w14:textId="77777777" w:rsidR="000B7BDE" w:rsidRPr="006E56A1" w:rsidRDefault="000B7BDE" w:rsidP="000B7BDE">
      <w:pPr>
        <w:pStyle w:val="enumlev1"/>
      </w:pPr>
      <w:r w:rsidRPr="006E56A1">
        <w:t>5)</w:t>
      </w:r>
      <w:r w:rsidRPr="006E56A1">
        <w:tab/>
        <w:t>hébergement d'un bureau de zone de l'UIT par une organisation sous-régionale, comme le Secrétariat du Forum des îles du Pacifique (Pacific Islands Forum Secretariat, PIFS) ou la Communauté du Pacifique (CPS).</w:t>
      </w:r>
    </w:p>
    <w:p w14:paraId="2ADECE6C" w14:textId="77777777" w:rsidR="000B7BDE" w:rsidRPr="006E56A1" w:rsidRDefault="000B7BDE" w:rsidP="000B7BDE">
      <w:r w:rsidRPr="006E56A1">
        <w:t>À la suite de ces consultations, deux options ont été retenues pour une analyse de faisabilité détaillée:</w:t>
      </w:r>
    </w:p>
    <w:p w14:paraId="40A1C30D" w14:textId="77777777" w:rsidR="000B7BDE" w:rsidRPr="006E56A1" w:rsidRDefault="000B7BDE" w:rsidP="000B7BDE">
      <w:pPr>
        <w:pStyle w:val="enumlev1"/>
      </w:pPr>
      <w:r w:rsidRPr="006E56A1">
        <w:t>•</w:t>
      </w:r>
      <w:r w:rsidRPr="006E56A1">
        <w:tab/>
        <w:t>un modèle de bureau de zone dans un seul pays; et</w:t>
      </w:r>
    </w:p>
    <w:p w14:paraId="18C49DF2" w14:textId="77777777" w:rsidR="000B7BDE" w:rsidRPr="006E56A1" w:rsidRDefault="000B7BDE" w:rsidP="000B7BDE">
      <w:pPr>
        <w:pStyle w:val="enumlev1"/>
      </w:pPr>
      <w:r w:rsidRPr="006E56A1">
        <w:t>•</w:t>
      </w:r>
      <w:r w:rsidRPr="006E56A1">
        <w:tab/>
        <w:t>une présence de l'UIT répartie entre plusieurs pays du Pacifique.</w:t>
      </w:r>
    </w:p>
    <w:p w14:paraId="49EC06AF" w14:textId="77777777" w:rsidR="000B7BDE" w:rsidRPr="006E56A1" w:rsidRDefault="000B7BDE" w:rsidP="000B7BDE">
      <w:r w:rsidRPr="006E56A1">
        <w:t>Ces options ont ensuite été évaluées par rapport aux critères adoptés par le Conseil de l'UIT à sa session de 2024 pour la future présence régionale, à savoir la pertinence, l'exclusivité, la faisabilité, la sécurité, la proximité et l'accessibilité. Il ressort de l'évaluation que cinq pays, à savoir Fidji, les États fédérés de Micronésie, la Papouasie-Nouvelle-Guinée, le Samoa et les Tonga, remplissent les critères fixés et feront l'objet d'un examen complémentaire après avoir été considérés comme des pays d'accueil envisageables.</w:t>
      </w:r>
    </w:p>
    <w:p w14:paraId="7EC94322" w14:textId="77777777" w:rsidR="000B7BDE" w:rsidRPr="006E56A1" w:rsidRDefault="000B7BDE" w:rsidP="000B7BDE">
      <w:r w:rsidRPr="006E56A1">
        <w:t>L'étude de faisabilité a traduit les deux options retenues en modèles d'établissement spécifiques à des fins d'analyse comparative. Selon l'Option 1, un seul pays du Pacifique accueillerait le bureau de zone de l'UIT et tout le personnel. Aux fins de l'établissement des coûts, ce modèle se base sur une structure des effectifs comprenant un fonctionnaire P5, un fonctionnaire P3 et un fonctionnaire G5. Selon l'Option 2, le personnel de l'UIT serait réparti entre plusieurs pays du Pacifique et agirait de la même manière qu'un réseau placé sous la direction du Chef du Bureau de zone.</w:t>
      </w:r>
    </w:p>
    <w:p w14:paraId="0A216E35" w14:textId="77777777" w:rsidR="000B7BDE" w:rsidRPr="006E56A1" w:rsidRDefault="000B7BDE" w:rsidP="000B7BDE">
      <w:r w:rsidRPr="006E56A1">
        <w:t>Il est également noté dans l'étude que, même si l'hébergement d'un bureau de l'UIT par une organisation sous-régionale comme le PIFS ou la CPS ne faisait pas partie des deux options retenues initialement à la suite des consultations tenues à Fidji en 2025, plusieurs membres ont demandé plus tard d'évaluer la possibilité que le PIFS puisse constituer une solution d'accueil, compte tenu de son appui en faveur de la mise en œuvre de la Déclaration de Lagatoi.</w:t>
      </w:r>
    </w:p>
    <w:p w14:paraId="3F8DAEA9" w14:textId="77777777" w:rsidR="000B7BDE" w:rsidRPr="006E56A1" w:rsidRDefault="000B7BDE" w:rsidP="000B7BDE">
      <w:r w:rsidRPr="006E56A1">
        <w:t>L'étude de faisabilité prévoit donc une base structurée pour examiner la manière dont l'UIT peut renforcer sa présence dans le Pacifique en respectant son mandat, en répondant aux besoins des PEID du Pacifique et en s'appuyant sur des données tant qualitatives que quantitatives.</w:t>
      </w:r>
    </w:p>
    <w:p w14:paraId="0A1F7F0B" w14:textId="77777777" w:rsidR="002339EC" w:rsidRPr="006E56A1" w:rsidRDefault="000B7BDE" w:rsidP="002339EC">
      <w:r w:rsidRPr="006E56A1">
        <w:t xml:space="preserve">Lors de la mise au point de cette étude, le Secrétariat a également pris en considération les initiatives de réforme en cours des Nations Unies, notamment l'initiative ONU80, la reconfiguration éventuelle des équipes de pays et multipays des Nations Unies, le renforcement de la coordination régionale des programmes des Nations Unies et l'utilisation accrue des ressources communes des Nations Unies, ainsi que les conclusions de l'examen de la présence </w:t>
      </w:r>
      <w:r w:rsidR="002339EC" w:rsidRPr="006E56A1">
        <w:br w:type="page"/>
      </w:r>
    </w:p>
    <w:p w14:paraId="39726735" w14:textId="63CEA868" w:rsidR="000B7BDE" w:rsidRPr="006E56A1" w:rsidRDefault="000B7BDE" w:rsidP="002339EC">
      <w:r w:rsidRPr="006E56A1">
        <w:lastRenderedPageBreak/>
        <w:t>régionale de l'UIT. Le bureau de zone proposé serait donc créé de manière à maximiser l'efficacité opérationnelle, à tirer parti des partenariats existants et des institutions régionales, et à éviter les doubles emplois, tout en renforçant l'appui aux États Membres du Pacifique.</w:t>
      </w:r>
    </w:p>
    <w:p w14:paraId="74EE1F9D" w14:textId="77777777" w:rsidR="000B7BDE" w:rsidRPr="006E56A1" w:rsidRDefault="000B7BDE" w:rsidP="000B7BDE">
      <w:pPr>
        <w:pStyle w:val="Headingi"/>
      </w:pPr>
      <w:r w:rsidRPr="006E56A1">
        <w:t>Analyse détaillée des deux options</w:t>
      </w:r>
    </w:p>
    <w:p w14:paraId="6E3FAF30" w14:textId="759B09D5" w:rsidR="000B7BDE" w:rsidRPr="006E56A1" w:rsidRDefault="000B7BDE" w:rsidP="000B7BDE">
      <w:r w:rsidRPr="006E56A1">
        <w:t>Les options retenues ont été analysées plus en détail à l'aide de trois modèles, comme illustré ci</w:t>
      </w:r>
      <w:r w:rsidR="005D37DA" w:rsidRPr="006E56A1">
        <w:noBreakHyphen/>
      </w:r>
      <w:r w:rsidRPr="006E56A1">
        <w:t>dessous:</w:t>
      </w:r>
    </w:p>
    <w:p w14:paraId="1ED317B8" w14:textId="5773DF49" w:rsidR="005D37DA" w:rsidRPr="006E56A1" w:rsidRDefault="005D37DA" w:rsidP="005D37DA">
      <w:pPr>
        <w:pStyle w:val="Figure"/>
        <w:rPr>
          <w:lang w:val="fr-FR"/>
        </w:rPr>
      </w:pPr>
      <w:r w:rsidRPr="006E56A1">
        <w:rPr>
          <w:lang w:val="fr-FR"/>
        </w:rPr>
        <w:drawing>
          <wp:inline distT="0" distB="0" distL="0" distR="0" wp14:anchorId="1349DC92" wp14:editId="4520910E">
            <wp:extent cx="6124575" cy="3886835"/>
            <wp:effectExtent l="0" t="0" r="9525" b="0"/>
            <wp:docPr id="1419923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23160" name=""/>
                    <pic:cNvPicPr/>
                  </pic:nvPicPr>
                  <pic:blipFill>
                    <a:blip r:embed="rId47"/>
                    <a:stretch>
                      <a:fillRect/>
                    </a:stretch>
                  </pic:blipFill>
                  <pic:spPr>
                    <a:xfrm>
                      <a:off x="0" y="0"/>
                      <a:ext cx="6124575" cy="3886835"/>
                    </a:xfrm>
                    <a:prstGeom prst="rect">
                      <a:avLst/>
                    </a:prstGeom>
                  </pic:spPr>
                </pic:pic>
              </a:graphicData>
            </a:graphic>
          </wp:inline>
        </w:drawing>
      </w:r>
    </w:p>
    <w:p w14:paraId="1176CD0F" w14:textId="77777777" w:rsidR="000B7BDE" w:rsidRPr="006E56A1" w:rsidRDefault="000B7BDE" w:rsidP="000B7BDE">
      <w:pPr>
        <w:pStyle w:val="Figurelegend"/>
        <w:rPr>
          <w:lang w:val="fr-FR"/>
        </w:rPr>
      </w:pPr>
      <w:r w:rsidRPr="006E56A1">
        <w:rPr>
          <w:lang w:val="fr-FR"/>
        </w:rPr>
        <w:t>Source: étude de faisabilité sur la présence régionale de l'UIT dans le Pacifique.</w:t>
      </w:r>
    </w:p>
    <w:p w14:paraId="15A5713F" w14:textId="77777777" w:rsidR="000B7BDE" w:rsidRPr="006E56A1" w:rsidRDefault="000B7BDE" w:rsidP="000B7BDE">
      <w:r w:rsidRPr="006E56A1">
        <w:t>Lors de la réunion ministérielle sur les TIC du Forum des îles du Pacifique tenue en juillet 2026, Fidji et la Papouasie-Nouvelle-Guinée ont fait part de leur intérêt en vue d'accueillir le bureau de zone de l'UIT qu'il est proposé de créer. Lors de consultations ultérieures, et dans le souci de parvenir à un consensus régional, les deux pays se sont déclarés favorables à l'option selon laquelle le PIFS accueillerait le bureau. Depuis lors, le PIFS a fait progresser la proposition dans le cadre des processus pertinents du Forum et est actuellement engagé dans le processus visant à obtenir l'approbation ministérielle définitive pour pouvoir accueillir le Bureau de zone de l'UIT pour la région Pacifique. Il est prévu que l'UIT reçoive une confirmation officielle à l'issue du processus.</w:t>
      </w:r>
    </w:p>
    <w:p w14:paraId="06F64B97" w14:textId="77777777" w:rsidR="000B7BDE" w:rsidRPr="006E56A1" w:rsidRDefault="000B7BDE" w:rsidP="000B7BDE">
      <w:r w:rsidRPr="006E56A1">
        <w:t xml:space="preserve">Par conséquent, pour les besoins du présent plan de création, une analyse complémentaire est effectuée en ce qui concerne l'Option 1c, qui consiste en la création d'un bureau de zone de l'UIT à Suva (Fidji) hébergé par le PIFS. L'évaluation de Fidji par rapport aux critères adoptés par le Conseil à sa session de 2024 concernant la création de futurs bureaux régionaux et bureaux de zone (Document </w:t>
      </w:r>
      <w:hyperlink r:id="rId48" w:history="1">
        <w:r w:rsidRPr="006E56A1">
          <w:rPr>
            <w:rStyle w:val="Hyperlink"/>
          </w:rPr>
          <w:t>C24/66</w:t>
        </w:r>
      </w:hyperlink>
      <w:r w:rsidRPr="006E56A1">
        <w:t xml:space="preserve">) est reproduite dans </w:t>
      </w:r>
      <w:hyperlink w:anchor="Annex1" w:history="1">
        <w:r w:rsidRPr="006E56A1">
          <w:rPr>
            <w:rStyle w:val="Hyperlink"/>
            <w:color w:val="auto"/>
            <w:u w:val="none"/>
          </w:rPr>
          <w:t>l'</w:t>
        </w:r>
        <w:r w:rsidRPr="006E56A1">
          <w:rPr>
            <w:rStyle w:val="Hyperlink"/>
          </w:rPr>
          <w:t>Annexe 1</w:t>
        </w:r>
      </w:hyperlink>
      <w:r w:rsidRPr="006E56A1">
        <w:t>.</w:t>
      </w:r>
      <w:hyperlink r:id="rId49" w:history="1"/>
      <w:hyperlink w:anchor="Annex1" w:history="1"/>
    </w:p>
    <w:p w14:paraId="31BEA132" w14:textId="77777777" w:rsidR="000B7BDE" w:rsidRPr="006E56A1" w:rsidRDefault="000B7BDE" w:rsidP="000B7BDE">
      <w:pPr>
        <w:pStyle w:val="Headingi"/>
      </w:pPr>
      <w:r w:rsidRPr="006E56A1">
        <w:lastRenderedPageBreak/>
        <w:t>Considérations liées aux ressources humaines</w:t>
      </w:r>
    </w:p>
    <w:p w14:paraId="793ABD9F" w14:textId="216B44D5" w:rsidR="000B7BDE" w:rsidRPr="006E56A1" w:rsidRDefault="000B7BDE" w:rsidP="000B7BDE">
      <w:r w:rsidRPr="006E56A1">
        <w:t>Conformément à la demande du Conseil, le Secrétariat a examiné la structure des effectifs et les dispositions budgétaires du Bureau de zone de l'UIT pour l'Asie du Sud et du Centre d'innovation lors de l'élaboration du plan de création d'un bureau de zone pour le Pacifique. Le Bureau de zone pour l'Asie du Sud fonctionne avec un effectif composé d'un fonctionnaire P5, d'un fonctionnaire</w:t>
      </w:r>
      <w:r w:rsidR="004A6A26" w:rsidRPr="006E56A1">
        <w:t> </w:t>
      </w:r>
      <w:r w:rsidRPr="006E56A1">
        <w:t>P3 et d'un fonctionnaire G5 et est financé en totalité par le Gouvernement indien.</w:t>
      </w:r>
    </w:p>
    <w:p w14:paraId="5D898162" w14:textId="77777777" w:rsidR="000B7BDE" w:rsidRPr="006E56A1" w:rsidRDefault="000B7BDE" w:rsidP="000B7BDE">
      <w:r w:rsidRPr="006E56A1">
        <w:t>Pour l'heure, un appui aux pays du Pacifique est fourni via un projet financé par le Gouvernement de l'Australie, dans le cadre duquel un fonctionnaire P5, un fonctionnaire G5 et deux spécialistes titulaires d'un contrat d'engagement spécial (SSA) sont affectés à la région. Les pays bénéficiaires ont largement reconnu l'importance de ces ressources supplémentaires et de la contribution qu'elles apportent pour répondre à des priorités propres aux pays du Pacifique et adapter l'assistance de l'UIT aux besoins de ces derniers. Avant que le projet n'existe, l'attention accordée aux pays du Pacifique se résumait à 50% du temps de travail d'un fonctionnaire P4 du Bureau régional de Bangkok. Cependant, compte tenu de la distance et des décalages horaires, cette situation était jugée insatisfaisante et a débouché sur l'élaboration dudit projet.</w:t>
      </w:r>
    </w:p>
    <w:p w14:paraId="7F3579EB" w14:textId="77777777" w:rsidR="000B7BDE" w:rsidRPr="006E56A1" w:rsidRDefault="000B7BDE" w:rsidP="000B7BDE">
      <w:r w:rsidRPr="006E56A1">
        <w:t>La création d'un bureau de zone de l'UIT pour la région Pacifique nécessiterait des ressources en personnel dédiées. Aux fins de la planification et de l'établissement des coûts, l'étude de faisabilité repose sur l'hypothèse d'une structure des effectifs comprenant un chef de bureau P5, un administrateur P3 et un assistant administratif G5. L'Option 1c prévoit que tout le personnel serait installé au sein de l'entité hôte, et favorise ainsi une gestion et une coordination intégrées.</w:t>
      </w:r>
    </w:p>
    <w:p w14:paraId="41932D19" w14:textId="77777777" w:rsidR="000B7BDE" w:rsidRPr="006E56A1" w:rsidRDefault="000B7BDE" w:rsidP="000B7BDE">
      <w:r w:rsidRPr="006E56A1">
        <w:t>La dotation en personnel pourrait prendre les formes suivantes: recrutement effectué directement par l'UIT; détachement de personnel par les régulateurs des télécommunications, les autorités gouvernementales, les organisations régionales et d'autres institutions compétentes; et détachement d'experts et de personnel spécialisé.</w:t>
      </w:r>
    </w:p>
    <w:p w14:paraId="4635F452" w14:textId="77777777" w:rsidR="000B7BDE" w:rsidRPr="006E56A1" w:rsidRDefault="000B7BDE" w:rsidP="000B7BDE">
      <w:pPr>
        <w:pStyle w:val="Headingi"/>
      </w:pPr>
      <w:r w:rsidRPr="006E56A1">
        <w:t>Considérations juridiques</w:t>
      </w:r>
    </w:p>
    <w:p w14:paraId="1EEAB845" w14:textId="77777777" w:rsidR="000B7BDE" w:rsidRPr="006E56A1" w:rsidRDefault="000B7BDE" w:rsidP="000B7BDE">
      <w:bookmarkStart w:id="7" w:name="_Toc236855360"/>
      <w:r w:rsidRPr="006E56A1">
        <w:t>La création d'un bureau de zone de l'UIT à Suva (Fidji), accueilli par le PIFS, nécessiterait de négocier et conclure deux instruments juridiques distincts:</w:t>
      </w:r>
    </w:p>
    <w:p w14:paraId="2DABF7AC" w14:textId="77777777" w:rsidR="000B7BDE" w:rsidRPr="006E56A1" w:rsidRDefault="000B7BDE" w:rsidP="000B7BDE">
      <w:pPr>
        <w:pStyle w:val="enumlev1"/>
      </w:pPr>
      <w:r w:rsidRPr="006E56A1">
        <w:t>1)</w:t>
      </w:r>
      <w:r w:rsidRPr="006E56A1">
        <w:tab/>
        <w:t>Un accord de pays hôte avec le Gouvernement de Fidji portant, entre autres, sur les privilèges et immunités accordés au bureau de zone de l'UIT et à ses fonctionnaires, ainsi que sur les installations et l'appui que le Gouvernement devra fournir. À cet égard, Fidji est partie à la Convention sur les privilèges et immunités des institutions spécialisées du 21 novembre 1947.</w:t>
      </w:r>
    </w:p>
    <w:p w14:paraId="39495BB3" w14:textId="77777777" w:rsidR="000B7BDE" w:rsidRPr="006E56A1" w:rsidRDefault="000B7BDE" w:rsidP="000B7BDE">
      <w:pPr>
        <w:pStyle w:val="enumlev1"/>
      </w:pPr>
      <w:r w:rsidRPr="006E56A1">
        <w:t>2)</w:t>
      </w:r>
      <w:r w:rsidRPr="006E56A1">
        <w:tab/>
        <w:t>Un accord d'hébergement avec le PIFS définissant les dispositions opérationnelles et administratives régissant la présence du bureau de zone de l'UIT dans les locaux du PIFS.</w:t>
      </w:r>
    </w:p>
    <w:p w14:paraId="4E4FB02D" w14:textId="77777777" w:rsidR="000B7BDE" w:rsidRPr="006E56A1" w:rsidRDefault="000B7BDE" w:rsidP="000B7BDE">
      <w:pPr>
        <w:pStyle w:val="Headingi"/>
      </w:pPr>
      <w:r w:rsidRPr="006E56A1">
        <w:t>Considérations financières</w:t>
      </w:r>
    </w:p>
    <w:p w14:paraId="6226997E" w14:textId="77777777" w:rsidR="000B7BDE" w:rsidRPr="006E56A1" w:rsidRDefault="000B7BDE" w:rsidP="000B7BDE">
      <w:r w:rsidRPr="006E56A1">
        <w:t>La création du bureau de zone pour le Pacifique entraînerait des dépenses initiales et récurrentes liées au personnel, à l'hébergement des bureaux, aux activités, aux voyages, aux technologies de l'information, à la sécurité et à l'appui administratif. Des discussions sont en cours avec le PIFS/Fidji concernant la prise en charge des dépenses autres que de personnel, habituellement assurée par le pays hôte. À ce stade, aucune source de financement n'a été trouvée pour couvrir les dépenses de personnel et les dépenses autres que de personnel. Il sera donc nécessaire de veiller à ce que des fonds soient disponibles dans la durée, et notamment d'étudier les solutions possibles pour couvrir les dépenses de personnel.</w:t>
      </w:r>
    </w:p>
    <w:p w14:paraId="7DDB6D3B" w14:textId="77777777" w:rsidR="000B7BDE" w:rsidRPr="006E56A1" w:rsidRDefault="000B7BDE" w:rsidP="000B7BDE">
      <w:r w:rsidRPr="006E56A1">
        <w:lastRenderedPageBreak/>
        <w:t>L'hébergement du bureau dans les locaux du PIFS pourrait permettre de gagner en efficacité grâce au partage des installations et des services d'appui, bien que les dispositions financières et administratives spécifiques doivent faire l'objet d'un complément d'examen et d'un accord entre les parties.</w:t>
      </w:r>
    </w:p>
    <w:p w14:paraId="65FA774D" w14:textId="77777777" w:rsidR="000B7BDE" w:rsidRPr="006E56A1" w:rsidRDefault="000B7BDE" w:rsidP="000B7BDE">
      <w:r w:rsidRPr="006E56A1">
        <w:t>Au cours des consultations menées dans le cadre de l'élaboration du présent rapport, les parties prenantes ont reconnu que l'examen de la création d'un bureau de zone pour le Pacifique nécessiterait également de réfléchir aux dispositions à prendre pour assurer son fonctionnement durable. Plusieurs options ont été étudiées, compte tenu de la nécessité de disposer de ressources prévisibles et adéquates pour soutenir les activités du Bureau au fil du temps.</w:t>
      </w:r>
    </w:p>
    <w:p w14:paraId="54BFC360" w14:textId="77777777" w:rsidR="000B7BDE" w:rsidRPr="006E56A1" w:rsidRDefault="000B7BDE" w:rsidP="000B7BDE">
      <w:r w:rsidRPr="006E56A1">
        <w:t>Parmi les options examinées, on peut citer les contributions financières volontaires des États Membres et des partenaires intéressés, ainsi que la mise à disposition de personnel dans le cadre d'accords de détachement avec les régulateurs des télécommunications, les autorités gouvernementales et d'autres institutions compétentes. Les discussions ont également fait ressortir la possibilité, pour les États Membres, de fournir un appui financier supplémentaire au moyen d'une contribution directe au budget ordinaire, comme c'est le cas pour le Bureau de zone de l'Asie du Sud. Aucune source de financement définitive n'a été trouvée.</w:t>
      </w:r>
    </w:p>
    <w:p w14:paraId="5BB7241F" w14:textId="77777777" w:rsidR="000B7BDE" w:rsidRPr="006E56A1" w:rsidRDefault="000B7BDE" w:rsidP="000B7BDE">
      <w:r w:rsidRPr="006E56A1">
        <w:t>L'étude de faisabilité recense un ensemble de mécanismes de mise en œuvre possibles qui pourraient appuyer la création et le fonctionnement d'un bureau de zone de l'UIT dans le Pacifique. Ces options donnent la possibilité aux États Membres de déterminer l'approche la plus appropriée, compte tenu des priorités régionales, des ressources disponibles et des considérations relatives à la durabilité à long terme. Ensemble, elles présentent des pistes possibles pour renforcer et pérenniser la présence de l'UIT dans le Pacifique.</w:t>
      </w:r>
    </w:p>
    <w:p w14:paraId="1BF1A8D5" w14:textId="77777777" w:rsidR="000B7BDE" w:rsidRPr="006E56A1" w:rsidRDefault="000B7BDE" w:rsidP="000B7BDE">
      <w:r w:rsidRPr="006E56A1">
        <w:t>On trouvera ci-dessous un résumé des incidences financières pour la première année, puis des incidences pour les trois années suivantes.</w:t>
      </w:r>
    </w:p>
    <w:p w14:paraId="20E6B89D" w14:textId="77777777" w:rsidR="000B7BDE" w:rsidRPr="006E56A1" w:rsidRDefault="000B7BDE" w:rsidP="000439C7">
      <w:pPr>
        <w:pStyle w:val="Tabletitle"/>
        <w:spacing w:before="120"/>
      </w:pPr>
      <w:r w:rsidRPr="006E56A1">
        <w:rPr>
          <w:bCs/>
        </w:rPr>
        <w:t>Année 1</w:t>
      </w:r>
    </w:p>
    <w:tbl>
      <w:tblPr>
        <w:tblStyle w:val="TableGrid"/>
        <w:tblW w:w="5000" w:type="pct"/>
        <w:jc w:val="center"/>
        <w:tblLayout w:type="fixed"/>
        <w:tblCellMar>
          <w:left w:w="57" w:type="dxa"/>
          <w:right w:w="57" w:type="dxa"/>
        </w:tblCellMar>
        <w:tblLook w:val="04A0" w:firstRow="1" w:lastRow="0" w:firstColumn="1" w:lastColumn="0" w:noHBand="0" w:noVBand="1"/>
      </w:tblPr>
      <w:tblGrid>
        <w:gridCol w:w="1352"/>
        <w:gridCol w:w="1163"/>
        <w:gridCol w:w="2021"/>
        <w:gridCol w:w="2212"/>
        <w:gridCol w:w="2887"/>
      </w:tblGrid>
      <w:tr w:rsidR="000B7BDE" w:rsidRPr="006E56A1" w14:paraId="6FE8283C" w14:textId="77777777" w:rsidTr="004A63F7">
        <w:trPr>
          <w:cantSplit/>
          <w:trHeight w:val="300"/>
          <w:jc w:val="center"/>
        </w:trPr>
        <w:tc>
          <w:tcPr>
            <w:tcW w:w="701" w:type="pct"/>
          </w:tcPr>
          <w:p w14:paraId="4E453294" w14:textId="77777777" w:rsidR="000B7BDE" w:rsidRPr="006E56A1" w:rsidRDefault="000B7BDE" w:rsidP="004A63F7">
            <w:pPr>
              <w:pStyle w:val="Tablehead"/>
            </w:pPr>
            <w:r w:rsidRPr="006E56A1">
              <w:rPr>
                <w:bCs/>
                <w:color w:val="000000"/>
              </w:rPr>
              <w:t>Option d'accueil</w:t>
            </w:r>
          </w:p>
        </w:tc>
        <w:tc>
          <w:tcPr>
            <w:tcW w:w="603" w:type="pct"/>
          </w:tcPr>
          <w:p w14:paraId="4FB245E9" w14:textId="77777777" w:rsidR="000B7BDE" w:rsidRPr="006E56A1" w:rsidRDefault="000B7BDE" w:rsidP="004A63F7">
            <w:pPr>
              <w:pStyle w:val="Tablehead"/>
            </w:pPr>
            <w:r w:rsidRPr="006E56A1">
              <w:rPr>
                <w:bCs/>
                <w:color w:val="000000"/>
              </w:rPr>
              <w:t>Effectifs</w:t>
            </w:r>
          </w:p>
        </w:tc>
        <w:tc>
          <w:tcPr>
            <w:tcW w:w="1049" w:type="pct"/>
          </w:tcPr>
          <w:p w14:paraId="0530D5F0" w14:textId="77777777" w:rsidR="000B7BDE" w:rsidRPr="006E56A1" w:rsidRDefault="000B7BDE" w:rsidP="004A63F7">
            <w:pPr>
              <w:pStyle w:val="Tablehead"/>
            </w:pPr>
            <w:r w:rsidRPr="006E56A1">
              <w:rPr>
                <w:bCs/>
                <w:color w:val="000000"/>
              </w:rPr>
              <w:t>Dépenses annuelles de personnel (CHF)</w:t>
            </w:r>
          </w:p>
        </w:tc>
        <w:tc>
          <w:tcPr>
            <w:tcW w:w="1148" w:type="pct"/>
          </w:tcPr>
          <w:p w14:paraId="3D8C06F1" w14:textId="77777777" w:rsidR="000B7BDE" w:rsidRPr="006E56A1" w:rsidRDefault="000B7BDE" w:rsidP="004A63F7">
            <w:pPr>
              <w:pStyle w:val="Tablehead"/>
            </w:pPr>
            <w:r w:rsidRPr="006E56A1">
              <w:rPr>
                <w:bCs/>
                <w:color w:val="000000"/>
              </w:rPr>
              <w:t>Dépenses autres que les dépenses de personnel en année 1 (CHF)</w:t>
            </w:r>
          </w:p>
        </w:tc>
        <w:tc>
          <w:tcPr>
            <w:tcW w:w="1498" w:type="pct"/>
          </w:tcPr>
          <w:p w14:paraId="3FF33294" w14:textId="77777777" w:rsidR="000B7BDE" w:rsidRPr="006E56A1" w:rsidRDefault="000B7BDE" w:rsidP="004A63F7">
            <w:pPr>
              <w:pStyle w:val="Tablehead"/>
            </w:pPr>
            <w:r w:rsidRPr="006E56A1">
              <w:rPr>
                <w:bCs/>
                <w:color w:val="000000"/>
              </w:rPr>
              <w:t>Coût total pour l'année 1 (dépenses de personnel + dépenses autres que de personnel) (CHF)</w:t>
            </w:r>
          </w:p>
        </w:tc>
      </w:tr>
      <w:tr w:rsidR="000B7BDE" w:rsidRPr="006E56A1" w14:paraId="78D6B450" w14:textId="77777777" w:rsidTr="004A63F7">
        <w:trPr>
          <w:cantSplit/>
          <w:trHeight w:val="300"/>
          <w:jc w:val="center"/>
        </w:trPr>
        <w:tc>
          <w:tcPr>
            <w:tcW w:w="701" w:type="pct"/>
          </w:tcPr>
          <w:p w14:paraId="385C8926" w14:textId="77777777" w:rsidR="000B7BDE" w:rsidRPr="006E56A1" w:rsidRDefault="000B7BDE" w:rsidP="004A63F7">
            <w:pPr>
              <w:pStyle w:val="Tabletext"/>
              <w:jc w:val="center"/>
            </w:pPr>
            <w:r w:rsidRPr="006E56A1">
              <w:rPr>
                <w:color w:val="000000"/>
              </w:rPr>
              <w:t>1c</w:t>
            </w:r>
          </w:p>
        </w:tc>
        <w:tc>
          <w:tcPr>
            <w:tcW w:w="603" w:type="pct"/>
          </w:tcPr>
          <w:p w14:paraId="51063A50" w14:textId="77777777" w:rsidR="000B7BDE" w:rsidRPr="006E56A1" w:rsidRDefault="000B7BDE" w:rsidP="004A63F7">
            <w:pPr>
              <w:pStyle w:val="Tabletext"/>
              <w:jc w:val="center"/>
            </w:pPr>
            <w:r w:rsidRPr="006E56A1">
              <w:rPr>
                <w:color w:val="000000"/>
              </w:rPr>
              <w:t>3</w:t>
            </w:r>
          </w:p>
        </w:tc>
        <w:tc>
          <w:tcPr>
            <w:tcW w:w="1049" w:type="pct"/>
          </w:tcPr>
          <w:p w14:paraId="76F80226" w14:textId="77777777" w:rsidR="000B7BDE" w:rsidRPr="006E56A1" w:rsidRDefault="000B7BDE" w:rsidP="004A63F7">
            <w:pPr>
              <w:pStyle w:val="Tabletext"/>
              <w:jc w:val="right"/>
            </w:pPr>
            <w:r w:rsidRPr="006E56A1">
              <w:rPr>
                <w:color w:val="000000"/>
              </w:rPr>
              <w:t>381 077</w:t>
            </w:r>
          </w:p>
        </w:tc>
        <w:tc>
          <w:tcPr>
            <w:tcW w:w="1148" w:type="pct"/>
          </w:tcPr>
          <w:p w14:paraId="23776C02" w14:textId="77777777" w:rsidR="000B7BDE" w:rsidRPr="006E56A1" w:rsidRDefault="000B7BDE" w:rsidP="004A63F7">
            <w:pPr>
              <w:pStyle w:val="Tabletext"/>
              <w:jc w:val="right"/>
            </w:pPr>
            <w:r w:rsidRPr="006E56A1">
              <w:rPr>
                <w:color w:val="000000"/>
              </w:rPr>
              <w:t>140 729</w:t>
            </w:r>
          </w:p>
        </w:tc>
        <w:tc>
          <w:tcPr>
            <w:tcW w:w="1498" w:type="pct"/>
          </w:tcPr>
          <w:p w14:paraId="37775A79" w14:textId="7A0F2907" w:rsidR="000B7BDE" w:rsidRPr="006E56A1" w:rsidRDefault="000B7BDE" w:rsidP="004A63F7">
            <w:pPr>
              <w:pStyle w:val="Tabletext"/>
              <w:jc w:val="right"/>
            </w:pPr>
            <w:r w:rsidRPr="006E56A1">
              <w:rPr>
                <w:color w:val="000000"/>
              </w:rPr>
              <w:t>521 806</w:t>
            </w:r>
          </w:p>
        </w:tc>
      </w:tr>
    </w:tbl>
    <w:p w14:paraId="5FD05187" w14:textId="77777777" w:rsidR="000B7BDE" w:rsidRPr="006E56A1" w:rsidRDefault="000B7BDE" w:rsidP="000B7BDE">
      <w:pPr>
        <w:pStyle w:val="Tablefin"/>
        <w:rPr>
          <w:lang w:val="fr-FR"/>
        </w:rPr>
      </w:pPr>
    </w:p>
    <w:p w14:paraId="55D49A9B" w14:textId="77777777" w:rsidR="000B7BDE" w:rsidRPr="006E56A1" w:rsidRDefault="000B7BDE" w:rsidP="000B7BDE">
      <w:pPr>
        <w:pStyle w:val="Tabletitle"/>
      </w:pPr>
      <w:r w:rsidRPr="006E56A1">
        <w:rPr>
          <w:bCs/>
        </w:rPr>
        <w:t>Année 2</w:t>
      </w:r>
    </w:p>
    <w:tbl>
      <w:tblPr>
        <w:tblStyle w:val="TableGrid"/>
        <w:tblW w:w="5000" w:type="pct"/>
        <w:jc w:val="center"/>
        <w:tblLayout w:type="fixed"/>
        <w:tblLook w:val="04A0" w:firstRow="1" w:lastRow="0" w:firstColumn="1" w:lastColumn="0" w:noHBand="0" w:noVBand="1"/>
      </w:tblPr>
      <w:tblGrid>
        <w:gridCol w:w="1352"/>
        <w:gridCol w:w="1163"/>
        <w:gridCol w:w="2021"/>
        <w:gridCol w:w="2212"/>
        <w:gridCol w:w="2887"/>
      </w:tblGrid>
      <w:tr w:rsidR="000B7BDE" w:rsidRPr="006E56A1" w14:paraId="7247EA28" w14:textId="77777777" w:rsidTr="004A63F7">
        <w:trPr>
          <w:trHeight w:val="300"/>
          <w:jc w:val="center"/>
        </w:trPr>
        <w:tc>
          <w:tcPr>
            <w:tcW w:w="701" w:type="pct"/>
          </w:tcPr>
          <w:p w14:paraId="583C2218" w14:textId="77777777" w:rsidR="000B7BDE" w:rsidRPr="006E56A1" w:rsidRDefault="000B7BDE" w:rsidP="004A63F7">
            <w:pPr>
              <w:pStyle w:val="Tablehead"/>
            </w:pPr>
            <w:r w:rsidRPr="006E56A1">
              <w:rPr>
                <w:bCs/>
                <w:color w:val="000000"/>
              </w:rPr>
              <w:t>Option d'accueil</w:t>
            </w:r>
          </w:p>
        </w:tc>
        <w:tc>
          <w:tcPr>
            <w:tcW w:w="603" w:type="pct"/>
          </w:tcPr>
          <w:p w14:paraId="15F4E13E" w14:textId="77777777" w:rsidR="000B7BDE" w:rsidRPr="006E56A1" w:rsidRDefault="000B7BDE" w:rsidP="004A63F7">
            <w:pPr>
              <w:pStyle w:val="Tablehead"/>
            </w:pPr>
            <w:r w:rsidRPr="006E56A1">
              <w:rPr>
                <w:bCs/>
                <w:color w:val="000000"/>
              </w:rPr>
              <w:t>Effectifs</w:t>
            </w:r>
          </w:p>
        </w:tc>
        <w:tc>
          <w:tcPr>
            <w:tcW w:w="1049" w:type="pct"/>
          </w:tcPr>
          <w:p w14:paraId="6E71B7ED" w14:textId="77777777" w:rsidR="000B7BDE" w:rsidRPr="006E56A1" w:rsidRDefault="000B7BDE" w:rsidP="004A63F7">
            <w:pPr>
              <w:pStyle w:val="Tablehead"/>
            </w:pPr>
            <w:r w:rsidRPr="006E56A1">
              <w:rPr>
                <w:bCs/>
                <w:color w:val="000000"/>
              </w:rPr>
              <w:t>Dépenses annuelles de personnel (CHF)</w:t>
            </w:r>
          </w:p>
        </w:tc>
        <w:tc>
          <w:tcPr>
            <w:tcW w:w="1148" w:type="pct"/>
          </w:tcPr>
          <w:p w14:paraId="1BA9E5FA" w14:textId="77777777" w:rsidR="000B7BDE" w:rsidRPr="006E56A1" w:rsidRDefault="000B7BDE" w:rsidP="004A63F7">
            <w:pPr>
              <w:pStyle w:val="Tablehead"/>
            </w:pPr>
            <w:r w:rsidRPr="006E56A1">
              <w:rPr>
                <w:bCs/>
                <w:color w:val="000000"/>
              </w:rPr>
              <w:t>Dépenses autres que les dépenses de personnel en année 2 (CHF)</w:t>
            </w:r>
          </w:p>
        </w:tc>
        <w:tc>
          <w:tcPr>
            <w:tcW w:w="1498" w:type="pct"/>
          </w:tcPr>
          <w:p w14:paraId="5FE86A6E" w14:textId="77777777" w:rsidR="000B7BDE" w:rsidRPr="006E56A1" w:rsidRDefault="000B7BDE" w:rsidP="004A63F7">
            <w:pPr>
              <w:pStyle w:val="Tablehead"/>
            </w:pPr>
            <w:r w:rsidRPr="006E56A1">
              <w:rPr>
                <w:bCs/>
                <w:color w:val="000000"/>
              </w:rPr>
              <w:t>Coût total pour l'année 2 (dépenses de personnel + dépenses autres que de personnel) (CHF)</w:t>
            </w:r>
          </w:p>
        </w:tc>
      </w:tr>
      <w:tr w:rsidR="000B7BDE" w:rsidRPr="006E56A1" w14:paraId="7F2B6879" w14:textId="77777777" w:rsidTr="004A63F7">
        <w:trPr>
          <w:trHeight w:val="300"/>
          <w:jc w:val="center"/>
        </w:trPr>
        <w:tc>
          <w:tcPr>
            <w:tcW w:w="701" w:type="pct"/>
          </w:tcPr>
          <w:p w14:paraId="4BEEE576" w14:textId="77777777" w:rsidR="000B7BDE" w:rsidRPr="006E56A1" w:rsidRDefault="000B7BDE" w:rsidP="004A63F7">
            <w:pPr>
              <w:pStyle w:val="Tabletext"/>
              <w:jc w:val="center"/>
            </w:pPr>
            <w:r w:rsidRPr="006E56A1">
              <w:rPr>
                <w:color w:val="000000"/>
              </w:rPr>
              <w:t>1c</w:t>
            </w:r>
          </w:p>
        </w:tc>
        <w:tc>
          <w:tcPr>
            <w:tcW w:w="603" w:type="pct"/>
          </w:tcPr>
          <w:p w14:paraId="26E5AD1F" w14:textId="77777777" w:rsidR="000B7BDE" w:rsidRPr="006E56A1" w:rsidRDefault="000B7BDE" w:rsidP="004A63F7">
            <w:pPr>
              <w:pStyle w:val="Tabletext"/>
              <w:jc w:val="center"/>
            </w:pPr>
            <w:r w:rsidRPr="006E56A1">
              <w:rPr>
                <w:color w:val="000000"/>
              </w:rPr>
              <w:t>3</w:t>
            </w:r>
          </w:p>
        </w:tc>
        <w:tc>
          <w:tcPr>
            <w:tcW w:w="1049" w:type="pct"/>
          </w:tcPr>
          <w:p w14:paraId="542F3C27" w14:textId="77777777" w:rsidR="000B7BDE" w:rsidRPr="006E56A1" w:rsidRDefault="000B7BDE" w:rsidP="004A63F7">
            <w:pPr>
              <w:pStyle w:val="Tabletext"/>
              <w:jc w:val="right"/>
            </w:pPr>
            <w:r w:rsidRPr="006E56A1">
              <w:rPr>
                <w:color w:val="000000"/>
              </w:rPr>
              <w:t>381 077</w:t>
            </w:r>
          </w:p>
        </w:tc>
        <w:tc>
          <w:tcPr>
            <w:tcW w:w="1148" w:type="pct"/>
          </w:tcPr>
          <w:p w14:paraId="33237F5B" w14:textId="77777777" w:rsidR="000B7BDE" w:rsidRPr="006E56A1" w:rsidRDefault="000B7BDE" w:rsidP="004A63F7">
            <w:pPr>
              <w:pStyle w:val="Tabletext"/>
              <w:jc w:val="right"/>
            </w:pPr>
            <w:r w:rsidRPr="006E56A1">
              <w:rPr>
                <w:color w:val="000000"/>
              </w:rPr>
              <w:t>55 000</w:t>
            </w:r>
          </w:p>
        </w:tc>
        <w:tc>
          <w:tcPr>
            <w:tcW w:w="1498" w:type="pct"/>
          </w:tcPr>
          <w:p w14:paraId="73D9A211" w14:textId="32A5EF80" w:rsidR="000B7BDE" w:rsidRPr="006E56A1" w:rsidRDefault="000B7BDE" w:rsidP="004A63F7">
            <w:pPr>
              <w:pStyle w:val="Tabletext"/>
              <w:jc w:val="right"/>
            </w:pPr>
            <w:r w:rsidRPr="006E56A1">
              <w:rPr>
                <w:color w:val="000000"/>
              </w:rPr>
              <w:t>436 077</w:t>
            </w:r>
          </w:p>
        </w:tc>
      </w:tr>
    </w:tbl>
    <w:p w14:paraId="3F53E55D" w14:textId="77777777" w:rsidR="000B7BDE" w:rsidRPr="006E56A1" w:rsidRDefault="000B7BDE" w:rsidP="000B7BDE">
      <w:pPr>
        <w:pStyle w:val="Tablefin"/>
        <w:rPr>
          <w:lang w:val="fr-FR"/>
        </w:rPr>
      </w:pPr>
    </w:p>
    <w:p w14:paraId="380A3024" w14:textId="77777777" w:rsidR="00544294" w:rsidRPr="006E56A1" w:rsidRDefault="00544294" w:rsidP="000B7BDE">
      <w:pPr>
        <w:pStyle w:val="Tabletitle"/>
        <w:rPr>
          <w:bCs/>
        </w:rPr>
      </w:pPr>
      <w:r w:rsidRPr="006E56A1">
        <w:rPr>
          <w:bCs/>
        </w:rPr>
        <w:br w:type="page"/>
      </w:r>
    </w:p>
    <w:p w14:paraId="109300EC" w14:textId="49DCD5FD" w:rsidR="000B7BDE" w:rsidRPr="006E56A1" w:rsidRDefault="000B7BDE" w:rsidP="000B7BDE">
      <w:pPr>
        <w:pStyle w:val="Tabletitle"/>
      </w:pPr>
      <w:r w:rsidRPr="006E56A1">
        <w:rPr>
          <w:bCs/>
        </w:rPr>
        <w:lastRenderedPageBreak/>
        <w:t>Année 3</w:t>
      </w:r>
    </w:p>
    <w:tbl>
      <w:tblPr>
        <w:tblStyle w:val="TableGrid"/>
        <w:tblW w:w="5000" w:type="pct"/>
        <w:jc w:val="center"/>
        <w:tblLayout w:type="fixed"/>
        <w:tblLook w:val="04A0" w:firstRow="1" w:lastRow="0" w:firstColumn="1" w:lastColumn="0" w:noHBand="0" w:noVBand="1"/>
      </w:tblPr>
      <w:tblGrid>
        <w:gridCol w:w="1352"/>
        <w:gridCol w:w="1163"/>
        <w:gridCol w:w="2021"/>
        <w:gridCol w:w="2212"/>
        <w:gridCol w:w="2887"/>
      </w:tblGrid>
      <w:tr w:rsidR="000B7BDE" w:rsidRPr="006E56A1" w14:paraId="510ADF0C" w14:textId="77777777" w:rsidTr="004A63F7">
        <w:trPr>
          <w:trHeight w:val="300"/>
          <w:jc w:val="center"/>
        </w:trPr>
        <w:tc>
          <w:tcPr>
            <w:tcW w:w="701" w:type="pct"/>
          </w:tcPr>
          <w:p w14:paraId="729712EE" w14:textId="77777777" w:rsidR="000B7BDE" w:rsidRPr="006E56A1" w:rsidRDefault="000B7BDE" w:rsidP="004A63F7">
            <w:pPr>
              <w:pStyle w:val="Tablehead"/>
            </w:pPr>
            <w:r w:rsidRPr="006E56A1">
              <w:rPr>
                <w:bCs/>
                <w:color w:val="000000"/>
              </w:rPr>
              <w:t>Option d'accueil</w:t>
            </w:r>
          </w:p>
        </w:tc>
        <w:tc>
          <w:tcPr>
            <w:tcW w:w="603" w:type="pct"/>
          </w:tcPr>
          <w:p w14:paraId="28BE3351" w14:textId="77777777" w:rsidR="000B7BDE" w:rsidRPr="006E56A1" w:rsidRDefault="000B7BDE" w:rsidP="004A63F7">
            <w:pPr>
              <w:pStyle w:val="Tablehead"/>
            </w:pPr>
            <w:r w:rsidRPr="006E56A1">
              <w:rPr>
                <w:bCs/>
                <w:color w:val="000000"/>
              </w:rPr>
              <w:t>Effectifs</w:t>
            </w:r>
          </w:p>
        </w:tc>
        <w:tc>
          <w:tcPr>
            <w:tcW w:w="1049" w:type="pct"/>
          </w:tcPr>
          <w:p w14:paraId="23C371D6" w14:textId="77777777" w:rsidR="000B7BDE" w:rsidRPr="006E56A1" w:rsidRDefault="000B7BDE" w:rsidP="004A63F7">
            <w:pPr>
              <w:pStyle w:val="Tablehead"/>
            </w:pPr>
            <w:r w:rsidRPr="006E56A1">
              <w:rPr>
                <w:bCs/>
                <w:color w:val="000000"/>
              </w:rPr>
              <w:t>Dépenses annuelles de personnel (CHF)</w:t>
            </w:r>
          </w:p>
        </w:tc>
        <w:tc>
          <w:tcPr>
            <w:tcW w:w="1148" w:type="pct"/>
          </w:tcPr>
          <w:p w14:paraId="1BF2D631" w14:textId="77777777" w:rsidR="000B7BDE" w:rsidRPr="006E56A1" w:rsidRDefault="000B7BDE" w:rsidP="004A63F7">
            <w:pPr>
              <w:pStyle w:val="Tablehead"/>
            </w:pPr>
            <w:r w:rsidRPr="006E56A1">
              <w:rPr>
                <w:bCs/>
                <w:color w:val="000000"/>
              </w:rPr>
              <w:t>Dépenses autres que les dépenses de personnel en année 3 (CHF)</w:t>
            </w:r>
          </w:p>
        </w:tc>
        <w:tc>
          <w:tcPr>
            <w:tcW w:w="1498" w:type="pct"/>
          </w:tcPr>
          <w:p w14:paraId="4E0FD929" w14:textId="77777777" w:rsidR="000B7BDE" w:rsidRPr="006E56A1" w:rsidRDefault="000B7BDE" w:rsidP="004A63F7">
            <w:pPr>
              <w:pStyle w:val="Tablehead"/>
            </w:pPr>
            <w:r w:rsidRPr="006E56A1">
              <w:rPr>
                <w:bCs/>
                <w:color w:val="000000"/>
              </w:rPr>
              <w:t>Coût total pour l'année 3 (dépenses de personnel + dépenses autres que de personnel) (CHF)</w:t>
            </w:r>
          </w:p>
        </w:tc>
      </w:tr>
      <w:tr w:rsidR="000B7BDE" w:rsidRPr="006E56A1" w14:paraId="4BD3CCED" w14:textId="77777777" w:rsidTr="004A63F7">
        <w:trPr>
          <w:trHeight w:val="300"/>
          <w:jc w:val="center"/>
        </w:trPr>
        <w:tc>
          <w:tcPr>
            <w:tcW w:w="701" w:type="pct"/>
          </w:tcPr>
          <w:p w14:paraId="291BB171" w14:textId="77777777" w:rsidR="000B7BDE" w:rsidRPr="006E56A1" w:rsidRDefault="000B7BDE" w:rsidP="004A63F7">
            <w:pPr>
              <w:pStyle w:val="Tabletext"/>
              <w:jc w:val="center"/>
            </w:pPr>
            <w:r w:rsidRPr="006E56A1">
              <w:rPr>
                <w:color w:val="000000"/>
              </w:rPr>
              <w:t>1c</w:t>
            </w:r>
          </w:p>
        </w:tc>
        <w:tc>
          <w:tcPr>
            <w:tcW w:w="603" w:type="pct"/>
          </w:tcPr>
          <w:p w14:paraId="26730CFA" w14:textId="77777777" w:rsidR="000B7BDE" w:rsidRPr="006E56A1" w:rsidRDefault="000B7BDE" w:rsidP="004A63F7">
            <w:pPr>
              <w:pStyle w:val="Tabletext"/>
              <w:jc w:val="center"/>
            </w:pPr>
            <w:r w:rsidRPr="006E56A1">
              <w:rPr>
                <w:color w:val="000000"/>
              </w:rPr>
              <w:t>3</w:t>
            </w:r>
          </w:p>
        </w:tc>
        <w:tc>
          <w:tcPr>
            <w:tcW w:w="1049" w:type="pct"/>
          </w:tcPr>
          <w:p w14:paraId="26C58CE4" w14:textId="77777777" w:rsidR="000B7BDE" w:rsidRPr="006E56A1" w:rsidRDefault="000B7BDE" w:rsidP="004A63F7">
            <w:pPr>
              <w:pStyle w:val="Tabletext"/>
              <w:jc w:val="right"/>
            </w:pPr>
            <w:r w:rsidRPr="006E56A1">
              <w:rPr>
                <w:color w:val="000000"/>
              </w:rPr>
              <w:t>381 077</w:t>
            </w:r>
          </w:p>
        </w:tc>
        <w:tc>
          <w:tcPr>
            <w:tcW w:w="1148" w:type="pct"/>
          </w:tcPr>
          <w:p w14:paraId="03BAD7E8" w14:textId="77777777" w:rsidR="000B7BDE" w:rsidRPr="006E56A1" w:rsidRDefault="000B7BDE" w:rsidP="004A63F7">
            <w:pPr>
              <w:pStyle w:val="Tabletext"/>
              <w:jc w:val="right"/>
            </w:pPr>
            <w:r w:rsidRPr="006E56A1">
              <w:rPr>
                <w:color w:val="000000"/>
              </w:rPr>
              <w:t>105 000</w:t>
            </w:r>
          </w:p>
        </w:tc>
        <w:tc>
          <w:tcPr>
            <w:tcW w:w="1498" w:type="pct"/>
          </w:tcPr>
          <w:p w14:paraId="31F980ED" w14:textId="5A440C07" w:rsidR="000B7BDE" w:rsidRPr="006E56A1" w:rsidRDefault="000B7BDE" w:rsidP="004A63F7">
            <w:pPr>
              <w:pStyle w:val="Tabletext"/>
              <w:jc w:val="right"/>
            </w:pPr>
            <w:r w:rsidRPr="006E56A1">
              <w:rPr>
                <w:color w:val="000000"/>
              </w:rPr>
              <w:t>486 077</w:t>
            </w:r>
          </w:p>
        </w:tc>
      </w:tr>
    </w:tbl>
    <w:p w14:paraId="17698F38" w14:textId="77777777" w:rsidR="000B7BDE" w:rsidRPr="006E56A1" w:rsidRDefault="000B7BDE" w:rsidP="000B7BDE">
      <w:pPr>
        <w:pStyle w:val="Tablefin"/>
        <w:rPr>
          <w:lang w:val="fr-FR"/>
        </w:rPr>
      </w:pPr>
    </w:p>
    <w:p w14:paraId="47A81921" w14:textId="77777777" w:rsidR="000B7BDE" w:rsidRPr="006E56A1" w:rsidRDefault="000B7BDE" w:rsidP="000B7BDE">
      <w:pPr>
        <w:pStyle w:val="Tabletitle"/>
      </w:pPr>
      <w:r w:rsidRPr="006E56A1">
        <w:rPr>
          <w:bCs/>
        </w:rPr>
        <w:t>Année 4</w:t>
      </w:r>
    </w:p>
    <w:tbl>
      <w:tblPr>
        <w:tblStyle w:val="TableGrid"/>
        <w:tblW w:w="5000" w:type="pct"/>
        <w:jc w:val="center"/>
        <w:tblLayout w:type="fixed"/>
        <w:tblLook w:val="04A0" w:firstRow="1" w:lastRow="0" w:firstColumn="1" w:lastColumn="0" w:noHBand="0" w:noVBand="1"/>
      </w:tblPr>
      <w:tblGrid>
        <w:gridCol w:w="1352"/>
        <w:gridCol w:w="1163"/>
        <w:gridCol w:w="2021"/>
        <w:gridCol w:w="2212"/>
        <w:gridCol w:w="2887"/>
      </w:tblGrid>
      <w:tr w:rsidR="000B7BDE" w:rsidRPr="006E56A1" w14:paraId="7F9C1440" w14:textId="77777777" w:rsidTr="004A63F7">
        <w:trPr>
          <w:trHeight w:val="300"/>
          <w:jc w:val="center"/>
        </w:trPr>
        <w:tc>
          <w:tcPr>
            <w:tcW w:w="701" w:type="pct"/>
          </w:tcPr>
          <w:p w14:paraId="16D8F343" w14:textId="77777777" w:rsidR="000B7BDE" w:rsidRPr="006E56A1" w:rsidRDefault="000B7BDE" w:rsidP="004A63F7">
            <w:pPr>
              <w:pStyle w:val="Tablehead"/>
            </w:pPr>
            <w:r w:rsidRPr="006E56A1">
              <w:rPr>
                <w:bCs/>
                <w:color w:val="000000"/>
              </w:rPr>
              <w:t>Option d'accueil</w:t>
            </w:r>
          </w:p>
        </w:tc>
        <w:tc>
          <w:tcPr>
            <w:tcW w:w="603" w:type="pct"/>
          </w:tcPr>
          <w:p w14:paraId="1BF916E0" w14:textId="77777777" w:rsidR="000B7BDE" w:rsidRPr="006E56A1" w:rsidRDefault="000B7BDE" w:rsidP="004A63F7">
            <w:pPr>
              <w:pStyle w:val="Tablehead"/>
            </w:pPr>
            <w:r w:rsidRPr="006E56A1">
              <w:rPr>
                <w:bCs/>
                <w:color w:val="000000"/>
              </w:rPr>
              <w:t>Effectifs</w:t>
            </w:r>
          </w:p>
        </w:tc>
        <w:tc>
          <w:tcPr>
            <w:tcW w:w="1049" w:type="pct"/>
          </w:tcPr>
          <w:p w14:paraId="3DEF586E" w14:textId="77777777" w:rsidR="000B7BDE" w:rsidRPr="006E56A1" w:rsidRDefault="000B7BDE" w:rsidP="004A63F7">
            <w:pPr>
              <w:pStyle w:val="Tablehead"/>
            </w:pPr>
            <w:r w:rsidRPr="006E56A1">
              <w:rPr>
                <w:bCs/>
                <w:color w:val="000000"/>
              </w:rPr>
              <w:t>Dépenses annuelles de personnel (CHF)</w:t>
            </w:r>
          </w:p>
        </w:tc>
        <w:tc>
          <w:tcPr>
            <w:tcW w:w="1148" w:type="pct"/>
          </w:tcPr>
          <w:p w14:paraId="222051A0" w14:textId="77777777" w:rsidR="000B7BDE" w:rsidRPr="006E56A1" w:rsidRDefault="000B7BDE" w:rsidP="004A63F7">
            <w:pPr>
              <w:pStyle w:val="Tablehead"/>
            </w:pPr>
            <w:r w:rsidRPr="006E56A1">
              <w:rPr>
                <w:bCs/>
                <w:color w:val="000000"/>
              </w:rPr>
              <w:t>Dépenses autres que les dépenses de personnel en année 4 (CHF)</w:t>
            </w:r>
          </w:p>
        </w:tc>
        <w:tc>
          <w:tcPr>
            <w:tcW w:w="1498" w:type="pct"/>
          </w:tcPr>
          <w:p w14:paraId="4CE81C8C" w14:textId="77777777" w:rsidR="000B7BDE" w:rsidRPr="006E56A1" w:rsidRDefault="000B7BDE" w:rsidP="004A63F7">
            <w:pPr>
              <w:pStyle w:val="Tablehead"/>
            </w:pPr>
            <w:r w:rsidRPr="006E56A1">
              <w:rPr>
                <w:bCs/>
                <w:color w:val="000000"/>
              </w:rPr>
              <w:t>Coût total pour l'année 4 (dépenses de personnel + dépenses autres que de personnel) (CHF)</w:t>
            </w:r>
          </w:p>
        </w:tc>
      </w:tr>
      <w:tr w:rsidR="000B7BDE" w:rsidRPr="006E56A1" w14:paraId="66684968" w14:textId="77777777" w:rsidTr="004A63F7">
        <w:trPr>
          <w:trHeight w:val="300"/>
          <w:jc w:val="center"/>
        </w:trPr>
        <w:tc>
          <w:tcPr>
            <w:tcW w:w="701" w:type="pct"/>
          </w:tcPr>
          <w:p w14:paraId="21C1E2F3" w14:textId="77777777" w:rsidR="000B7BDE" w:rsidRPr="006E56A1" w:rsidRDefault="000B7BDE" w:rsidP="004A63F7">
            <w:pPr>
              <w:pStyle w:val="Tabletext"/>
              <w:jc w:val="center"/>
            </w:pPr>
            <w:r w:rsidRPr="006E56A1">
              <w:rPr>
                <w:color w:val="000000"/>
              </w:rPr>
              <w:t>1c</w:t>
            </w:r>
          </w:p>
        </w:tc>
        <w:tc>
          <w:tcPr>
            <w:tcW w:w="603" w:type="pct"/>
          </w:tcPr>
          <w:p w14:paraId="262C35F5" w14:textId="77777777" w:rsidR="000B7BDE" w:rsidRPr="006E56A1" w:rsidRDefault="000B7BDE" w:rsidP="004A63F7">
            <w:pPr>
              <w:pStyle w:val="Tabletext"/>
              <w:jc w:val="center"/>
            </w:pPr>
            <w:r w:rsidRPr="006E56A1">
              <w:rPr>
                <w:color w:val="000000"/>
              </w:rPr>
              <w:t>3</w:t>
            </w:r>
          </w:p>
        </w:tc>
        <w:tc>
          <w:tcPr>
            <w:tcW w:w="1049" w:type="pct"/>
          </w:tcPr>
          <w:p w14:paraId="091EBBE5" w14:textId="77777777" w:rsidR="000B7BDE" w:rsidRPr="006E56A1" w:rsidRDefault="000B7BDE" w:rsidP="004A63F7">
            <w:pPr>
              <w:pStyle w:val="Tabletext"/>
              <w:jc w:val="right"/>
            </w:pPr>
            <w:r w:rsidRPr="006E56A1">
              <w:rPr>
                <w:color w:val="000000"/>
              </w:rPr>
              <w:t>381 077</w:t>
            </w:r>
          </w:p>
        </w:tc>
        <w:tc>
          <w:tcPr>
            <w:tcW w:w="1148" w:type="pct"/>
          </w:tcPr>
          <w:p w14:paraId="7B1AE308" w14:textId="77777777" w:rsidR="000B7BDE" w:rsidRPr="006E56A1" w:rsidRDefault="000B7BDE" w:rsidP="004A63F7">
            <w:pPr>
              <w:pStyle w:val="Tabletext"/>
              <w:jc w:val="right"/>
            </w:pPr>
            <w:r w:rsidRPr="006E56A1">
              <w:rPr>
                <w:color w:val="000000"/>
              </w:rPr>
              <w:t>65 583</w:t>
            </w:r>
          </w:p>
        </w:tc>
        <w:tc>
          <w:tcPr>
            <w:tcW w:w="1498" w:type="pct"/>
          </w:tcPr>
          <w:p w14:paraId="51849581" w14:textId="3B4D355B" w:rsidR="000B7BDE" w:rsidRPr="006E56A1" w:rsidRDefault="000B7BDE" w:rsidP="004A63F7">
            <w:pPr>
              <w:pStyle w:val="Tabletext"/>
              <w:jc w:val="right"/>
            </w:pPr>
            <w:r w:rsidRPr="006E56A1">
              <w:rPr>
                <w:color w:val="000000"/>
              </w:rPr>
              <w:t>446 660</w:t>
            </w:r>
          </w:p>
        </w:tc>
      </w:tr>
    </w:tbl>
    <w:p w14:paraId="49D508ED" w14:textId="77777777" w:rsidR="000B7BDE" w:rsidRPr="006E56A1" w:rsidRDefault="000B7BDE" w:rsidP="000B7BDE">
      <w:pPr>
        <w:pStyle w:val="Tablefin"/>
        <w:rPr>
          <w:lang w:val="fr-FR"/>
        </w:rPr>
      </w:pPr>
    </w:p>
    <w:p w14:paraId="0CC44664" w14:textId="77777777" w:rsidR="000B7BDE" w:rsidRPr="006E56A1" w:rsidRDefault="000B7BDE" w:rsidP="000B7BDE">
      <w:r w:rsidRPr="006E56A1">
        <w:t>Les incidences financières totales pour quatre ans sont estimées à 1 890 620 CHF.</w:t>
      </w:r>
    </w:p>
    <w:p w14:paraId="60CD1915" w14:textId="77777777" w:rsidR="000B7BDE" w:rsidRPr="006E56A1" w:rsidRDefault="000B7BDE" w:rsidP="000B7BDE">
      <w:r w:rsidRPr="006E56A1">
        <w:t xml:space="preserve">Les détails des calculs financiers figurent dans les </w:t>
      </w:r>
      <w:hyperlink w:anchor="Annex2" w:history="1">
        <w:r w:rsidRPr="006E56A1">
          <w:rPr>
            <w:rStyle w:val="Hyperlink"/>
          </w:rPr>
          <w:t>Annexes 2</w:t>
        </w:r>
      </w:hyperlink>
      <w:r w:rsidRPr="006E56A1">
        <w:t xml:space="preserve"> et </w:t>
      </w:r>
      <w:hyperlink w:anchor="Annex3" w:history="1">
        <w:r w:rsidRPr="006E56A1">
          <w:rPr>
            <w:rStyle w:val="Hyperlink"/>
          </w:rPr>
          <w:t>3</w:t>
        </w:r>
      </w:hyperlink>
      <w:r w:rsidRPr="006E56A1">
        <w:t>.</w:t>
      </w:r>
      <w:hyperlink w:anchor="Annex2" w:history="1"/>
      <w:hyperlink w:anchor="Annex3" w:history="1"/>
    </w:p>
    <w:p w14:paraId="374821A8" w14:textId="77777777" w:rsidR="000B7BDE" w:rsidRPr="006E56A1" w:rsidRDefault="000B7BDE" w:rsidP="000B7BDE">
      <w:r w:rsidRPr="006E56A1">
        <w:t>La Conférence de plénipotentiaires est invitée à examiner le présent rapport et à fournir des orientations appropriées concernant la création d'un bureau de zone de l'UIT dans le Pacifique.</w:t>
      </w:r>
    </w:p>
    <w:p w14:paraId="653FFA81" w14:textId="77777777" w:rsidR="000B7BDE" w:rsidRPr="006E56A1" w:rsidRDefault="000B7BDE" w:rsidP="000B7BDE">
      <w:pPr>
        <w:pStyle w:val="Normalaftertitle"/>
        <w:spacing w:before="2400"/>
        <w:rPr>
          <w:i/>
          <w:iCs/>
        </w:rPr>
      </w:pPr>
      <w:r w:rsidRPr="006E56A1">
        <w:rPr>
          <w:b/>
          <w:bCs/>
          <w:i/>
          <w:iCs/>
        </w:rPr>
        <w:t>Annexes:</w:t>
      </w:r>
      <w:r w:rsidRPr="006E56A1">
        <w:rPr>
          <w:i/>
          <w:iCs/>
        </w:rPr>
        <w:t xml:space="preserve"> 3</w:t>
      </w:r>
    </w:p>
    <w:p w14:paraId="627A03D9" w14:textId="77777777" w:rsidR="000B7BDE" w:rsidRPr="006E56A1" w:rsidRDefault="000B7BDE" w:rsidP="000B7BDE">
      <w:pPr>
        <w:overflowPunct/>
        <w:autoSpaceDE/>
        <w:autoSpaceDN/>
        <w:adjustRightInd/>
        <w:spacing w:before="2160"/>
        <w:jc w:val="both"/>
        <w:textAlignment w:val="auto"/>
        <w:rPr>
          <w:b/>
          <w:bCs/>
          <w:i/>
          <w:iCs/>
        </w:rPr>
      </w:pPr>
      <w:r w:rsidRPr="006E56A1">
        <w:rPr>
          <w:b/>
          <w:bCs/>
          <w:i/>
          <w:iCs/>
        </w:rPr>
        <w:br w:type="page"/>
      </w:r>
    </w:p>
    <w:p w14:paraId="7DF285A1" w14:textId="77777777" w:rsidR="000B7BDE" w:rsidRPr="006E56A1" w:rsidRDefault="000B7BDE" w:rsidP="000B7BDE">
      <w:pPr>
        <w:pStyle w:val="AnnexNo"/>
      </w:pPr>
      <w:bookmarkStart w:id="8" w:name="Annex1"/>
      <w:r w:rsidRPr="006E56A1">
        <w:lastRenderedPageBreak/>
        <w:t xml:space="preserve">Annexe </w:t>
      </w:r>
      <w:bookmarkEnd w:id="8"/>
      <w:r w:rsidRPr="006E56A1">
        <w:t>1</w:t>
      </w:r>
    </w:p>
    <w:p w14:paraId="5BFD5D9C" w14:textId="77777777" w:rsidR="000B7BDE" w:rsidRPr="006E56A1" w:rsidRDefault="000B7BDE" w:rsidP="000B7BDE">
      <w:pPr>
        <w:pStyle w:val="Annextitle"/>
        <w:rPr>
          <w:rFonts w:eastAsiaTheme="minorEastAsia"/>
        </w:rPr>
      </w:pPr>
      <w:r w:rsidRPr="006E56A1">
        <w:rPr>
          <w:rFonts w:eastAsiaTheme="minorEastAsia"/>
        </w:rPr>
        <w:t>Résumé de l'évaluation de Fidji</w:t>
      </w:r>
    </w:p>
    <w:tbl>
      <w:tblPr>
        <w:tblStyle w:val="TableGrid"/>
        <w:tblW w:w="0" w:type="auto"/>
        <w:tblLayout w:type="fixed"/>
        <w:tblLook w:val="04A0" w:firstRow="1" w:lastRow="0" w:firstColumn="1" w:lastColumn="0" w:noHBand="0" w:noVBand="1"/>
      </w:tblPr>
      <w:tblGrid>
        <w:gridCol w:w="1980"/>
        <w:gridCol w:w="7770"/>
      </w:tblGrid>
      <w:tr w:rsidR="000B7BDE" w:rsidRPr="006E56A1" w14:paraId="1E382F9C" w14:textId="77777777" w:rsidTr="004A63F7">
        <w:trPr>
          <w:trHeight w:val="300"/>
        </w:trPr>
        <w:tc>
          <w:tcPr>
            <w:tcW w:w="1980" w:type="dxa"/>
          </w:tcPr>
          <w:p w14:paraId="21FD07B6" w14:textId="77777777" w:rsidR="000B7BDE" w:rsidRPr="006E56A1" w:rsidRDefault="000B7BDE" w:rsidP="004A63F7">
            <w:pPr>
              <w:pStyle w:val="Tablehead"/>
            </w:pPr>
            <w:r w:rsidRPr="006E56A1">
              <w:t>Critère</w:t>
            </w:r>
          </w:p>
        </w:tc>
        <w:tc>
          <w:tcPr>
            <w:tcW w:w="7770" w:type="dxa"/>
          </w:tcPr>
          <w:p w14:paraId="031D8306" w14:textId="77777777" w:rsidR="000B7BDE" w:rsidRPr="006E56A1" w:rsidRDefault="000B7BDE" w:rsidP="004A63F7">
            <w:pPr>
              <w:pStyle w:val="Tablehead"/>
            </w:pPr>
            <w:r w:rsidRPr="006E56A1">
              <w:t>Évaluation</w:t>
            </w:r>
          </w:p>
        </w:tc>
      </w:tr>
      <w:tr w:rsidR="000B7BDE" w:rsidRPr="006E56A1" w14:paraId="2307847E" w14:textId="77777777" w:rsidTr="004A63F7">
        <w:trPr>
          <w:trHeight w:val="300"/>
        </w:trPr>
        <w:tc>
          <w:tcPr>
            <w:tcW w:w="1980" w:type="dxa"/>
          </w:tcPr>
          <w:p w14:paraId="6C873083" w14:textId="77777777" w:rsidR="000B7BDE" w:rsidRPr="006E56A1" w:rsidRDefault="000B7BDE" w:rsidP="004A63F7">
            <w:pPr>
              <w:pStyle w:val="Tabletext"/>
            </w:pPr>
            <w:r w:rsidRPr="006E56A1">
              <w:t>Pertinence</w:t>
            </w:r>
          </w:p>
        </w:tc>
        <w:tc>
          <w:tcPr>
            <w:tcW w:w="7770" w:type="dxa"/>
          </w:tcPr>
          <w:p w14:paraId="195D1551" w14:textId="77777777" w:rsidR="000B7BDE" w:rsidRPr="006E56A1" w:rsidRDefault="000B7BDE" w:rsidP="004A63F7">
            <w:pPr>
              <w:pStyle w:val="Tabletext"/>
            </w:pPr>
            <w:r w:rsidRPr="006E56A1">
              <w:t>Secteur des TIC le plus développé du Pacifique et capacité de répondre aux besoins régionaux en matière de TIC et d'assurer les initiatives de l'UIT.</w:t>
            </w:r>
          </w:p>
        </w:tc>
      </w:tr>
      <w:tr w:rsidR="000B7BDE" w:rsidRPr="006E56A1" w14:paraId="2C78AD41" w14:textId="77777777" w:rsidTr="004A63F7">
        <w:trPr>
          <w:trHeight w:val="300"/>
        </w:trPr>
        <w:tc>
          <w:tcPr>
            <w:tcW w:w="1980" w:type="dxa"/>
          </w:tcPr>
          <w:p w14:paraId="727294DC" w14:textId="77777777" w:rsidR="000B7BDE" w:rsidRPr="006E56A1" w:rsidRDefault="000B7BDE" w:rsidP="004A63F7">
            <w:pPr>
              <w:pStyle w:val="Tabletext"/>
            </w:pPr>
            <w:r w:rsidRPr="006E56A1">
              <w:t>Exclusivité</w:t>
            </w:r>
          </w:p>
        </w:tc>
        <w:tc>
          <w:tcPr>
            <w:tcW w:w="7770" w:type="dxa"/>
          </w:tcPr>
          <w:p w14:paraId="30C5B9E1" w14:textId="77777777" w:rsidR="000B7BDE" w:rsidRPr="006E56A1" w:rsidRDefault="000B7BDE" w:rsidP="004A63F7">
            <w:pPr>
              <w:pStyle w:val="Tabletext"/>
            </w:pPr>
            <w:r w:rsidRPr="006E56A1">
              <w:t>Accueille déjà des bureaux régionaux d'institutions des Nations Unies; pas de présence sous-régionale dédiée de l'UIT; évite une présence redondante de l'UIT.</w:t>
            </w:r>
          </w:p>
        </w:tc>
      </w:tr>
      <w:tr w:rsidR="000B7BDE" w:rsidRPr="006E56A1" w14:paraId="50E6D7F4" w14:textId="77777777" w:rsidTr="004A63F7">
        <w:trPr>
          <w:trHeight w:val="300"/>
        </w:trPr>
        <w:tc>
          <w:tcPr>
            <w:tcW w:w="1980" w:type="dxa"/>
          </w:tcPr>
          <w:p w14:paraId="2C9B5927" w14:textId="77777777" w:rsidR="000B7BDE" w:rsidRPr="006E56A1" w:rsidRDefault="000B7BDE" w:rsidP="004A63F7">
            <w:pPr>
              <w:pStyle w:val="Tabletext"/>
            </w:pPr>
            <w:r w:rsidRPr="006E56A1">
              <w:t>Faisabilité</w:t>
            </w:r>
          </w:p>
        </w:tc>
        <w:tc>
          <w:tcPr>
            <w:tcW w:w="7770" w:type="dxa"/>
          </w:tcPr>
          <w:p w14:paraId="5EB7EC08" w14:textId="77777777" w:rsidR="000B7BDE" w:rsidRPr="006E56A1" w:rsidRDefault="000B7BDE" w:rsidP="004A63F7">
            <w:pPr>
              <w:pStyle w:val="Tabletext"/>
            </w:pPr>
            <w:r w:rsidRPr="006E56A1">
              <w:t>Infrastructures solides, économie stable; le Gouvernement de Fidji soutient les activités/programmes/projets de l'UIT; le Gouvernement de Fidji a organisé plusieurs manifestations de l'UIT au niveau national et dans la région Pacifique.</w:t>
            </w:r>
          </w:p>
        </w:tc>
      </w:tr>
      <w:tr w:rsidR="000B7BDE" w:rsidRPr="006E56A1" w14:paraId="3E74F87E" w14:textId="77777777" w:rsidTr="004A63F7">
        <w:trPr>
          <w:trHeight w:val="300"/>
        </w:trPr>
        <w:tc>
          <w:tcPr>
            <w:tcW w:w="1980" w:type="dxa"/>
          </w:tcPr>
          <w:p w14:paraId="42F79ECE" w14:textId="77777777" w:rsidR="000B7BDE" w:rsidRPr="006E56A1" w:rsidRDefault="000B7BDE" w:rsidP="004A63F7">
            <w:pPr>
              <w:pStyle w:val="Tabletext"/>
            </w:pPr>
            <w:r w:rsidRPr="006E56A1">
              <w:t>Sécurité</w:t>
            </w:r>
          </w:p>
        </w:tc>
        <w:tc>
          <w:tcPr>
            <w:tcW w:w="7770" w:type="dxa"/>
          </w:tcPr>
          <w:p w14:paraId="309425A5" w14:textId="77777777" w:rsidR="000B7BDE" w:rsidRPr="006E56A1" w:rsidRDefault="000B7BDE" w:rsidP="004A63F7">
            <w:pPr>
              <w:pStyle w:val="Tabletext"/>
            </w:pPr>
            <w:r w:rsidRPr="006E56A1">
              <w:t>Département de la sûreté et de la sécurité (DSS) de l'ONU: faible niveau de terrorisme; criminalité modérée; faible niveau de troubles civils; niveau de risques naturels élevé; niveau de précarité A.</w:t>
            </w:r>
          </w:p>
        </w:tc>
      </w:tr>
      <w:tr w:rsidR="000B7BDE" w:rsidRPr="006E56A1" w14:paraId="2E273241" w14:textId="77777777" w:rsidTr="004A63F7">
        <w:trPr>
          <w:trHeight w:val="300"/>
        </w:trPr>
        <w:tc>
          <w:tcPr>
            <w:tcW w:w="1980" w:type="dxa"/>
          </w:tcPr>
          <w:p w14:paraId="286DD38A" w14:textId="77777777" w:rsidR="000B7BDE" w:rsidRPr="006E56A1" w:rsidRDefault="000B7BDE" w:rsidP="004A63F7">
            <w:pPr>
              <w:pStyle w:val="Tabletext"/>
            </w:pPr>
            <w:r w:rsidRPr="006E56A1">
              <w:t>Proximité</w:t>
            </w:r>
          </w:p>
        </w:tc>
        <w:tc>
          <w:tcPr>
            <w:tcW w:w="7770" w:type="dxa"/>
          </w:tcPr>
          <w:p w14:paraId="18591FD7" w14:textId="77777777" w:rsidR="000B7BDE" w:rsidRPr="006E56A1" w:rsidRDefault="000B7BDE" w:rsidP="004A63F7">
            <w:pPr>
              <w:pStyle w:val="Tabletext"/>
            </w:pPr>
            <w:r w:rsidRPr="006E56A1">
              <w:t>Présence d'un bureau multipays des Nations Unies; présence d'organismes régionaux de développement et d'institutions des Nations Unies existants; possibilité de renforcer les synergies avec les institutions des Nations Unies.</w:t>
            </w:r>
          </w:p>
        </w:tc>
      </w:tr>
      <w:tr w:rsidR="000B7BDE" w:rsidRPr="006E56A1" w14:paraId="5BBFE672" w14:textId="77777777" w:rsidTr="004A63F7">
        <w:trPr>
          <w:trHeight w:val="300"/>
        </w:trPr>
        <w:tc>
          <w:tcPr>
            <w:tcW w:w="1980" w:type="dxa"/>
          </w:tcPr>
          <w:p w14:paraId="30BFB577" w14:textId="77777777" w:rsidR="000B7BDE" w:rsidRPr="006E56A1" w:rsidRDefault="000B7BDE" w:rsidP="004A63F7">
            <w:pPr>
              <w:pStyle w:val="Tabletext"/>
            </w:pPr>
            <w:r w:rsidRPr="006E56A1">
              <w:t>Accessibilité</w:t>
            </w:r>
          </w:p>
        </w:tc>
        <w:tc>
          <w:tcPr>
            <w:tcW w:w="7770" w:type="dxa"/>
          </w:tcPr>
          <w:p w14:paraId="45A16581" w14:textId="77777777" w:rsidR="000B7BDE" w:rsidRPr="006E56A1" w:rsidRDefault="000B7BDE" w:rsidP="004A63F7">
            <w:pPr>
              <w:pStyle w:val="Tabletext"/>
            </w:pPr>
            <w:r w:rsidRPr="006E56A1">
              <w:t>Pôle majeur du transport international; emplacement central et excellente connexion avec les pays du Pacifique; facilité d'accès pour la collaboration régionale; visa à l'arrivée pour la plupart des voyageurs internationaux.</w:t>
            </w:r>
          </w:p>
        </w:tc>
      </w:tr>
    </w:tbl>
    <w:p w14:paraId="6BF8826C" w14:textId="77777777" w:rsidR="000B7BDE" w:rsidRPr="006E56A1" w:rsidRDefault="000B7BDE" w:rsidP="000B7BDE">
      <w:pPr>
        <w:pStyle w:val="Headingb"/>
        <w:rPr>
          <w:rFonts w:eastAsiaTheme="minorEastAsia"/>
        </w:rPr>
      </w:pPr>
      <w:r w:rsidRPr="006E56A1">
        <w:rPr>
          <w:rFonts w:eastAsiaTheme="minorEastAsia"/>
        </w:rPr>
        <w:t>Pertinence</w:t>
      </w:r>
    </w:p>
    <w:p w14:paraId="37B04F5D" w14:textId="77777777" w:rsidR="000B7BDE" w:rsidRPr="006E56A1" w:rsidRDefault="000B7BDE" w:rsidP="000B7BDE">
      <w:pPr>
        <w:rPr>
          <w:rFonts w:eastAsiaTheme="minorEastAsia"/>
        </w:rPr>
      </w:pPr>
      <w:r w:rsidRPr="006E56A1">
        <w:rPr>
          <w:rFonts w:eastAsiaTheme="minorEastAsia"/>
        </w:rPr>
        <w:t>Fidji présente un intérêt dans le cadre de l'examen du renforcement de la présence régionale de l'UIT dans le Pacifique, compte tenu de son secteur des TIC relativement développé et de son rôle bien établi de pôle régional majeur. Le pays est capable de répondre aux besoins régionaux en matière de TIC et d'assurer les initiatives de l'UIT, et l'environnement numérique et institutionnel existant favorise une collaboration plus large avec les États Membres du Pacifique.</w:t>
      </w:r>
    </w:p>
    <w:p w14:paraId="01E16C72" w14:textId="77777777" w:rsidR="000B7BDE" w:rsidRPr="006E56A1" w:rsidRDefault="000B7BDE" w:rsidP="000B7BDE">
      <w:pPr>
        <w:rPr>
          <w:rFonts w:eastAsiaTheme="minorEastAsia"/>
        </w:rPr>
      </w:pPr>
      <w:r w:rsidRPr="006E56A1">
        <w:rPr>
          <w:rFonts w:eastAsiaTheme="minorEastAsia"/>
        </w:rPr>
        <w:t>Dans le contexte de l'étude de faisabilité, la pertinence de Fidji est également liée à sa capacité à servir de plate-forme pour la mobilisation régionale. La présence d'institutions, de partenaires de développement et de mécanismes de coordination régionale à Fidji fait de ce pays un lieu potentiellement utile où l'UIT pourrait renforcer son appui à de nombreux pays du Pacifique.</w:t>
      </w:r>
    </w:p>
    <w:p w14:paraId="4009F3BB" w14:textId="77777777" w:rsidR="000B7BDE" w:rsidRPr="006E56A1" w:rsidRDefault="000B7BDE" w:rsidP="000B7BDE">
      <w:pPr>
        <w:pStyle w:val="Headingb"/>
        <w:rPr>
          <w:rFonts w:eastAsiaTheme="minorEastAsia"/>
        </w:rPr>
      </w:pPr>
      <w:r w:rsidRPr="006E56A1">
        <w:rPr>
          <w:rFonts w:eastAsiaTheme="minorEastAsia"/>
        </w:rPr>
        <w:t>Exclusivité</w:t>
      </w:r>
    </w:p>
    <w:p w14:paraId="58D82E1E" w14:textId="77777777" w:rsidR="000B7BDE" w:rsidRPr="006E56A1" w:rsidRDefault="000B7BDE" w:rsidP="000B7BDE">
      <w:pPr>
        <w:rPr>
          <w:rFonts w:eastAsiaTheme="minorEastAsia"/>
        </w:rPr>
      </w:pPr>
      <w:r w:rsidRPr="006E56A1">
        <w:rPr>
          <w:rFonts w:eastAsiaTheme="minorEastAsia"/>
        </w:rPr>
        <w:t>En ce qui concerne l'exclusivité, Fidji accueille déjà un certain nombre de bureaux régionaux d'institutions des Nations Unies et de partenaires de développement. Toutefois, il n'existe aucune présence sous-régionale dédiée de l'UIT à Fidji. Une telle présence ne ferait donc pas double emploi avec un bureau existant de l'UIT au niveau sous-régional.</w:t>
      </w:r>
    </w:p>
    <w:p w14:paraId="786E15ED" w14:textId="77777777" w:rsidR="000B7BDE" w:rsidRPr="006E56A1" w:rsidRDefault="000B7BDE" w:rsidP="000B7BDE">
      <w:pPr>
        <w:rPr>
          <w:rFonts w:eastAsiaTheme="minorEastAsia"/>
        </w:rPr>
      </w:pPr>
      <w:r w:rsidRPr="006E56A1">
        <w:rPr>
          <w:rFonts w:eastAsiaTheme="minorEastAsia"/>
        </w:rPr>
        <w:t>La présence d'autres institutions des Nations Unies et d'autres institutions régionales devrait être perçue dans ce contexte comme une possibilité de coordination plutôt que comme une présence institutionnelle redondante de l'UIT. Une présence renforcée de l'Union devrait poursuivre un mandat et un objectif distincts, tout en contribuant à améliorer la coordination avec les structures existantes des Nations Unies et des partenaires de développement.</w:t>
      </w:r>
    </w:p>
    <w:p w14:paraId="324C2DEB" w14:textId="77777777" w:rsidR="000B7BDE" w:rsidRPr="006E56A1" w:rsidRDefault="000B7BDE" w:rsidP="000B7BDE">
      <w:pPr>
        <w:pStyle w:val="Headingb"/>
        <w:rPr>
          <w:rFonts w:eastAsiaTheme="minorEastAsia"/>
        </w:rPr>
      </w:pPr>
      <w:r w:rsidRPr="006E56A1">
        <w:rPr>
          <w:rFonts w:eastAsiaTheme="minorEastAsia"/>
        </w:rPr>
        <w:lastRenderedPageBreak/>
        <w:t>Faisabilité</w:t>
      </w:r>
    </w:p>
    <w:p w14:paraId="2F8A5DEC" w14:textId="77777777" w:rsidR="000B7BDE" w:rsidRPr="006E56A1" w:rsidRDefault="000B7BDE" w:rsidP="000B7BDE">
      <w:pPr>
        <w:rPr>
          <w:rFonts w:eastAsiaTheme="minorEastAsia"/>
        </w:rPr>
      </w:pPr>
      <w:r w:rsidRPr="006E56A1">
        <w:rPr>
          <w:rFonts w:eastAsiaTheme="minorEastAsia"/>
        </w:rPr>
        <w:t>Fidji présente plusieurs éléments pertinents sur le plan de la faisabilité. Le pays dispose d'une infrastructure solide, d'une économie relativement stable et d'une expérience éprouvée en matière d'accueil et d'appui d'activités régionales et nationales. Le Gouvernement de Fidji appuie les activités, les programmes et les projets de l'UIT et a accueilli plusieurs manifestations de l'Union, tant au niveau national que dans la région du Pacifique.</w:t>
      </w:r>
    </w:p>
    <w:p w14:paraId="6A42007F" w14:textId="77777777" w:rsidR="000B7BDE" w:rsidRPr="006E56A1" w:rsidRDefault="000B7BDE" w:rsidP="000B7BDE">
      <w:pPr>
        <w:rPr>
          <w:rFonts w:eastAsiaTheme="minorEastAsia"/>
        </w:rPr>
      </w:pPr>
      <w:r w:rsidRPr="006E56A1">
        <w:rPr>
          <w:rFonts w:eastAsiaTheme="minorEastAsia"/>
        </w:rPr>
        <w:t>Ces facteurs indiquent que Fidji offre un environnement opérationnel dans lequel on pourrait considérer que la présence de l'UIT répondrait à des besoins concrets. La disponibilité d'infrastructures, l'expérience en matière d'organisation d'activités internationales et régionales et la collaboration existante avec l'UIT constituent des facteurs importants permettant de déterminer si les ressources et les conditions du pays hôte seraient favorables à la mise en place et au fonctionnement durable du bureau.</w:t>
      </w:r>
    </w:p>
    <w:p w14:paraId="0119F935" w14:textId="77777777" w:rsidR="000B7BDE" w:rsidRPr="006E56A1" w:rsidRDefault="000B7BDE" w:rsidP="000B7BDE">
      <w:pPr>
        <w:pStyle w:val="Headingb"/>
        <w:rPr>
          <w:rFonts w:eastAsiaTheme="minorEastAsia"/>
        </w:rPr>
      </w:pPr>
      <w:r w:rsidRPr="006E56A1">
        <w:rPr>
          <w:rFonts w:eastAsiaTheme="minorEastAsia"/>
        </w:rPr>
        <w:t>Sécurité</w:t>
      </w:r>
    </w:p>
    <w:p w14:paraId="5C7A1D66" w14:textId="77777777" w:rsidR="000B7BDE" w:rsidRPr="006E56A1" w:rsidRDefault="000B7BDE" w:rsidP="000B7BDE">
      <w:pPr>
        <w:rPr>
          <w:rFonts w:eastAsiaTheme="minorEastAsia"/>
        </w:rPr>
      </w:pPr>
      <w:r w:rsidRPr="006E56A1">
        <w:rPr>
          <w:rFonts w:eastAsiaTheme="minorEastAsia"/>
        </w:rPr>
        <w:t>L'évaluation du DSS de l'ONU disponible pour Fidji indique que le niveau de risque de conflits armés, de terrorisme et de troubles civils est faible, que la criminalité est modérée et que le niveau de risques naturels est élevé. Fidji est également classé dans la catégorie A en matière de précarité.</w:t>
      </w:r>
    </w:p>
    <w:p w14:paraId="53C6C645" w14:textId="77777777" w:rsidR="000B7BDE" w:rsidRPr="006E56A1" w:rsidRDefault="000B7BDE" w:rsidP="000B7BDE">
      <w:pPr>
        <w:rPr>
          <w:rFonts w:eastAsiaTheme="minorEastAsia"/>
        </w:rPr>
      </w:pPr>
      <w:r w:rsidRPr="006E56A1">
        <w:rPr>
          <w:rFonts w:eastAsiaTheme="minorEastAsia"/>
        </w:rPr>
        <w:t>Du point de vue du critère de sécurité du Conseil de l'UIT, ces facteurs donnent à penser que Fidji présente un environnement de sécurité globalement acceptable, qui nécessite toutefois une attention particulière en ce qui concerne les risques naturels et d'autres exigences pertinentes en matière de gestion de la sécurité. Toute planification de la création du bureau devra rester conforme aux processus du DSS de l'ONU et aux normes de sécurité qui y sont en vigueur.</w:t>
      </w:r>
    </w:p>
    <w:p w14:paraId="0BB11FCF" w14:textId="77777777" w:rsidR="000B7BDE" w:rsidRPr="006E56A1" w:rsidRDefault="000B7BDE" w:rsidP="000B7BDE">
      <w:pPr>
        <w:pStyle w:val="Headingb"/>
        <w:rPr>
          <w:rFonts w:eastAsiaTheme="minorEastAsia"/>
        </w:rPr>
      </w:pPr>
      <w:r w:rsidRPr="006E56A1">
        <w:rPr>
          <w:rFonts w:eastAsiaTheme="minorEastAsia"/>
        </w:rPr>
        <w:t>Proximité</w:t>
      </w:r>
    </w:p>
    <w:p w14:paraId="251DFA67" w14:textId="77777777" w:rsidR="000B7BDE" w:rsidRPr="006E56A1" w:rsidRDefault="000B7BDE" w:rsidP="000B7BDE">
      <w:pPr>
        <w:rPr>
          <w:rFonts w:eastAsiaTheme="minorEastAsia"/>
        </w:rPr>
      </w:pPr>
      <w:r w:rsidRPr="006E56A1">
        <w:rPr>
          <w:rFonts w:eastAsiaTheme="minorEastAsia"/>
        </w:rPr>
        <w:t>Fidji présente des avantages en matière de proximité qui découlent de son rôle de pôle régional et de la présence du Bureau multipays des Nations Unies. Le pays accueille également un certain nombre d'institutions régionales de développement et d'institutions des Nations Unies, et offre ainsi la possibilité de renforcer la coordination et les synergies avec des partenaires actifs dans le Pacifique.</w:t>
      </w:r>
    </w:p>
    <w:p w14:paraId="0A1C0FB9" w14:textId="77777777" w:rsidR="000B7BDE" w:rsidRPr="006E56A1" w:rsidRDefault="000B7BDE" w:rsidP="000B7BDE">
      <w:pPr>
        <w:rPr>
          <w:rFonts w:eastAsiaTheme="minorEastAsia"/>
        </w:rPr>
      </w:pPr>
      <w:r w:rsidRPr="006E56A1">
        <w:rPr>
          <w:rFonts w:eastAsiaTheme="minorEastAsia"/>
        </w:rPr>
        <w:t>Sur le plan fonctionnel, la proximité ne se rapporte pas uniquement à la distance géographique. Elle comprend également la proximité avec les plates-formes régionales de coordination, les institutions partenaires et les mécanismes par lesquels s'organise un appui aux États Membres du Pacifique. Par conséquent, Fidji présente plusieurs caractéristiques intéressantes concernant le critère de proximité.</w:t>
      </w:r>
    </w:p>
    <w:p w14:paraId="7193D890" w14:textId="77777777" w:rsidR="000B7BDE" w:rsidRPr="006E56A1" w:rsidRDefault="000B7BDE" w:rsidP="000B7BDE">
      <w:pPr>
        <w:pStyle w:val="Headingb"/>
        <w:rPr>
          <w:rFonts w:eastAsiaTheme="minorEastAsia"/>
        </w:rPr>
      </w:pPr>
      <w:r w:rsidRPr="006E56A1">
        <w:rPr>
          <w:rFonts w:eastAsiaTheme="minorEastAsia"/>
        </w:rPr>
        <w:t>Accessibilité</w:t>
      </w:r>
    </w:p>
    <w:p w14:paraId="4FE7FA88" w14:textId="77777777" w:rsidR="000B7BDE" w:rsidRPr="006E56A1" w:rsidRDefault="000B7BDE" w:rsidP="000B7BDE">
      <w:pPr>
        <w:rPr>
          <w:rFonts w:eastAsiaTheme="minorEastAsia"/>
        </w:rPr>
      </w:pPr>
      <w:r w:rsidRPr="006E56A1">
        <w:rPr>
          <w:rFonts w:eastAsiaTheme="minorEastAsia"/>
        </w:rPr>
        <w:t>Fidji se caractérise par une forte accessibilité dans le contexte du Pacifique. Il s'agit d'un pôle important du transport international qui dispose d'une connectivité relativement solide avec les pays du Pacifique. Le pays offre donc des avantages concrets pour la collaboration régionale, la participation aux réunions et aux missions et le déplacement du personnel et des partenaires dans toute la sous-région.</w:t>
      </w:r>
    </w:p>
    <w:p w14:paraId="118314BE" w14:textId="77777777" w:rsidR="000B7BDE" w:rsidRPr="006E56A1" w:rsidRDefault="000B7BDE" w:rsidP="000B7BDE">
      <w:pPr>
        <w:keepLines/>
        <w:rPr>
          <w:rFonts w:eastAsiaTheme="minorEastAsia"/>
        </w:rPr>
      </w:pPr>
      <w:r w:rsidRPr="006E56A1">
        <w:rPr>
          <w:rFonts w:eastAsiaTheme="minorEastAsia"/>
        </w:rPr>
        <w:lastRenderedPageBreak/>
        <w:t>La possibilité pour de nombreux voyageurs internationaux de bénéficier d'un visa à l'arrivée renforce encore l'accessibilité de Fidji. Ces facteurs sont pertinents pour déterminer si la présence de l'UIT dans ce pays permettrait d'établir des connexions appropriées avec les pays desservis par le bureau.</w:t>
      </w:r>
    </w:p>
    <w:p w14:paraId="6CBF6EA0" w14:textId="77777777" w:rsidR="000B7BDE" w:rsidRPr="006E56A1" w:rsidRDefault="000B7BDE" w:rsidP="000B7BDE">
      <w:pPr>
        <w:pStyle w:val="AnnexNo"/>
      </w:pPr>
      <w:r w:rsidRPr="006E56A1">
        <w:br w:type="page"/>
      </w:r>
      <w:bookmarkStart w:id="9" w:name="Annex2"/>
      <w:r w:rsidRPr="006E56A1">
        <w:lastRenderedPageBreak/>
        <w:t>Annexe 2</w:t>
      </w:r>
      <w:bookmarkEnd w:id="9"/>
    </w:p>
    <w:p w14:paraId="0703D369" w14:textId="77777777" w:rsidR="000B7BDE" w:rsidRPr="006E56A1" w:rsidRDefault="000B7BDE" w:rsidP="00E359D2">
      <w:pPr>
        <w:pStyle w:val="Headingb"/>
        <w:spacing w:before="360"/>
      </w:pPr>
      <w:r w:rsidRPr="006E56A1">
        <w:t>Calcul des éléments financiers</w:t>
      </w:r>
    </w:p>
    <w:p w14:paraId="38D20A2F" w14:textId="77777777" w:rsidR="000B7BDE" w:rsidRPr="006E56A1" w:rsidRDefault="000B7BDE" w:rsidP="00E13C62">
      <w:pPr>
        <w:spacing w:after="240"/>
      </w:pPr>
      <w:r w:rsidRPr="006E56A1">
        <w:t>Pour le fonctionnement d'un bureau quelconque de l'UIT, la Règle financière 5.1 de l'UIT énonce neuf catégories de coûts indiquées dans le tableau ci-dessous. L'analyse des coûts d'un éventuel bureau de l'UIT à Suva (Fidji) s'articule autour de ces catégories de charges. Cette organisation offre un cadre cohérent pour classer les composantes des charges de personnel et autres que de personnel utilisées largement dans les documents financiers de l'UIT.</w:t>
      </w:r>
    </w:p>
    <w:tbl>
      <w:tblPr>
        <w:tblStyle w:val="TableGrid"/>
        <w:tblW w:w="9739" w:type="dxa"/>
        <w:jc w:val="center"/>
        <w:tblLayout w:type="fixed"/>
        <w:tblLook w:val="04A0" w:firstRow="1" w:lastRow="0" w:firstColumn="1" w:lastColumn="0" w:noHBand="0" w:noVBand="1"/>
      </w:tblPr>
      <w:tblGrid>
        <w:gridCol w:w="1413"/>
        <w:gridCol w:w="2268"/>
        <w:gridCol w:w="6058"/>
      </w:tblGrid>
      <w:tr w:rsidR="000B7BDE" w:rsidRPr="006E56A1" w14:paraId="7B80B19F" w14:textId="77777777" w:rsidTr="00E13C62">
        <w:trPr>
          <w:cantSplit/>
          <w:tblHeader/>
          <w:jc w:val="center"/>
        </w:trPr>
        <w:tc>
          <w:tcPr>
            <w:tcW w:w="1413" w:type="dxa"/>
          </w:tcPr>
          <w:p w14:paraId="077408DE" w14:textId="77777777" w:rsidR="000B7BDE" w:rsidRPr="006E56A1" w:rsidRDefault="000B7BDE" w:rsidP="004A63F7">
            <w:pPr>
              <w:pStyle w:val="Tablehead"/>
            </w:pPr>
            <w:r w:rsidRPr="006E56A1">
              <w:t>Catégorie</w:t>
            </w:r>
          </w:p>
        </w:tc>
        <w:tc>
          <w:tcPr>
            <w:tcW w:w="2268" w:type="dxa"/>
          </w:tcPr>
          <w:p w14:paraId="0984E320" w14:textId="77777777" w:rsidR="000B7BDE" w:rsidRPr="006E56A1" w:rsidRDefault="000B7BDE" w:rsidP="004A63F7">
            <w:pPr>
              <w:pStyle w:val="Tablehead"/>
            </w:pPr>
            <w:r w:rsidRPr="006E56A1">
              <w:t>Catégorie de charges</w:t>
            </w:r>
          </w:p>
        </w:tc>
        <w:tc>
          <w:tcPr>
            <w:tcW w:w="6058" w:type="dxa"/>
          </w:tcPr>
          <w:p w14:paraId="4A09F820" w14:textId="77777777" w:rsidR="000B7BDE" w:rsidRPr="006E56A1" w:rsidRDefault="000B7BDE" w:rsidP="004A63F7">
            <w:pPr>
              <w:pStyle w:val="Tablehead"/>
            </w:pPr>
            <w:r w:rsidRPr="006E56A1">
              <w:t>Description</w:t>
            </w:r>
          </w:p>
        </w:tc>
      </w:tr>
      <w:tr w:rsidR="000B7BDE" w:rsidRPr="006E56A1" w14:paraId="3BC4F1B3" w14:textId="77777777" w:rsidTr="00E13C62">
        <w:trPr>
          <w:cantSplit/>
          <w:jc w:val="center"/>
        </w:trPr>
        <w:tc>
          <w:tcPr>
            <w:tcW w:w="1413" w:type="dxa"/>
          </w:tcPr>
          <w:p w14:paraId="132B2457" w14:textId="77777777" w:rsidR="000B7BDE" w:rsidRPr="006E56A1" w:rsidRDefault="000B7BDE" w:rsidP="004A63F7">
            <w:pPr>
              <w:pStyle w:val="Tabletext"/>
            </w:pPr>
            <w:r w:rsidRPr="006E56A1">
              <w:t>Catégorie 1</w:t>
            </w:r>
          </w:p>
        </w:tc>
        <w:tc>
          <w:tcPr>
            <w:tcW w:w="2268" w:type="dxa"/>
          </w:tcPr>
          <w:p w14:paraId="791DCF94" w14:textId="77777777" w:rsidR="000B7BDE" w:rsidRPr="006E56A1" w:rsidRDefault="000B7BDE" w:rsidP="004A63F7">
            <w:pPr>
              <w:pStyle w:val="Tabletext"/>
            </w:pPr>
            <w:r w:rsidRPr="006E56A1">
              <w:t>Charges de personnel, traitements et indemnités compris</w:t>
            </w:r>
          </w:p>
        </w:tc>
        <w:tc>
          <w:tcPr>
            <w:tcW w:w="6058" w:type="dxa"/>
          </w:tcPr>
          <w:p w14:paraId="07B166E4" w14:textId="77777777" w:rsidR="000B7BDE" w:rsidRPr="006E56A1" w:rsidRDefault="000B7BDE" w:rsidP="004A63F7">
            <w:pPr>
              <w:pStyle w:val="Tabletext"/>
            </w:pPr>
            <w:r w:rsidRPr="006E56A1">
              <w:t>Comprend les rémunérations versées régulièrement aux titulaires de postes permanents, au personnel des conférences et au personnel bénéficiant de contrats de courte durée, à l'exclusion du personnel au bénéfice d'un contrat d'engagement spécial. Ces charges incluent les traitements de base, indemnités de poste, primes pour connaissances linguistiques, indemnités de non-résident, allocations familiales et heures supplémentaires.</w:t>
            </w:r>
          </w:p>
        </w:tc>
      </w:tr>
      <w:tr w:rsidR="000B7BDE" w:rsidRPr="006E56A1" w14:paraId="05292EF3" w14:textId="77777777" w:rsidTr="00E13C62">
        <w:trPr>
          <w:cantSplit/>
          <w:jc w:val="center"/>
        </w:trPr>
        <w:tc>
          <w:tcPr>
            <w:tcW w:w="1413" w:type="dxa"/>
          </w:tcPr>
          <w:p w14:paraId="0D7934B3" w14:textId="77777777" w:rsidR="000B7BDE" w:rsidRPr="006E56A1" w:rsidRDefault="000B7BDE" w:rsidP="004A63F7">
            <w:pPr>
              <w:pStyle w:val="Tabletext"/>
            </w:pPr>
            <w:r w:rsidRPr="006E56A1">
              <w:t>Catégorie 2</w:t>
            </w:r>
          </w:p>
        </w:tc>
        <w:tc>
          <w:tcPr>
            <w:tcW w:w="2268" w:type="dxa"/>
          </w:tcPr>
          <w:p w14:paraId="7DE7743E" w14:textId="77777777" w:rsidR="000B7BDE" w:rsidRPr="006E56A1" w:rsidRDefault="000B7BDE" w:rsidP="004A63F7">
            <w:pPr>
              <w:pStyle w:val="Tabletext"/>
            </w:pPr>
            <w:r w:rsidRPr="006E56A1">
              <w:t>Autres charges de personnel</w:t>
            </w:r>
          </w:p>
        </w:tc>
        <w:tc>
          <w:tcPr>
            <w:tcW w:w="6058" w:type="dxa"/>
          </w:tcPr>
          <w:p w14:paraId="336357B9" w14:textId="77777777" w:rsidR="000B7BDE" w:rsidRPr="006E56A1" w:rsidRDefault="000B7BDE" w:rsidP="004A63F7">
            <w:pPr>
              <w:pStyle w:val="Tabletext"/>
            </w:pPr>
            <w:r w:rsidRPr="006E56A1">
              <w:t>Comprend les charges liées au personnel telles que les contributions de l'Union à la Caisse des pensions et à la Caisse d'assurance maladie, au Service médical des Nations Unies, à l'assurance collective accidents, les indemnités pour frais d'études et les voyages au titre des études, les frais de voyage à l'entrée en fonction ou lors de la cessation de service, les frais d'installation et de rapatriement, les déplacements lors des congés dans les foyers, les congés accumulés, les faux frais au départ et à l'arrivée et les frais de déménagement.</w:t>
            </w:r>
          </w:p>
        </w:tc>
      </w:tr>
      <w:tr w:rsidR="000B7BDE" w:rsidRPr="006E56A1" w14:paraId="1F83D2ED" w14:textId="77777777" w:rsidTr="00E13C62">
        <w:trPr>
          <w:cantSplit/>
          <w:jc w:val="center"/>
        </w:trPr>
        <w:tc>
          <w:tcPr>
            <w:tcW w:w="1413" w:type="dxa"/>
          </w:tcPr>
          <w:p w14:paraId="17FAD27B" w14:textId="77777777" w:rsidR="000B7BDE" w:rsidRPr="006E56A1" w:rsidRDefault="000B7BDE" w:rsidP="004A63F7">
            <w:pPr>
              <w:pStyle w:val="Tabletext"/>
            </w:pPr>
            <w:r w:rsidRPr="006E56A1">
              <w:t>Catégorie 3</w:t>
            </w:r>
          </w:p>
        </w:tc>
        <w:tc>
          <w:tcPr>
            <w:tcW w:w="2268" w:type="dxa"/>
          </w:tcPr>
          <w:p w14:paraId="0C6986FD" w14:textId="77777777" w:rsidR="000B7BDE" w:rsidRPr="006E56A1" w:rsidRDefault="000B7BDE" w:rsidP="004A63F7">
            <w:pPr>
              <w:pStyle w:val="Tabletext"/>
            </w:pPr>
            <w:r w:rsidRPr="006E56A1">
              <w:t>Frais de mission</w:t>
            </w:r>
          </w:p>
        </w:tc>
        <w:tc>
          <w:tcPr>
            <w:tcW w:w="6058" w:type="dxa"/>
          </w:tcPr>
          <w:p w14:paraId="476C4445" w14:textId="77777777" w:rsidR="000B7BDE" w:rsidRPr="006E56A1" w:rsidRDefault="000B7BDE" w:rsidP="004A63F7">
            <w:pPr>
              <w:pStyle w:val="Tabletext"/>
            </w:pPr>
            <w:r w:rsidRPr="006E56A1">
              <w:t>Comprend les frais de voyage officiels pour les missions, conférences et réunions, y compris les billets de transport, l'indemnité journalière de subsistance, les faux frais au départ et à l'arrivée et les assurances. Ces frais comprennent également les voyages des délégués assistant aux sessions du Conseil, les missions des fonctionnaires des Secteurs et du Secrétariat général et leurs consultants, ainsi que les programmes de bourses. Les déplacements liés au recrutement de personnel, les congés dans les foyers et le rapatriement sont exclus de cette catégorie.</w:t>
            </w:r>
          </w:p>
        </w:tc>
      </w:tr>
      <w:tr w:rsidR="000B7BDE" w:rsidRPr="006E56A1" w14:paraId="06519F8D" w14:textId="77777777" w:rsidTr="00E13C62">
        <w:trPr>
          <w:cantSplit/>
          <w:jc w:val="center"/>
        </w:trPr>
        <w:tc>
          <w:tcPr>
            <w:tcW w:w="1413" w:type="dxa"/>
          </w:tcPr>
          <w:p w14:paraId="1F3F88FE" w14:textId="77777777" w:rsidR="000B7BDE" w:rsidRPr="006E56A1" w:rsidRDefault="000B7BDE" w:rsidP="004A63F7">
            <w:pPr>
              <w:pStyle w:val="Tabletext"/>
            </w:pPr>
            <w:r w:rsidRPr="006E56A1">
              <w:t>Catégorie 4</w:t>
            </w:r>
          </w:p>
        </w:tc>
        <w:tc>
          <w:tcPr>
            <w:tcW w:w="2268" w:type="dxa"/>
          </w:tcPr>
          <w:p w14:paraId="63774945" w14:textId="77777777" w:rsidR="000B7BDE" w:rsidRPr="006E56A1" w:rsidRDefault="000B7BDE" w:rsidP="004A63F7">
            <w:pPr>
              <w:pStyle w:val="Tabletext"/>
            </w:pPr>
            <w:r w:rsidRPr="006E56A1">
              <w:t>Services contractuels</w:t>
            </w:r>
          </w:p>
        </w:tc>
        <w:tc>
          <w:tcPr>
            <w:tcW w:w="6058" w:type="dxa"/>
          </w:tcPr>
          <w:p w14:paraId="7242C377" w14:textId="77777777" w:rsidR="000B7BDE" w:rsidRPr="006E56A1" w:rsidRDefault="000B7BDE" w:rsidP="004A63F7">
            <w:pPr>
              <w:pStyle w:val="Tabletext"/>
            </w:pPr>
            <w:r w:rsidRPr="006E56A1">
              <w:t>Comprend les émoluments, honoraires et frais de déplacement entre l'Organisation et le lieu de résidence, payés à des consultants et à des sociétés intervenant dans le cadre d'accords et de dispositions contractuels. Les contrats d'engagement spécial entrent dans cette catégorie, tout comme les frais de formation et les services achetés à l'extérieur, tels que les services d'impression et d'informatique.</w:t>
            </w:r>
          </w:p>
        </w:tc>
      </w:tr>
      <w:tr w:rsidR="000B7BDE" w:rsidRPr="006E56A1" w14:paraId="61FE5B0D" w14:textId="77777777" w:rsidTr="00E13C62">
        <w:trPr>
          <w:cantSplit/>
          <w:jc w:val="center"/>
        </w:trPr>
        <w:tc>
          <w:tcPr>
            <w:tcW w:w="1413" w:type="dxa"/>
          </w:tcPr>
          <w:p w14:paraId="04628652" w14:textId="77777777" w:rsidR="000B7BDE" w:rsidRPr="006E56A1" w:rsidRDefault="000B7BDE" w:rsidP="004A63F7">
            <w:pPr>
              <w:pStyle w:val="Tabletext"/>
            </w:pPr>
            <w:r w:rsidRPr="006E56A1">
              <w:lastRenderedPageBreak/>
              <w:t>Catégorie 5</w:t>
            </w:r>
          </w:p>
        </w:tc>
        <w:tc>
          <w:tcPr>
            <w:tcW w:w="2268" w:type="dxa"/>
          </w:tcPr>
          <w:p w14:paraId="52C79DB4" w14:textId="77777777" w:rsidR="000B7BDE" w:rsidRPr="006E56A1" w:rsidRDefault="000B7BDE" w:rsidP="004A63F7">
            <w:pPr>
              <w:pStyle w:val="Tabletext"/>
            </w:pPr>
            <w:r w:rsidRPr="006E56A1">
              <w:t>Location et entretien des locaux et équipements</w:t>
            </w:r>
          </w:p>
        </w:tc>
        <w:tc>
          <w:tcPr>
            <w:tcW w:w="6058" w:type="dxa"/>
          </w:tcPr>
          <w:p w14:paraId="4EF9D8C8" w14:textId="77777777" w:rsidR="000B7BDE" w:rsidRPr="006E56A1" w:rsidRDefault="000B7BDE" w:rsidP="004A63F7">
            <w:pPr>
              <w:pStyle w:val="Tabletext"/>
            </w:pPr>
            <w:r w:rsidRPr="006E56A1">
              <w:t>Comprend la location de salles de conférence, de salles de réunion, de places de stockage et de parking, des équipements informatiques et autres machines de bureau, ainsi que l'entretien des bâtiments, des terrains, des véhicules, des équipements techniques et informatiques et les assurances connexes contre les incendies, les inondations et dommages divers.</w:t>
            </w:r>
          </w:p>
        </w:tc>
      </w:tr>
      <w:tr w:rsidR="000B7BDE" w:rsidRPr="006E56A1" w14:paraId="2127E5AC" w14:textId="77777777" w:rsidTr="00E13C62">
        <w:trPr>
          <w:cantSplit/>
          <w:jc w:val="center"/>
        </w:trPr>
        <w:tc>
          <w:tcPr>
            <w:tcW w:w="1413" w:type="dxa"/>
          </w:tcPr>
          <w:p w14:paraId="75F7FF39" w14:textId="77777777" w:rsidR="000B7BDE" w:rsidRPr="006E56A1" w:rsidRDefault="000B7BDE" w:rsidP="004A63F7">
            <w:pPr>
              <w:pStyle w:val="Tabletext"/>
            </w:pPr>
            <w:r w:rsidRPr="006E56A1">
              <w:t>Catégorie 6</w:t>
            </w:r>
          </w:p>
        </w:tc>
        <w:tc>
          <w:tcPr>
            <w:tcW w:w="2268" w:type="dxa"/>
          </w:tcPr>
          <w:p w14:paraId="4607376D" w14:textId="77777777" w:rsidR="000B7BDE" w:rsidRPr="006E56A1" w:rsidRDefault="000B7BDE" w:rsidP="004A63F7">
            <w:pPr>
              <w:pStyle w:val="Tabletext"/>
            </w:pPr>
            <w:r w:rsidRPr="006E56A1">
              <w:t>Matériels et fournitures</w:t>
            </w:r>
          </w:p>
        </w:tc>
        <w:tc>
          <w:tcPr>
            <w:tcW w:w="6058" w:type="dxa"/>
          </w:tcPr>
          <w:p w14:paraId="1DE6250B" w14:textId="77777777" w:rsidR="000B7BDE" w:rsidRPr="006E56A1" w:rsidRDefault="000B7BDE" w:rsidP="004A63F7">
            <w:pPr>
              <w:pStyle w:val="Tabletext"/>
            </w:pPr>
            <w:r w:rsidRPr="006E56A1">
              <w:t>Comprend les fournitures de bureau, les fournitures pour imprimantes, les formulaires, les cartes, les journaux, les livres et reliures, les fournitures informatiques et les logiciels informatiques.</w:t>
            </w:r>
          </w:p>
        </w:tc>
      </w:tr>
      <w:tr w:rsidR="000B7BDE" w:rsidRPr="006E56A1" w14:paraId="7DF8AD6D" w14:textId="77777777" w:rsidTr="00E13C62">
        <w:trPr>
          <w:cantSplit/>
          <w:jc w:val="center"/>
        </w:trPr>
        <w:tc>
          <w:tcPr>
            <w:tcW w:w="1413" w:type="dxa"/>
          </w:tcPr>
          <w:p w14:paraId="12A2C6B0" w14:textId="77777777" w:rsidR="000B7BDE" w:rsidRPr="006E56A1" w:rsidRDefault="000B7BDE" w:rsidP="004A63F7">
            <w:pPr>
              <w:pStyle w:val="Tabletext"/>
            </w:pPr>
            <w:r w:rsidRPr="006E56A1">
              <w:t>Catégorie 7</w:t>
            </w:r>
          </w:p>
        </w:tc>
        <w:tc>
          <w:tcPr>
            <w:tcW w:w="2268" w:type="dxa"/>
          </w:tcPr>
          <w:p w14:paraId="09AD0131" w14:textId="77777777" w:rsidR="000B7BDE" w:rsidRPr="006E56A1" w:rsidRDefault="000B7BDE" w:rsidP="004A63F7">
            <w:pPr>
              <w:pStyle w:val="Tabletext"/>
            </w:pPr>
            <w:r w:rsidRPr="006E56A1">
              <w:t>Acquisition de locaux, de mobilier et de matériel</w:t>
            </w:r>
          </w:p>
        </w:tc>
        <w:tc>
          <w:tcPr>
            <w:tcW w:w="6058" w:type="dxa"/>
          </w:tcPr>
          <w:p w14:paraId="4D137191" w14:textId="77777777" w:rsidR="000B7BDE" w:rsidRPr="006E56A1" w:rsidRDefault="000B7BDE" w:rsidP="004A63F7">
            <w:pPr>
              <w:pStyle w:val="Tabletext"/>
            </w:pPr>
            <w:r w:rsidRPr="006E56A1">
              <w:t>Comprend les éléments de capital, y compris les versements pour l'acquisition des bâtiments et autres locaux de l'Union ainsi que l'achat de mobilier, d'ordinateurs et d'autres équipements et installations techniques.</w:t>
            </w:r>
          </w:p>
        </w:tc>
      </w:tr>
      <w:tr w:rsidR="000B7BDE" w:rsidRPr="006E56A1" w14:paraId="5FF87506" w14:textId="77777777" w:rsidTr="00E13C62">
        <w:trPr>
          <w:cantSplit/>
          <w:jc w:val="center"/>
        </w:trPr>
        <w:tc>
          <w:tcPr>
            <w:tcW w:w="1413" w:type="dxa"/>
          </w:tcPr>
          <w:p w14:paraId="48222210" w14:textId="77777777" w:rsidR="000B7BDE" w:rsidRPr="006E56A1" w:rsidRDefault="000B7BDE" w:rsidP="004A63F7">
            <w:pPr>
              <w:pStyle w:val="Tabletext"/>
            </w:pPr>
            <w:r w:rsidRPr="006E56A1">
              <w:t>Catégorie 8</w:t>
            </w:r>
          </w:p>
        </w:tc>
        <w:tc>
          <w:tcPr>
            <w:tcW w:w="2268" w:type="dxa"/>
          </w:tcPr>
          <w:p w14:paraId="60819634" w14:textId="77777777" w:rsidR="000B7BDE" w:rsidRPr="006E56A1" w:rsidRDefault="000B7BDE" w:rsidP="004A63F7">
            <w:pPr>
              <w:pStyle w:val="Tabletext"/>
            </w:pPr>
            <w:r w:rsidRPr="006E56A1">
              <w:t>Services publics et services intérieurs</w:t>
            </w:r>
          </w:p>
        </w:tc>
        <w:tc>
          <w:tcPr>
            <w:tcW w:w="6058" w:type="dxa"/>
          </w:tcPr>
          <w:p w14:paraId="666C3349" w14:textId="77777777" w:rsidR="000B7BDE" w:rsidRPr="006E56A1" w:rsidRDefault="000B7BDE" w:rsidP="004A63F7">
            <w:pPr>
              <w:pStyle w:val="Tabletext"/>
            </w:pPr>
            <w:r w:rsidRPr="006E56A1">
              <w:t>Ces charges ont trait aux services officiels fournis tels que: électricité, gaz, eau, poste, services téléphoniques et télégraphiques, chauffage et entretien des bâtiments.</w:t>
            </w:r>
          </w:p>
        </w:tc>
      </w:tr>
      <w:tr w:rsidR="000B7BDE" w:rsidRPr="006E56A1" w14:paraId="2F5B3273" w14:textId="77777777" w:rsidTr="00E13C62">
        <w:trPr>
          <w:cantSplit/>
          <w:jc w:val="center"/>
        </w:trPr>
        <w:tc>
          <w:tcPr>
            <w:tcW w:w="1413" w:type="dxa"/>
          </w:tcPr>
          <w:p w14:paraId="59AE4A89" w14:textId="77777777" w:rsidR="000B7BDE" w:rsidRPr="006E56A1" w:rsidRDefault="000B7BDE" w:rsidP="004A63F7">
            <w:pPr>
              <w:pStyle w:val="Tabletext"/>
            </w:pPr>
            <w:r w:rsidRPr="006E56A1">
              <w:t>Catégorie 9</w:t>
            </w:r>
          </w:p>
        </w:tc>
        <w:tc>
          <w:tcPr>
            <w:tcW w:w="2268" w:type="dxa"/>
          </w:tcPr>
          <w:p w14:paraId="0E6E3E11" w14:textId="77777777" w:rsidR="000B7BDE" w:rsidRPr="006E56A1" w:rsidRDefault="000B7BDE" w:rsidP="004A63F7">
            <w:pPr>
              <w:pStyle w:val="Tabletext"/>
            </w:pPr>
            <w:r w:rsidRPr="006E56A1">
              <w:t>Vérification des comptes et contributions interorganisations et divers</w:t>
            </w:r>
          </w:p>
        </w:tc>
        <w:tc>
          <w:tcPr>
            <w:tcW w:w="6058" w:type="dxa"/>
          </w:tcPr>
          <w:p w14:paraId="364FD2EA" w14:textId="77777777" w:rsidR="000B7BDE" w:rsidRPr="006E56A1" w:rsidRDefault="000B7BDE" w:rsidP="004A63F7">
            <w:pPr>
              <w:pStyle w:val="Tabletext"/>
            </w:pPr>
            <w:r w:rsidRPr="006E56A1">
              <w:t>Comprend la vérification extérieure annuelle statutaire des comptes de l'Union et la participation de l'UIT aux comités et services interorganisations des Nations Unies, dont des organes tels que le Corps commun d'inspection, le Comité de haut niveau sur la gestion et le Bureau interorganisations pour les systèmes informatiques. Cette catégorie englobe également les dépenses diverses prévues mais ne pouvant pas raisonnablement être classées dans les autres catégories, notamment les frais de représentation et d'hospitalité.</w:t>
            </w:r>
          </w:p>
        </w:tc>
      </w:tr>
    </w:tbl>
    <w:p w14:paraId="58AB3EA4" w14:textId="77777777" w:rsidR="000B7BDE" w:rsidRPr="006E56A1" w:rsidRDefault="000B7BDE" w:rsidP="000B7BDE">
      <w:pPr>
        <w:tabs>
          <w:tab w:val="clear" w:pos="567"/>
          <w:tab w:val="clear" w:pos="1134"/>
          <w:tab w:val="clear" w:pos="1701"/>
          <w:tab w:val="clear" w:pos="2268"/>
          <w:tab w:val="clear" w:pos="2835"/>
        </w:tabs>
        <w:overflowPunct/>
        <w:autoSpaceDE/>
        <w:autoSpaceDN/>
        <w:adjustRightInd/>
        <w:spacing w:before="0"/>
        <w:textAlignment w:val="auto"/>
        <w:rPr>
          <w:b/>
          <w:sz w:val="28"/>
          <w:szCs w:val="28"/>
        </w:rPr>
      </w:pPr>
      <w:r w:rsidRPr="006E56A1">
        <w:br w:type="page"/>
      </w:r>
    </w:p>
    <w:p w14:paraId="3C8F03C1" w14:textId="77777777" w:rsidR="000B7BDE" w:rsidRPr="006E56A1" w:rsidRDefault="000B7BDE" w:rsidP="002524DA">
      <w:pPr>
        <w:pStyle w:val="AnnexNo"/>
        <w:spacing w:after="360"/>
      </w:pPr>
      <w:bookmarkStart w:id="10" w:name="Annex3"/>
      <w:r w:rsidRPr="006E56A1">
        <w:lastRenderedPageBreak/>
        <w:t>Annexe 3</w:t>
      </w:r>
      <w:bookmarkEnd w:id="10"/>
    </w:p>
    <w:p w14:paraId="0792D70E" w14:textId="77777777" w:rsidR="000B7BDE" w:rsidRPr="006E56A1" w:rsidRDefault="000B7BDE" w:rsidP="000B7BDE">
      <w:pPr>
        <w:pStyle w:val="Tabletitle"/>
      </w:pPr>
      <w:r w:rsidRPr="006E56A1">
        <w:t>Estimations des traitements annuels par grade et pays (CHF)</w:t>
      </w:r>
    </w:p>
    <w:tbl>
      <w:tblPr>
        <w:tblStyle w:val="TableGrid"/>
        <w:tblW w:w="3337" w:type="dxa"/>
        <w:jc w:val="center"/>
        <w:tblLayout w:type="fixed"/>
        <w:tblLook w:val="04A0" w:firstRow="1" w:lastRow="0" w:firstColumn="1" w:lastColumn="0" w:noHBand="0" w:noVBand="1"/>
      </w:tblPr>
      <w:tblGrid>
        <w:gridCol w:w="1494"/>
        <w:gridCol w:w="1843"/>
      </w:tblGrid>
      <w:tr w:rsidR="000B7BDE" w:rsidRPr="006E56A1" w14:paraId="2D44DCAB" w14:textId="77777777" w:rsidTr="004A63F7">
        <w:trPr>
          <w:cantSplit/>
          <w:jc w:val="center"/>
        </w:trPr>
        <w:tc>
          <w:tcPr>
            <w:tcW w:w="1494" w:type="dxa"/>
          </w:tcPr>
          <w:p w14:paraId="2750E0E5" w14:textId="77777777" w:rsidR="000B7BDE" w:rsidRPr="006E56A1" w:rsidRDefault="000B7BDE" w:rsidP="004A63F7">
            <w:pPr>
              <w:pStyle w:val="Tablehead"/>
            </w:pPr>
            <w:r w:rsidRPr="006E56A1">
              <w:t>Grade</w:t>
            </w:r>
          </w:p>
        </w:tc>
        <w:tc>
          <w:tcPr>
            <w:tcW w:w="1843" w:type="dxa"/>
          </w:tcPr>
          <w:p w14:paraId="64D07C7E" w14:textId="77777777" w:rsidR="000B7BDE" w:rsidRPr="006E56A1" w:rsidRDefault="000B7BDE" w:rsidP="004A63F7">
            <w:pPr>
              <w:pStyle w:val="Tablehead"/>
            </w:pPr>
            <w:r w:rsidRPr="006E56A1">
              <w:t>Fidji</w:t>
            </w:r>
          </w:p>
        </w:tc>
      </w:tr>
      <w:tr w:rsidR="000B7BDE" w:rsidRPr="006E56A1" w14:paraId="75A2D2A4" w14:textId="77777777" w:rsidTr="004A63F7">
        <w:trPr>
          <w:cantSplit/>
          <w:jc w:val="center"/>
        </w:trPr>
        <w:tc>
          <w:tcPr>
            <w:tcW w:w="1494" w:type="dxa"/>
          </w:tcPr>
          <w:p w14:paraId="45D25F5E" w14:textId="77777777" w:rsidR="000B7BDE" w:rsidRPr="006E56A1" w:rsidRDefault="000B7BDE" w:rsidP="004A63F7">
            <w:pPr>
              <w:pStyle w:val="Tabletext"/>
              <w:jc w:val="center"/>
            </w:pPr>
            <w:r w:rsidRPr="006E56A1">
              <w:t>P5</w:t>
            </w:r>
          </w:p>
        </w:tc>
        <w:tc>
          <w:tcPr>
            <w:tcW w:w="1843" w:type="dxa"/>
          </w:tcPr>
          <w:p w14:paraId="32A16B6C" w14:textId="77777777" w:rsidR="000B7BDE" w:rsidRPr="006E56A1" w:rsidRDefault="000B7BDE" w:rsidP="004A63F7">
            <w:pPr>
              <w:pStyle w:val="Tabletext"/>
              <w:jc w:val="right"/>
            </w:pPr>
            <w:r w:rsidRPr="006E56A1">
              <w:t>193 206</w:t>
            </w:r>
          </w:p>
        </w:tc>
      </w:tr>
      <w:tr w:rsidR="000B7BDE" w:rsidRPr="006E56A1" w14:paraId="641201FB" w14:textId="77777777" w:rsidTr="004A63F7">
        <w:trPr>
          <w:cantSplit/>
          <w:jc w:val="center"/>
        </w:trPr>
        <w:tc>
          <w:tcPr>
            <w:tcW w:w="1494" w:type="dxa"/>
          </w:tcPr>
          <w:p w14:paraId="0277D791" w14:textId="77777777" w:rsidR="000B7BDE" w:rsidRPr="006E56A1" w:rsidRDefault="000B7BDE" w:rsidP="004A63F7">
            <w:pPr>
              <w:pStyle w:val="Tabletext"/>
              <w:jc w:val="center"/>
            </w:pPr>
            <w:r w:rsidRPr="006E56A1">
              <w:t>P3</w:t>
            </w:r>
          </w:p>
        </w:tc>
        <w:tc>
          <w:tcPr>
            <w:tcW w:w="1843" w:type="dxa"/>
          </w:tcPr>
          <w:p w14:paraId="4A957E10" w14:textId="77777777" w:rsidR="000B7BDE" w:rsidRPr="006E56A1" w:rsidRDefault="000B7BDE" w:rsidP="004A63F7">
            <w:pPr>
              <w:pStyle w:val="Tabletext"/>
              <w:jc w:val="right"/>
            </w:pPr>
            <w:r w:rsidRPr="006E56A1">
              <w:t>140 937</w:t>
            </w:r>
          </w:p>
        </w:tc>
      </w:tr>
      <w:tr w:rsidR="000B7BDE" w:rsidRPr="006E56A1" w14:paraId="786C725B" w14:textId="77777777" w:rsidTr="004A63F7">
        <w:trPr>
          <w:cantSplit/>
          <w:jc w:val="center"/>
        </w:trPr>
        <w:tc>
          <w:tcPr>
            <w:tcW w:w="1494" w:type="dxa"/>
          </w:tcPr>
          <w:p w14:paraId="21E2E6AF" w14:textId="77777777" w:rsidR="000B7BDE" w:rsidRPr="006E56A1" w:rsidRDefault="000B7BDE" w:rsidP="004A63F7">
            <w:pPr>
              <w:pStyle w:val="Tabletext"/>
              <w:jc w:val="center"/>
            </w:pPr>
            <w:r w:rsidRPr="006E56A1">
              <w:t>G5</w:t>
            </w:r>
          </w:p>
        </w:tc>
        <w:tc>
          <w:tcPr>
            <w:tcW w:w="1843" w:type="dxa"/>
          </w:tcPr>
          <w:p w14:paraId="18B87BA7" w14:textId="77777777" w:rsidR="000B7BDE" w:rsidRPr="006E56A1" w:rsidRDefault="000B7BDE" w:rsidP="004A63F7">
            <w:pPr>
              <w:pStyle w:val="Tabletext"/>
              <w:jc w:val="right"/>
            </w:pPr>
            <w:r w:rsidRPr="006E56A1">
              <w:t>46 934</w:t>
            </w:r>
          </w:p>
        </w:tc>
      </w:tr>
    </w:tbl>
    <w:p w14:paraId="736C1234" w14:textId="77777777" w:rsidR="000B7BDE" w:rsidRPr="006E56A1" w:rsidRDefault="000B7BDE" w:rsidP="000B7BDE">
      <w:pPr>
        <w:pStyle w:val="Tablefin"/>
        <w:rPr>
          <w:lang w:val="fr-FR"/>
        </w:rPr>
      </w:pPr>
    </w:p>
    <w:p w14:paraId="14034C8E" w14:textId="035953A5" w:rsidR="000B7BDE" w:rsidRPr="006E56A1" w:rsidRDefault="000B7BDE" w:rsidP="000B7BDE">
      <w:pPr>
        <w:pStyle w:val="Tabletitle"/>
      </w:pPr>
      <w:r w:rsidRPr="006E56A1">
        <w:t>Estimations budgétaires totales des dépenses autres que les dépenses de personnel</w:t>
      </w:r>
      <w:r w:rsidR="006623C9" w:rsidRPr="006E56A1">
        <w:br/>
      </w:r>
      <w:r w:rsidRPr="006E56A1">
        <w:t>pour les locaux du PIFS (trois fonctionnaires)</w:t>
      </w:r>
    </w:p>
    <w:tbl>
      <w:tblPr>
        <w:tblStyle w:val="TableGrid"/>
        <w:tblW w:w="10162" w:type="dxa"/>
        <w:jc w:val="center"/>
        <w:tblLayout w:type="fixed"/>
        <w:tblLook w:val="04A0" w:firstRow="1" w:lastRow="0" w:firstColumn="1" w:lastColumn="0" w:noHBand="0" w:noVBand="1"/>
      </w:tblPr>
      <w:tblGrid>
        <w:gridCol w:w="1156"/>
        <w:gridCol w:w="2087"/>
        <w:gridCol w:w="1364"/>
        <w:gridCol w:w="1300"/>
        <w:gridCol w:w="1372"/>
        <w:gridCol w:w="1266"/>
        <w:gridCol w:w="1617"/>
      </w:tblGrid>
      <w:tr w:rsidR="000B7BDE" w:rsidRPr="006E56A1" w14:paraId="42F8E07D" w14:textId="77777777" w:rsidTr="006623C9">
        <w:trPr>
          <w:cantSplit/>
          <w:tblHeader/>
          <w:jc w:val="center"/>
        </w:trPr>
        <w:tc>
          <w:tcPr>
            <w:tcW w:w="1156" w:type="dxa"/>
            <w:hideMark/>
          </w:tcPr>
          <w:p w14:paraId="5D9C9A35" w14:textId="56A5F911" w:rsidR="000B7BDE" w:rsidRPr="006E56A1" w:rsidRDefault="000B7BDE" w:rsidP="003542EE">
            <w:pPr>
              <w:pStyle w:val="Tablehead"/>
            </w:pPr>
            <w:r w:rsidRPr="006E56A1">
              <w:t>Catégorie</w:t>
            </w:r>
          </w:p>
        </w:tc>
        <w:tc>
          <w:tcPr>
            <w:tcW w:w="2087" w:type="dxa"/>
            <w:noWrap/>
            <w:hideMark/>
          </w:tcPr>
          <w:p w14:paraId="5BD4CD0D" w14:textId="77777777" w:rsidR="000B7BDE" w:rsidRPr="006E56A1" w:rsidRDefault="000B7BDE" w:rsidP="004A63F7">
            <w:pPr>
              <w:pStyle w:val="Tablehead"/>
            </w:pPr>
            <w:r w:rsidRPr="006E56A1">
              <w:t>Postes budgétaires</w:t>
            </w:r>
          </w:p>
        </w:tc>
        <w:tc>
          <w:tcPr>
            <w:tcW w:w="1364" w:type="dxa"/>
            <w:noWrap/>
            <w:hideMark/>
          </w:tcPr>
          <w:p w14:paraId="0DCB57D9" w14:textId="77777777" w:rsidR="000B7BDE" w:rsidRPr="006E56A1" w:rsidRDefault="000B7BDE" w:rsidP="004A63F7">
            <w:pPr>
              <w:pStyle w:val="Tablehead"/>
            </w:pPr>
            <w:r w:rsidRPr="006E56A1">
              <w:t>Budget pour l'année 1 (CHF)</w:t>
            </w:r>
          </w:p>
        </w:tc>
        <w:tc>
          <w:tcPr>
            <w:tcW w:w="1300" w:type="dxa"/>
            <w:noWrap/>
            <w:hideMark/>
          </w:tcPr>
          <w:p w14:paraId="4CF5D76E" w14:textId="77777777" w:rsidR="000B7BDE" w:rsidRPr="006E56A1" w:rsidRDefault="000B7BDE" w:rsidP="004A63F7">
            <w:pPr>
              <w:pStyle w:val="Tablehead"/>
            </w:pPr>
            <w:r w:rsidRPr="006E56A1">
              <w:t>Budget pour l'année 2 (CHF)</w:t>
            </w:r>
          </w:p>
        </w:tc>
        <w:tc>
          <w:tcPr>
            <w:tcW w:w="1372" w:type="dxa"/>
          </w:tcPr>
          <w:p w14:paraId="0E566843" w14:textId="77777777" w:rsidR="000B7BDE" w:rsidRPr="006E56A1" w:rsidRDefault="000B7BDE" w:rsidP="004A63F7">
            <w:pPr>
              <w:pStyle w:val="Tablehead"/>
            </w:pPr>
            <w:r w:rsidRPr="006E56A1">
              <w:t>Budget pour l'année 3 (CHF)</w:t>
            </w:r>
          </w:p>
        </w:tc>
        <w:tc>
          <w:tcPr>
            <w:tcW w:w="1266" w:type="dxa"/>
          </w:tcPr>
          <w:p w14:paraId="23EA88E4" w14:textId="77777777" w:rsidR="000B7BDE" w:rsidRPr="006E56A1" w:rsidRDefault="000B7BDE" w:rsidP="004A63F7">
            <w:pPr>
              <w:pStyle w:val="Tablehead"/>
            </w:pPr>
            <w:r w:rsidRPr="006E56A1">
              <w:t>Budget pour l'année 4 (CHF)</w:t>
            </w:r>
          </w:p>
        </w:tc>
        <w:tc>
          <w:tcPr>
            <w:tcW w:w="1617" w:type="dxa"/>
          </w:tcPr>
          <w:p w14:paraId="77924F4B" w14:textId="496C82CC" w:rsidR="000B7BDE" w:rsidRPr="006E56A1" w:rsidRDefault="000B7BDE" w:rsidP="004A63F7">
            <w:pPr>
              <w:pStyle w:val="Tablehead"/>
            </w:pPr>
            <w:r w:rsidRPr="006E56A1">
              <w:t>Total pour 4</w:t>
            </w:r>
            <w:r w:rsidR="008B1C39" w:rsidRPr="006E56A1">
              <w:t> </w:t>
            </w:r>
            <w:r w:rsidRPr="006E56A1">
              <w:t>ans (CHF)</w:t>
            </w:r>
          </w:p>
        </w:tc>
      </w:tr>
      <w:tr w:rsidR="000B7BDE" w:rsidRPr="006E56A1" w14:paraId="6D4A2BA8" w14:textId="77777777" w:rsidTr="006623C9">
        <w:trPr>
          <w:cantSplit/>
          <w:jc w:val="center"/>
        </w:trPr>
        <w:tc>
          <w:tcPr>
            <w:tcW w:w="1156" w:type="dxa"/>
          </w:tcPr>
          <w:p w14:paraId="60C8F925" w14:textId="77777777" w:rsidR="000B7BDE" w:rsidRPr="006E56A1" w:rsidRDefault="000B7BDE" w:rsidP="003542EE">
            <w:pPr>
              <w:pStyle w:val="Tabletext"/>
              <w:jc w:val="center"/>
            </w:pPr>
            <w:r w:rsidRPr="006E56A1">
              <w:t>Cat. 2</w:t>
            </w:r>
          </w:p>
        </w:tc>
        <w:tc>
          <w:tcPr>
            <w:tcW w:w="2087" w:type="dxa"/>
            <w:noWrap/>
          </w:tcPr>
          <w:p w14:paraId="190AE333" w14:textId="77777777" w:rsidR="000B7BDE" w:rsidRPr="006E56A1" w:rsidRDefault="000B7BDE" w:rsidP="004A63F7">
            <w:pPr>
              <w:pStyle w:val="Tabletext"/>
            </w:pPr>
            <w:r w:rsidRPr="006E56A1">
              <w:t>Indemnité pour frais d'études</w:t>
            </w:r>
          </w:p>
        </w:tc>
        <w:tc>
          <w:tcPr>
            <w:tcW w:w="1364" w:type="dxa"/>
            <w:noWrap/>
          </w:tcPr>
          <w:p w14:paraId="51BADE70" w14:textId="77777777" w:rsidR="000B7BDE" w:rsidRPr="006E56A1" w:rsidRDefault="000B7BDE" w:rsidP="004A63F7">
            <w:pPr>
              <w:pStyle w:val="Tabletext"/>
              <w:jc w:val="right"/>
            </w:pPr>
            <w:r w:rsidRPr="006E56A1">
              <w:t>30 000</w:t>
            </w:r>
          </w:p>
        </w:tc>
        <w:tc>
          <w:tcPr>
            <w:tcW w:w="1300" w:type="dxa"/>
            <w:noWrap/>
          </w:tcPr>
          <w:p w14:paraId="08F45066" w14:textId="77777777" w:rsidR="000B7BDE" w:rsidRPr="006E56A1" w:rsidRDefault="000B7BDE" w:rsidP="004A63F7">
            <w:pPr>
              <w:pStyle w:val="Tabletext"/>
              <w:jc w:val="right"/>
            </w:pPr>
            <w:r w:rsidRPr="006E56A1">
              <w:t>30 000</w:t>
            </w:r>
          </w:p>
        </w:tc>
        <w:tc>
          <w:tcPr>
            <w:tcW w:w="1372" w:type="dxa"/>
          </w:tcPr>
          <w:p w14:paraId="1FBD0723" w14:textId="77777777" w:rsidR="000B7BDE" w:rsidRPr="006E56A1" w:rsidRDefault="000B7BDE" w:rsidP="004A63F7">
            <w:pPr>
              <w:pStyle w:val="Tabletext"/>
              <w:jc w:val="right"/>
            </w:pPr>
            <w:r w:rsidRPr="006E56A1">
              <w:t>30 000</w:t>
            </w:r>
          </w:p>
        </w:tc>
        <w:tc>
          <w:tcPr>
            <w:tcW w:w="1266" w:type="dxa"/>
          </w:tcPr>
          <w:p w14:paraId="31C79864" w14:textId="77777777" w:rsidR="000B7BDE" w:rsidRPr="006E56A1" w:rsidRDefault="000B7BDE" w:rsidP="004A63F7">
            <w:pPr>
              <w:pStyle w:val="Tabletext"/>
              <w:jc w:val="right"/>
            </w:pPr>
            <w:r w:rsidRPr="006E56A1">
              <w:t>30 000</w:t>
            </w:r>
          </w:p>
        </w:tc>
        <w:tc>
          <w:tcPr>
            <w:tcW w:w="1617" w:type="dxa"/>
          </w:tcPr>
          <w:p w14:paraId="512E0387" w14:textId="77777777" w:rsidR="000B7BDE" w:rsidRPr="006E56A1" w:rsidRDefault="000B7BDE" w:rsidP="004A63F7">
            <w:pPr>
              <w:pStyle w:val="Tabletext"/>
              <w:jc w:val="right"/>
            </w:pPr>
            <w:r w:rsidRPr="006E56A1">
              <w:t>120 000</w:t>
            </w:r>
          </w:p>
        </w:tc>
      </w:tr>
      <w:tr w:rsidR="000B7BDE" w:rsidRPr="006E56A1" w14:paraId="10471C52" w14:textId="77777777" w:rsidTr="006623C9">
        <w:trPr>
          <w:cantSplit/>
          <w:jc w:val="center"/>
        </w:trPr>
        <w:tc>
          <w:tcPr>
            <w:tcW w:w="1156" w:type="dxa"/>
          </w:tcPr>
          <w:p w14:paraId="5179AF29" w14:textId="77777777" w:rsidR="000B7BDE" w:rsidRPr="006E56A1" w:rsidRDefault="000B7BDE" w:rsidP="003542EE">
            <w:pPr>
              <w:pStyle w:val="Tabletext"/>
              <w:jc w:val="center"/>
            </w:pPr>
            <w:r w:rsidRPr="006E56A1">
              <w:t>Cat. 2</w:t>
            </w:r>
          </w:p>
        </w:tc>
        <w:tc>
          <w:tcPr>
            <w:tcW w:w="2087" w:type="dxa"/>
            <w:noWrap/>
          </w:tcPr>
          <w:p w14:paraId="44419DB9" w14:textId="77777777" w:rsidR="000B7BDE" w:rsidRPr="006E56A1" w:rsidRDefault="000B7BDE" w:rsidP="004A63F7">
            <w:pPr>
              <w:pStyle w:val="Tabletext"/>
            </w:pPr>
            <w:r w:rsidRPr="006E56A1">
              <w:t>Droits au congé dans les foyers</w:t>
            </w:r>
          </w:p>
        </w:tc>
        <w:tc>
          <w:tcPr>
            <w:tcW w:w="1364" w:type="dxa"/>
            <w:noWrap/>
          </w:tcPr>
          <w:p w14:paraId="244C9647" w14:textId="77777777" w:rsidR="000B7BDE" w:rsidRPr="006E56A1" w:rsidRDefault="000B7BDE" w:rsidP="004A63F7">
            <w:pPr>
              <w:pStyle w:val="Tabletext"/>
              <w:jc w:val="right"/>
            </w:pPr>
            <w:r w:rsidRPr="006E56A1">
              <w:t>0</w:t>
            </w:r>
          </w:p>
        </w:tc>
        <w:tc>
          <w:tcPr>
            <w:tcW w:w="1300" w:type="dxa"/>
            <w:noWrap/>
          </w:tcPr>
          <w:p w14:paraId="292DF3FE" w14:textId="77777777" w:rsidR="000B7BDE" w:rsidRPr="006E56A1" w:rsidRDefault="000B7BDE" w:rsidP="004A63F7">
            <w:pPr>
              <w:pStyle w:val="Tabletext"/>
              <w:jc w:val="right"/>
            </w:pPr>
            <w:r w:rsidRPr="006E56A1">
              <w:t>0</w:t>
            </w:r>
          </w:p>
        </w:tc>
        <w:tc>
          <w:tcPr>
            <w:tcW w:w="1372" w:type="dxa"/>
          </w:tcPr>
          <w:p w14:paraId="62F614B6" w14:textId="77777777" w:rsidR="000B7BDE" w:rsidRPr="006E56A1" w:rsidRDefault="000B7BDE" w:rsidP="004A63F7">
            <w:pPr>
              <w:pStyle w:val="Tabletext"/>
              <w:jc w:val="right"/>
            </w:pPr>
            <w:r w:rsidRPr="006E56A1">
              <w:t>50 000</w:t>
            </w:r>
          </w:p>
        </w:tc>
        <w:tc>
          <w:tcPr>
            <w:tcW w:w="1266" w:type="dxa"/>
          </w:tcPr>
          <w:p w14:paraId="15858839" w14:textId="77777777" w:rsidR="000B7BDE" w:rsidRPr="006E56A1" w:rsidRDefault="000B7BDE" w:rsidP="004A63F7">
            <w:pPr>
              <w:pStyle w:val="Tabletext"/>
              <w:jc w:val="right"/>
            </w:pPr>
            <w:r w:rsidRPr="006E56A1">
              <w:t>0</w:t>
            </w:r>
          </w:p>
        </w:tc>
        <w:tc>
          <w:tcPr>
            <w:tcW w:w="1617" w:type="dxa"/>
          </w:tcPr>
          <w:p w14:paraId="3EC7C115" w14:textId="77777777" w:rsidR="000B7BDE" w:rsidRPr="006E56A1" w:rsidRDefault="000B7BDE" w:rsidP="004A63F7">
            <w:pPr>
              <w:pStyle w:val="Tabletext"/>
              <w:jc w:val="right"/>
            </w:pPr>
            <w:r w:rsidRPr="006E56A1">
              <w:t>50 000</w:t>
            </w:r>
          </w:p>
        </w:tc>
      </w:tr>
      <w:tr w:rsidR="000B7BDE" w:rsidRPr="006E56A1" w14:paraId="67C72072" w14:textId="77777777" w:rsidTr="006623C9">
        <w:trPr>
          <w:cantSplit/>
          <w:jc w:val="center"/>
        </w:trPr>
        <w:tc>
          <w:tcPr>
            <w:tcW w:w="1156" w:type="dxa"/>
            <w:noWrap/>
            <w:hideMark/>
          </w:tcPr>
          <w:p w14:paraId="13163987" w14:textId="77777777" w:rsidR="000B7BDE" w:rsidRPr="006E56A1" w:rsidRDefault="000B7BDE" w:rsidP="003542EE">
            <w:pPr>
              <w:pStyle w:val="Tabletext"/>
              <w:jc w:val="center"/>
            </w:pPr>
            <w:r w:rsidRPr="006E56A1">
              <w:t>Cat. 3</w:t>
            </w:r>
          </w:p>
        </w:tc>
        <w:tc>
          <w:tcPr>
            <w:tcW w:w="2087" w:type="dxa"/>
            <w:noWrap/>
            <w:hideMark/>
          </w:tcPr>
          <w:p w14:paraId="56A9AB4F" w14:textId="77777777" w:rsidR="000B7BDE" w:rsidRPr="006E56A1" w:rsidRDefault="000B7BDE" w:rsidP="004A63F7">
            <w:pPr>
              <w:pStyle w:val="Tabletext"/>
            </w:pPr>
            <w:r w:rsidRPr="006E56A1">
              <w:t>Frais de mission (vers/depuis le siège)</w:t>
            </w:r>
          </w:p>
        </w:tc>
        <w:tc>
          <w:tcPr>
            <w:tcW w:w="1364" w:type="dxa"/>
            <w:noWrap/>
            <w:hideMark/>
          </w:tcPr>
          <w:p w14:paraId="461DE98A" w14:textId="77777777" w:rsidR="000B7BDE" w:rsidRPr="006E56A1" w:rsidRDefault="000B7BDE" w:rsidP="004A63F7">
            <w:pPr>
              <w:pStyle w:val="Tabletext"/>
              <w:jc w:val="right"/>
            </w:pPr>
            <w:r w:rsidRPr="006E56A1">
              <w:t>0</w:t>
            </w:r>
          </w:p>
        </w:tc>
        <w:tc>
          <w:tcPr>
            <w:tcW w:w="1300" w:type="dxa"/>
            <w:noWrap/>
            <w:hideMark/>
          </w:tcPr>
          <w:p w14:paraId="049525EF" w14:textId="77777777" w:rsidR="000B7BDE" w:rsidRPr="006E56A1" w:rsidRDefault="000B7BDE" w:rsidP="004A63F7">
            <w:pPr>
              <w:pStyle w:val="Tabletext"/>
              <w:jc w:val="right"/>
            </w:pPr>
            <w:r w:rsidRPr="006E56A1">
              <w:t>0</w:t>
            </w:r>
          </w:p>
        </w:tc>
        <w:tc>
          <w:tcPr>
            <w:tcW w:w="1372" w:type="dxa"/>
          </w:tcPr>
          <w:p w14:paraId="68DCEA49" w14:textId="77777777" w:rsidR="000B7BDE" w:rsidRPr="006E56A1" w:rsidRDefault="000B7BDE" w:rsidP="004A63F7">
            <w:pPr>
              <w:pStyle w:val="Tabletext"/>
              <w:jc w:val="right"/>
            </w:pPr>
            <w:r w:rsidRPr="006E56A1">
              <w:t>0</w:t>
            </w:r>
          </w:p>
        </w:tc>
        <w:tc>
          <w:tcPr>
            <w:tcW w:w="1266" w:type="dxa"/>
          </w:tcPr>
          <w:p w14:paraId="7E14CFA7" w14:textId="77777777" w:rsidR="000B7BDE" w:rsidRPr="006E56A1" w:rsidRDefault="000B7BDE" w:rsidP="004A63F7">
            <w:pPr>
              <w:pStyle w:val="Tabletext"/>
              <w:jc w:val="right"/>
            </w:pPr>
            <w:r w:rsidRPr="006E56A1">
              <w:t>0</w:t>
            </w:r>
          </w:p>
        </w:tc>
        <w:tc>
          <w:tcPr>
            <w:tcW w:w="1617" w:type="dxa"/>
          </w:tcPr>
          <w:p w14:paraId="7F6F3166" w14:textId="77777777" w:rsidR="000B7BDE" w:rsidRPr="006E56A1" w:rsidRDefault="000B7BDE" w:rsidP="004A63F7">
            <w:pPr>
              <w:pStyle w:val="Tabletext"/>
              <w:jc w:val="right"/>
              <w:rPr>
                <w:rFonts w:asciiTheme="minorHAnsi" w:hAnsiTheme="minorHAnsi"/>
                <w:color w:val="000000" w:themeColor="text1"/>
              </w:rPr>
            </w:pPr>
            <w:r w:rsidRPr="006E56A1">
              <w:rPr>
                <w:rFonts w:asciiTheme="minorHAnsi" w:hAnsiTheme="minorHAnsi"/>
                <w:color w:val="000000" w:themeColor="text1"/>
              </w:rPr>
              <w:t>0</w:t>
            </w:r>
          </w:p>
        </w:tc>
      </w:tr>
      <w:tr w:rsidR="000B7BDE" w:rsidRPr="006E56A1" w14:paraId="2463355D" w14:textId="77777777" w:rsidTr="006623C9">
        <w:trPr>
          <w:cantSplit/>
          <w:jc w:val="center"/>
        </w:trPr>
        <w:tc>
          <w:tcPr>
            <w:tcW w:w="1156" w:type="dxa"/>
            <w:noWrap/>
            <w:hideMark/>
          </w:tcPr>
          <w:p w14:paraId="5D34A222" w14:textId="77777777" w:rsidR="000B7BDE" w:rsidRPr="006E56A1" w:rsidRDefault="000B7BDE" w:rsidP="003542EE">
            <w:pPr>
              <w:pStyle w:val="Tabletext"/>
              <w:jc w:val="center"/>
            </w:pPr>
            <w:r w:rsidRPr="006E56A1">
              <w:t>Cat. 3</w:t>
            </w:r>
          </w:p>
        </w:tc>
        <w:tc>
          <w:tcPr>
            <w:tcW w:w="2087" w:type="dxa"/>
            <w:noWrap/>
            <w:hideMark/>
          </w:tcPr>
          <w:p w14:paraId="473CE1B2" w14:textId="77777777" w:rsidR="000B7BDE" w:rsidRPr="006E56A1" w:rsidRDefault="000B7BDE" w:rsidP="004A63F7">
            <w:pPr>
              <w:pStyle w:val="Tabletext"/>
            </w:pPr>
            <w:r w:rsidRPr="006E56A1">
              <w:t>Frais de mission pour la première installation (vers/depuis le siège)</w:t>
            </w:r>
          </w:p>
        </w:tc>
        <w:tc>
          <w:tcPr>
            <w:tcW w:w="1364" w:type="dxa"/>
            <w:noWrap/>
            <w:hideMark/>
          </w:tcPr>
          <w:p w14:paraId="05AB405C" w14:textId="77777777" w:rsidR="000B7BDE" w:rsidRPr="006E56A1" w:rsidRDefault="000B7BDE" w:rsidP="004A63F7">
            <w:pPr>
              <w:pStyle w:val="Tabletext"/>
              <w:jc w:val="right"/>
              <w:rPr>
                <w:color w:val="FA7D00"/>
              </w:rPr>
            </w:pPr>
            <w:r w:rsidRPr="006E56A1">
              <w:t>7 286</w:t>
            </w:r>
          </w:p>
        </w:tc>
        <w:tc>
          <w:tcPr>
            <w:tcW w:w="1300" w:type="dxa"/>
            <w:noWrap/>
            <w:hideMark/>
          </w:tcPr>
          <w:p w14:paraId="15D0C2F8" w14:textId="77777777" w:rsidR="000B7BDE" w:rsidRPr="006E56A1" w:rsidRDefault="000B7BDE" w:rsidP="004A63F7">
            <w:pPr>
              <w:pStyle w:val="Tabletext"/>
              <w:jc w:val="right"/>
            </w:pPr>
            <w:r w:rsidRPr="006E56A1">
              <w:t>0</w:t>
            </w:r>
          </w:p>
        </w:tc>
        <w:tc>
          <w:tcPr>
            <w:tcW w:w="1372" w:type="dxa"/>
          </w:tcPr>
          <w:p w14:paraId="04D46AC1" w14:textId="77777777" w:rsidR="000B7BDE" w:rsidRPr="006E56A1" w:rsidRDefault="000B7BDE" w:rsidP="004A63F7">
            <w:pPr>
              <w:pStyle w:val="Tabletext"/>
              <w:jc w:val="right"/>
            </w:pPr>
            <w:r w:rsidRPr="006E56A1">
              <w:t>0</w:t>
            </w:r>
          </w:p>
        </w:tc>
        <w:tc>
          <w:tcPr>
            <w:tcW w:w="1266" w:type="dxa"/>
          </w:tcPr>
          <w:p w14:paraId="64102C9A" w14:textId="77777777" w:rsidR="000B7BDE" w:rsidRPr="006E56A1" w:rsidRDefault="000B7BDE" w:rsidP="004A63F7">
            <w:pPr>
              <w:pStyle w:val="Tabletext"/>
              <w:jc w:val="right"/>
            </w:pPr>
            <w:r w:rsidRPr="006E56A1">
              <w:t>0</w:t>
            </w:r>
          </w:p>
        </w:tc>
        <w:tc>
          <w:tcPr>
            <w:tcW w:w="1617" w:type="dxa"/>
          </w:tcPr>
          <w:p w14:paraId="5B8BFC84" w14:textId="77777777" w:rsidR="000B7BDE" w:rsidRPr="006E56A1" w:rsidRDefault="000B7BDE" w:rsidP="004A63F7">
            <w:pPr>
              <w:pStyle w:val="Tabletext"/>
              <w:jc w:val="right"/>
            </w:pPr>
            <w:r w:rsidRPr="006E56A1">
              <w:t>7 286</w:t>
            </w:r>
          </w:p>
        </w:tc>
      </w:tr>
      <w:tr w:rsidR="000B7BDE" w:rsidRPr="006E56A1" w14:paraId="1E00BEF0" w14:textId="77777777" w:rsidTr="006623C9">
        <w:trPr>
          <w:cantSplit/>
          <w:jc w:val="center"/>
        </w:trPr>
        <w:tc>
          <w:tcPr>
            <w:tcW w:w="1156" w:type="dxa"/>
            <w:noWrap/>
            <w:hideMark/>
          </w:tcPr>
          <w:p w14:paraId="0D02E95C" w14:textId="77777777" w:rsidR="000B7BDE" w:rsidRPr="006E56A1" w:rsidRDefault="000B7BDE" w:rsidP="003542EE">
            <w:pPr>
              <w:pStyle w:val="Tabletext"/>
              <w:jc w:val="center"/>
            </w:pPr>
            <w:r w:rsidRPr="006E56A1">
              <w:t>Cat. 4</w:t>
            </w:r>
          </w:p>
        </w:tc>
        <w:tc>
          <w:tcPr>
            <w:tcW w:w="2087" w:type="dxa"/>
            <w:noWrap/>
            <w:hideMark/>
          </w:tcPr>
          <w:p w14:paraId="43BF2738" w14:textId="77777777" w:rsidR="000B7BDE" w:rsidRPr="006E56A1" w:rsidRDefault="000B7BDE" w:rsidP="004A63F7">
            <w:pPr>
              <w:pStyle w:val="Tabletext"/>
            </w:pPr>
            <w:r w:rsidRPr="006E56A1">
              <w:t>Services contractuels</w:t>
            </w:r>
          </w:p>
        </w:tc>
        <w:tc>
          <w:tcPr>
            <w:tcW w:w="1364" w:type="dxa"/>
            <w:noWrap/>
            <w:hideMark/>
          </w:tcPr>
          <w:p w14:paraId="17505D0C" w14:textId="77777777" w:rsidR="000B7BDE" w:rsidRPr="006E56A1" w:rsidRDefault="000B7BDE" w:rsidP="004A63F7">
            <w:pPr>
              <w:pStyle w:val="Tabletext"/>
              <w:jc w:val="right"/>
            </w:pPr>
            <w:r w:rsidRPr="006E56A1">
              <w:t>0</w:t>
            </w:r>
          </w:p>
        </w:tc>
        <w:tc>
          <w:tcPr>
            <w:tcW w:w="1300" w:type="dxa"/>
            <w:noWrap/>
            <w:hideMark/>
          </w:tcPr>
          <w:p w14:paraId="010E56B3" w14:textId="77777777" w:rsidR="000B7BDE" w:rsidRPr="006E56A1" w:rsidRDefault="000B7BDE" w:rsidP="004A63F7">
            <w:pPr>
              <w:pStyle w:val="Tabletext"/>
              <w:jc w:val="right"/>
            </w:pPr>
            <w:r w:rsidRPr="006E56A1">
              <w:t>0</w:t>
            </w:r>
          </w:p>
        </w:tc>
        <w:tc>
          <w:tcPr>
            <w:tcW w:w="1372" w:type="dxa"/>
          </w:tcPr>
          <w:p w14:paraId="1E20D37E" w14:textId="77777777" w:rsidR="000B7BDE" w:rsidRPr="006E56A1" w:rsidRDefault="000B7BDE" w:rsidP="004A63F7">
            <w:pPr>
              <w:pStyle w:val="Tabletext"/>
              <w:jc w:val="right"/>
            </w:pPr>
            <w:r w:rsidRPr="006E56A1">
              <w:t>0</w:t>
            </w:r>
          </w:p>
        </w:tc>
        <w:tc>
          <w:tcPr>
            <w:tcW w:w="1266" w:type="dxa"/>
          </w:tcPr>
          <w:p w14:paraId="6C5E40AB" w14:textId="77777777" w:rsidR="000B7BDE" w:rsidRPr="006E56A1" w:rsidRDefault="000B7BDE" w:rsidP="004A63F7">
            <w:pPr>
              <w:pStyle w:val="Tabletext"/>
              <w:jc w:val="right"/>
            </w:pPr>
            <w:r w:rsidRPr="006E56A1">
              <w:t>0</w:t>
            </w:r>
          </w:p>
        </w:tc>
        <w:tc>
          <w:tcPr>
            <w:tcW w:w="1617" w:type="dxa"/>
          </w:tcPr>
          <w:p w14:paraId="76E3D8CA" w14:textId="77777777" w:rsidR="000B7BDE" w:rsidRPr="006E56A1" w:rsidRDefault="000B7BDE" w:rsidP="004A63F7">
            <w:pPr>
              <w:pStyle w:val="Tabletext"/>
              <w:jc w:val="right"/>
            </w:pPr>
            <w:r w:rsidRPr="006E56A1">
              <w:t>0</w:t>
            </w:r>
          </w:p>
        </w:tc>
      </w:tr>
      <w:tr w:rsidR="000B7BDE" w:rsidRPr="006E56A1" w14:paraId="76156F56" w14:textId="77777777" w:rsidTr="006623C9">
        <w:trPr>
          <w:cantSplit/>
          <w:jc w:val="center"/>
        </w:trPr>
        <w:tc>
          <w:tcPr>
            <w:tcW w:w="1156" w:type="dxa"/>
            <w:noWrap/>
            <w:hideMark/>
          </w:tcPr>
          <w:p w14:paraId="1DA9B2EA" w14:textId="77777777" w:rsidR="000B7BDE" w:rsidRPr="006E56A1" w:rsidRDefault="000B7BDE" w:rsidP="003542EE">
            <w:pPr>
              <w:pStyle w:val="Tabletext"/>
              <w:jc w:val="center"/>
            </w:pPr>
            <w:r w:rsidRPr="006E56A1">
              <w:t>Cat. 5</w:t>
            </w:r>
          </w:p>
        </w:tc>
        <w:tc>
          <w:tcPr>
            <w:tcW w:w="2087" w:type="dxa"/>
            <w:noWrap/>
            <w:hideMark/>
          </w:tcPr>
          <w:p w14:paraId="1241778E" w14:textId="77777777" w:rsidR="000B7BDE" w:rsidRPr="006E56A1" w:rsidRDefault="000B7BDE" w:rsidP="004A63F7">
            <w:pPr>
              <w:pStyle w:val="Tabletext"/>
            </w:pPr>
            <w:r w:rsidRPr="006E56A1">
              <w:t>Location (équipements informatiques et autres)</w:t>
            </w:r>
          </w:p>
        </w:tc>
        <w:tc>
          <w:tcPr>
            <w:tcW w:w="1364" w:type="dxa"/>
            <w:noWrap/>
            <w:hideMark/>
          </w:tcPr>
          <w:p w14:paraId="74942D11" w14:textId="77777777" w:rsidR="000B7BDE" w:rsidRPr="006E56A1" w:rsidRDefault="000B7BDE" w:rsidP="004A63F7">
            <w:pPr>
              <w:pStyle w:val="Tabletext"/>
              <w:jc w:val="right"/>
            </w:pPr>
            <w:r w:rsidRPr="006E56A1">
              <w:t>0</w:t>
            </w:r>
          </w:p>
        </w:tc>
        <w:tc>
          <w:tcPr>
            <w:tcW w:w="1300" w:type="dxa"/>
            <w:noWrap/>
            <w:hideMark/>
          </w:tcPr>
          <w:p w14:paraId="7391E500" w14:textId="77777777" w:rsidR="000B7BDE" w:rsidRPr="006E56A1" w:rsidRDefault="000B7BDE" w:rsidP="004A63F7">
            <w:pPr>
              <w:pStyle w:val="Tabletext"/>
              <w:jc w:val="right"/>
            </w:pPr>
            <w:r w:rsidRPr="006E56A1">
              <w:t>0</w:t>
            </w:r>
          </w:p>
        </w:tc>
        <w:tc>
          <w:tcPr>
            <w:tcW w:w="1372" w:type="dxa"/>
          </w:tcPr>
          <w:p w14:paraId="3F0B2CB5" w14:textId="77777777" w:rsidR="000B7BDE" w:rsidRPr="006E56A1" w:rsidRDefault="000B7BDE" w:rsidP="004A63F7">
            <w:pPr>
              <w:pStyle w:val="Tabletext"/>
              <w:jc w:val="right"/>
            </w:pPr>
            <w:r w:rsidRPr="006E56A1">
              <w:t>0</w:t>
            </w:r>
          </w:p>
        </w:tc>
        <w:tc>
          <w:tcPr>
            <w:tcW w:w="1266" w:type="dxa"/>
          </w:tcPr>
          <w:p w14:paraId="2ABEF166" w14:textId="77777777" w:rsidR="000B7BDE" w:rsidRPr="006E56A1" w:rsidRDefault="000B7BDE" w:rsidP="004A63F7">
            <w:pPr>
              <w:pStyle w:val="Tabletext"/>
              <w:jc w:val="right"/>
            </w:pPr>
            <w:r w:rsidRPr="006E56A1">
              <w:t>0</w:t>
            </w:r>
          </w:p>
        </w:tc>
        <w:tc>
          <w:tcPr>
            <w:tcW w:w="1617" w:type="dxa"/>
          </w:tcPr>
          <w:p w14:paraId="7A3FA121" w14:textId="77777777" w:rsidR="000B7BDE" w:rsidRPr="006E56A1" w:rsidRDefault="000B7BDE" w:rsidP="004A63F7">
            <w:pPr>
              <w:pStyle w:val="Tabletext"/>
              <w:jc w:val="right"/>
            </w:pPr>
            <w:r w:rsidRPr="006E56A1">
              <w:t>0</w:t>
            </w:r>
          </w:p>
        </w:tc>
      </w:tr>
      <w:tr w:rsidR="000B7BDE" w:rsidRPr="006E56A1" w14:paraId="553E42EA" w14:textId="77777777" w:rsidTr="006623C9">
        <w:trPr>
          <w:cantSplit/>
          <w:jc w:val="center"/>
        </w:trPr>
        <w:tc>
          <w:tcPr>
            <w:tcW w:w="1156" w:type="dxa"/>
            <w:noWrap/>
            <w:hideMark/>
          </w:tcPr>
          <w:p w14:paraId="2F5D3C4A" w14:textId="77777777" w:rsidR="000B7BDE" w:rsidRPr="006E56A1" w:rsidRDefault="000B7BDE" w:rsidP="003542EE">
            <w:pPr>
              <w:pStyle w:val="Tabletext"/>
              <w:jc w:val="center"/>
            </w:pPr>
            <w:r w:rsidRPr="006E56A1">
              <w:t>Cat. 7</w:t>
            </w:r>
          </w:p>
        </w:tc>
        <w:tc>
          <w:tcPr>
            <w:tcW w:w="2087" w:type="dxa"/>
            <w:noWrap/>
            <w:hideMark/>
          </w:tcPr>
          <w:p w14:paraId="26DEBB13" w14:textId="77777777" w:rsidR="000B7BDE" w:rsidRPr="006E56A1" w:rsidRDefault="000B7BDE" w:rsidP="004A63F7">
            <w:pPr>
              <w:pStyle w:val="Tabletext"/>
            </w:pPr>
            <w:r w:rsidRPr="006E56A1">
              <w:t>Équipement informatique (cycle de vie de 3 ans)</w:t>
            </w:r>
          </w:p>
        </w:tc>
        <w:tc>
          <w:tcPr>
            <w:tcW w:w="1364" w:type="dxa"/>
            <w:noWrap/>
            <w:hideMark/>
          </w:tcPr>
          <w:p w14:paraId="49BB99B9" w14:textId="77777777" w:rsidR="000B7BDE" w:rsidRPr="006E56A1" w:rsidRDefault="000B7BDE" w:rsidP="004A63F7">
            <w:pPr>
              <w:pStyle w:val="Tabletext"/>
              <w:jc w:val="right"/>
            </w:pPr>
            <w:r w:rsidRPr="006E56A1">
              <w:t>10 583</w:t>
            </w:r>
          </w:p>
        </w:tc>
        <w:tc>
          <w:tcPr>
            <w:tcW w:w="1300" w:type="dxa"/>
            <w:noWrap/>
            <w:hideMark/>
          </w:tcPr>
          <w:p w14:paraId="3D053589" w14:textId="77777777" w:rsidR="000B7BDE" w:rsidRPr="006E56A1" w:rsidRDefault="000B7BDE" w:rsidP="004A63F7">
            <w:pPr>
              <w:pStyle w:val="Tabletext"/>
              <w:jc w:val="right"/>
            </w:pPr>
            <w:r w:rsidRPr="006E56A1">
              <w:t>0</w:t>
            </w:r>
          </w:p>
        </w:tc>
        <w:tc>
          <w:tcPr>
            <w:tcW w:w="1372" w:type="dxa"/>
          </w:tcPr>
          <w:p w14:paraId="0BE38EC2" w14:textId="77777777" w:rsidR="000B7BDE" w:rsidRPr="006E56A1" w:rsidRDefault="000B7BDE" w:rsidP="004A63F7">
            <w:pPr>
              <w:pStyle w:val="Tabletext"/>
              <w:jc w:val="right"/>
            </w:pPr>
            <w:r w:rsidRPr="006E56A1">
              <w:t>0</w:t>
            </w:r>
          </w:p>
        </w:tc>
        <w:tc>
          <w:tcPr>
            <w:tcW w:w="1266" w:type="dxa"/>
          </w:tcPr>
          <w:p w14:paraId="33E84E9E" w14:textId="77777777" w:rsidR="000B7BDE" w:rsidRPr="006E56A1" w:rsidRDefault="000B7BDE" w:rsidP="004A63F7">
            <w:pPr>
              <w:pStyle w:val="Tabletext"/>
              <w:jc w:val="right"/>
            </w:pPr>
            <w:r w:rsidRPr="006E56A1">
              <w:t>10 583</w:t>
            </w:r>
          </w:p>
        </w:tc>
        <w:tc>
          <w:tcPr>
            <w:tcW w:w="1617" w:type="dxa"/>
          </w:tcPr>
          <w:p w14:paraId="721CC854" w14:textId="77777777" w:rsidR="000B7BDE" w:rsidRPr="006E56A1" w:rsidRDefault="000B7BDE" w:rsidP="004A63F7">
            <w:pPr>
              <w:pStyle w:val="Tabletext"/>
              <w:jc w:val="right"/>
            </w:pPr>
            <w:r w:rsidRPr="006E56A1">
              <w:t>21 166</w:t>
            </w:r>
          </w:p>
        </w:tc>
      </w:tr>
      <w:tr w:rsidR="000B7BDE" w:rsidRPr="006E56A1" w14:paraId="447567D2" w14:textId="77777777" w:rsidTr="006623C9">
        <w:trPr>
          <w:cantSplit/>
          <w:jc w:val="center"/>
        </w:trPr>
        <w:tc>
          <w:tcPr>
            <w:tcW w:w="1156" w:type="dxa"/>
            <w:noWrap/>
            <w:hideMark/>
          </w:tcPr>
          <w:p w14:paraId="5099E359" w14:textId="77777777" w:rsidR="000B7BDE" w:rsidRPr="006E56A1" w:rsidRDefault="000B7BDE" w:rsidP="003542EE">
            <w:pPr>
              <w:pStyle w:val="Tabletext"/>
              <w:jc w:val="center"/>
            </w:pPr>
            <w:r w:rsidRPr="006E56A1">
              <w:t>Cat. 7</w:t>
            </w:r>
          </w:p>
        </w:tc>
        <w:tc>
          <w:tcPr>
            <w:tcW w:w="2087" w:type="dxa"/>
            <w:noWrap/>
            <w:hideMark/>
          </w:tcPr>
          <w:p w14:paraId="3AB3AD17" w14:textId="77777777" w:rsidR="000B7BDE" w:rsidRPr="006E56A1" w:rsidRDefault="000B7BDE" w:rsidP="004A63F7">
            <w:pPr>
              <w:pStyle w:val="Tabletext"/>
            </w:pPr>
            <w:r w:rsidRPr="006E56A1">
              <w:t>Mobilier (cycle de vie de 4 ans)</w:t>
            </w:r>
          </w:p>
        </w:tc>
        <w:tc>
          <w:tcPr>
            <w:tcW w:w="1364" w:type="dxa"/>
            <w:noWrap/>
            <w:hideMark/>
          </w:tcPr>
          <w:p w14:paraId="1A042A71" w14:textId="77777777" w:rsidR="000B7BDE" w:rsidRPr="006E56A1" w:rsidRDefault="000B7BDE" w:rsidP="004A63F7">
            <w:pPr>
              <w:pStyle w:val="Tabletext"/>
              <w:jc w:val="right"/>
            </w:pPr>
            <w:r w:rsidRPr="006E56A1">
              <w:t>0</w:t>
            </w:r>
          </w:p>
        </w:tc>
        <w:tc>
          <w:tcPr>
            <w:tcW w:w="1300" w:type="dxa"/>
            <w:noWrap/>
            <w:hideMark/>
          </w:tcPr>
          <w:p w14:paraId="2CDCF7C9" w14:textId="77777777" w:rsidR="000B7BDE" w:rsidRPr="006E56A1" w:rsidRDefault="000B7BDE" w:rsidP="004A63F7">
            <w:pPr>
              <w:pStyle w:val="Tabletext"/>
              <w:jc w:val="right"/>
            </w:pPr>
            <w:r w:rsidRPr="006E56A1">
              <w:t>0</w:t>
            </w:r>
          </w:p>
        </w:tc>
        <w:tc>
          <w:tcPr>
            <w:tcW w:w="1372" w:type="dxa"/>
          </w:tcPr>
          <w:p w14:paraId="341A9F7B" w14:textId="77777777" w:rsidR="000B7BDE" w:rsidRPr="006E56A1" w:rsidRDefault="000B7BDE" w:rsidP="004A63F7">
            <w:pPr>
              <w:pStyle w:val="Tabletext"/>
              <w:jc w:val="right"/>
            </w:pPr>
            <w:r w:rsidRPr="006E56A1">
              <w:t>0</w:t>
            </w:r>
          </w:p>
        </w:tc>
        <w:tc>
          <w:tcPr>
            <w:tcW w:w="1266" w:type="dxa"/>
          </w:tcPr>
          <w:p w14:paraId="7C64F3C4" w14:textId="77777777" w:rsidR="000B7BDE" w:rsidRPr="006E56A1" w:rsidRDefault="000B7BDE" w:rsidP="004A63F7">
            <w:pPr>
              <w:pStyle w:val="Tabletext"/>
              <w:jc w:val="right"/>
            </w:pPr>
            <w:r w:rsidRPr="006E56A1">
              <w:t>0</w:t>
            </w:r>
          </w:p>
        </w:tc>
        <w:tc>
          <w:tcPr>
            <w:tcW w:w="1617" w:type="dxa"/>
          </w:tcPr>
          <w:p w14:paraId="47E8AE59" w14:textId="77777777" w:rsidR="000B7BDE" w:rsidRPr="006E56A1" w:rsidRDefault="000B7BDE" w:rsidP="004A63F7">
            <w:pPr>
              <w:pStyle w:val="Tabletext"/>
              <w:jc w:val="right"/>
            </w:pPr>
            <w:r w:rsidRPr="006E56A1">
              <w:t>0</w:t>
            </w:r>
          </w:p>
        </w:tc>
      </w:tr>
      <w:tr w:rsidR="000B7BDE" w:rsidRPr="006E56A1" w14:paraId="7EA935EC" w14:textId="77777777" w:rsidTr="006623C9">
        <w:trPr>
          <w:cantSplit/>
          <w:jc w:val="center"/>
        </w:trPr>
        <w:tc>
          <w:tcPr>
            <w:tcW w:w="1156" w:type="dxa"/>
            <w:noWrap/>
            <w:hideMark/>
          </w:tcPr>
          <w:p w14:paraId="671CB4CF" w14:textId="77777777" w:rsidR="000B7BDE" w:rsidRPr="006E56A1" w:rsidRDefault="000B7BDE" w:rsidP="003542EE">
            <w:pPr>
              <w:pStyle w:val="Tabletext"/>
              <w:jc w:val="center"/>
            </w:pPr>
            <w:r w:rsidRPr="006E56A1">
              <w:t>Cat. 7</w:t>
            </w:r>
          </w:p>
        </w:tc>
        <w:tc>
          <w:tcPr>
            <w:tcW w:w="2087" w:type="dxa"/>
            <w:noWrap/>
            <w:hideMark/>
          </w:tcPr>
          <w:p w14:paraId="53515B04" w14:textId="77777777" w:rsidR="000B7BDE" w:rsidRPr="006E56A1" w:rsidRDefault="000B7BDE" w:rsidP="004A63F7">
            <w:pPr>
              <w:pStyle w:val="Tabletext"/>
            </w:pPr>
            <w:r w:rsidRPr="006E56A1">
              <w:t>Installation</w:t>
            </w:r>
          </w:p>
        </w:tc>
        <w:tc>
          <w:tcPr>
            <w:tcW w:w="1364" w:type="dxa"/>
            <w:noWrap/>
            <w:hideMark/>
          </w:tcPr>
          <w:p w14:paraId="731D7EEB" w14:textId="77777777" w:rsidR="000B7BDE" w:rsidRPr="006E56A1" w:rsidRDefault="000B7BDE" w:rsidP="004A63F7">
            <w:pPr>
              <w:pStyle w:val="Tabletext"/>
              <w:jc w:val="right"/>
            </w:pPr>
            <w:r w:rsidRPr="006E56A1">
              <w:t>21 000</w:t>
            </w:r>
          </w:p>
        </w:tc>
        <w:tc>
          <w:tcPr>
            <w:tcW w:w="1300" w:type="dxa"/>
            <w:noWrap/>
            <w:hideMark/>
          </w:tcPr>
          <w:p w14:paraId="4D9AEEBD" w14:textId="77777777" w:rsidR="000B7BDE" w:rsidRPr="006E56A1" w:rsidRDefault="000B7BDE" w:rsidP="004A63F7">
            <w:pPr>
              <w:pStyle w:val="Tabletext"/>
              <w:jc w:val="right"/>
            </w:pPr>
            <w:r w:rsidRPr="006E56A1">
              <w:t>0</w:t>
            </w:r>
          </w:p>
        </w:tc>
        <w:tc>
          <w:tcPr>
            <w:tcW w:w="1372" w:type="dxa"/>
          </w:tcPr>
          <w:p w14:paraId="4BC59BC1" w14:textId="77777777" w:rsidR="000B7BDE" w:rsidRPr="006E56A1" w:rsidRDefault="000B7BDE" w:rsidP="004A63F7">
            <w:pPr>
              <w:pStyle w:val="Tabletext"/>
              <w:jc w:val="right"/>
            </w:pPr>
            <w:r w:rsidRPr="006E56A1">
              <w:t>0</w:t>
            </w:r>
          </w:p>
        </w:tc>
        <w:tc>
          <w:tcPr>
            <w:tcW w:w="1266" w:type="dxa"/>
          </w:tcPr>
          <w:p w14:paraId="76F525CF" w14:textId="77777777" w:rsidR="000B7BDE" w:rsidRPr="006E56A1" w:rsidRDefault="000B7BDE" w:rsidP="004A63F7">
            <w:pPr>
              <w:pStyle w:val="Tabletext"/>
              <w:jc w:val="right"/>
            </w:pPr>
            <w:r w:rsidRPr="006E56A1">
              <w:t>0</w:t>
            </w:r>
          </w:p>
        </w:tc>
        <w:tc>
          <w:tcPr>
            <w:tcW w:w="1617" w:type="dxa"/>
          </w:tcPr>
          <w:p w14:paraId="35B86937" w14:textId="77777777" w:rsidR="000B7BDE" w:rsidRPr="006E56A1" w:rsidRDefault="000B7BDE" w:rsidP="004A63F7">
            <w:pPr>
              <w:pStyle w:val="Tabletext"/>
              <w:jc w:val="right"/>
            </w:pPr>
            <w:r w:rsidRPr="006E56A1">
              <w:t>21 000</w:t>
            </w:r>
          </w:p>
        </w:tc>
      </w:tr>
      <w:tr w:rsidR="000B7BDE" w:rsidRPr="006E56A1" w14:paraId="29941F68" w14:textId="77777777" w:rsidTr="006623C9">
        <w:trPr>
          <w:cantSplit/>
          <w:jc w:val="center"/>
        </w:trPr>
        <w:tc>
          <w:tcPr>
            <w:tcW w:w="1156" w:type="dxa"/>
            <w:noWrap/>
            <w:hideMark/>
          </w:tcPr>
          <w:p w14:paraId="3C86A1DC" w14:textId="77777777" w:rsidR="000B7BDE" w:rsidRPr="006E56A1" w:rsidRDefault="000B7BDE" w:rsidP="003542EE">
            <w:pPr>
              <w:pStyle w:val="Tabletext"/>
              <w:jc w:val="center"/>
            </w:pPr>
            <w:r w:rsidRPr="006E56A1">
              <w:lastRenderedPageBreak/>
              <w:t>Cat. 7</w:t>
            </w:r>
          </w:p>
        </w:tc>
        <w:tc>
          <w:tcPr>
            <w:tcW w:w="2087" w:type="dxa"/>
            <w:noWrap/>
            <w:hideMark/>
          </w:tcPr>
          <w:p w14:paraId="13FC49F8" w14:textId="6DE3E276" w:rsidR="000B7BDE" w:rsidRPr="006E56A1" w:rsidRDefault="000B7BDE" w:rsidP="004A63F7">
            <w:pPr>
              <w:pStyle w:val="Tabletext"/>
            </w:pPr>
            <w:r w:rsidRPr="006E56A1">
              <w:t>Gestion des risques de sécurité/Normes minimales de sécurité opérationnelle (SRM/MOSS)/</w:t>
            </w:r>
            <w:r w:rsidR="003542EE" w:rsidRPr="006E56A1">
              <w:br/>
            </w:r>
            <w:r w:rsidRPr="006E56A1">
              <w:t>Mesures de sécurité résidentielle (Mission de sécurité + allocation journalière de subsistance)</w:t>
            </w:r>
          </w:p>
        </w:tc>
        <w:tc>
          <w:tcPr>
            <w:tcW w:w="1364" w:type="dxa"/>
            <w:noWrap/>
            <w:hideMark/>
          </w:tcPr>
          <w:p w14:paraId="50AE68CA" w14:textId="77777777" w:rsidR="000B7BDE" w:rsidRPr="006E56A1" w:rsidRDefault="000B7BDE" w:rsidP="004A63F7">
            <w:pPr>
              <w:pStyle w:val="Tabletext"/>
              <w:jc w:val="right"/>
              <w:rPr>
                <w:color w:val="FA7D00"/>
              </w:rPr>
            </w:pPr>
            <w:r w:rsidRPr="006E56A1">
              <w:t>46 860</w:t>
            </w:r>
          </w:p>
        </w:tc>
        <w:tc>
          <w:tcPr>
            <w:tcW w:w="1300" w:type="dxa"/>
            <w:noWrap/>
            <w:hideMark/>
          </w:tcPr>
          <w:p w14:paraId="4DF6E1FA" w14:textId="77777777" w:rsidR="000B7BDE" w:rsidRPr="006E56A1" w:rsidRDefault="000B7BDE" w:rsidP="004A63F7">
            <w:pPr>
              <w:pStyle w:val="Tabletext"/>
              <w:jc w:val="right"/>
            </w:pPr>
            <w:r w:rsidRPr="006E56A1">
              <w:t>0</w:t>
            </w:r>
          </w:p>
        </w:tc>
        <w:tc>
          <w:tcPr>
            <w:tcW w:w="1372" w:type="dxa"/>
          </w:tcPr>
          <w:p w14:paraId="1348106F" w14:textId="77777777" w:rsidR="000B7BDE" w:rsidRPr="006E56A1" w:rsidRDefault="000B7BDE" w:rsidP="004A63F7">
            <w:pPr>
              <w:pStyle w:val="Tabletext"/>
              <w:jc w:val="right"/>
            </w:pPr>
            <w:r w:rsidRPr="006E56A1">
              <w:t>0</w:t>
            </w:r>
          </w:p>
        </w:tc>
        <w:tc>
          <w:tcPr>
            <w:tcW w:w="1266" w:type="dxa"/>
          </w:tcPr>
          <w:p w14:paraId="4EAB3948" w14:textId="77777777" w:rsidR="000B7BDE" w:rsidRPr="006E56A1" w:rsidRDefault="000B7BDE" w:rsidP="004A63F7">
            <w:pPr>
              <w:pStyle w:val="Tabletext"/>
              <w:jc w:val="right"/>
            </w:pPr>
            <w:r w:rsidRPr="006E56A1">
              <w:t>0</w:t>
            </w:r>
          </w:p>
        </w:tc>
        <w:tc>
          <w:tcPr>
            <w:tcW w:w="1617" w:type="dxa"/>
          </w:tcPr>
          <w:p w14:paraId="19C15986" w14:textId="77777777" w:rsidR="000B7BDE" w:rsidRPr="006E56A1" w:rsidRDefault="000B7BDE" w:rsidP="004A63F7">
            <w:pPr>
              <w:pStyle w:val="Tabletext"/>
              <w:jc w:val="right"/>
            </w:pPr>
            <w:r w:rsidRPr="006E56A1">
              <w:t>46 860</w:t>
            </w:r>
          </w:p>
        </w:tc>
      </w:tr>
      <w:tr w:rsidR="000B7BDE" w:rsidRPr="006E56A1" w14:paraId="6295C883" w14:textId="77777777" w:rsidTr="006623C9">
        <w:trPr>
          <w:cantSplit/>
          <w:jc w:val="center"/>
        </w:trPr>
        <w:tc>
          <w:tcPr>
            <w:tcW w:w="1156" w:type="dxa"/>
            <w:noWrap/>
            <w:hideMark/>
          </w:tcPr>
          <w:p w14:paraId="32859553" w14:textId="77777777" w:rsidR="000B7BDE" w:rsidRPr="006E56A1" w:rsidRDefault="000B7BDE" w:rsidP="003542EE">
            <w:pPr>
              <w:pStyle w:val="Tabletext"/>
              <w:jc w:val="center"/>
            </w:pPr>
            <w:r w:rsidRPr="006E56A1">
              <w:t>Cat. 8</w:t>
            </w:r>
          </w:p>
        </w:tc>
        <w:tc>
          <w:tcPr>
            <w:tcW w:w="2087" w:type="dxa"/>
            <w:noWrap/>
            <w:hideMark/>
          </w:tcPr>
          <w:p w14:paraId="49BE6200" w14:textId="77777777" w:rsidR="000B7BDE" w:rsidRPr="006E56A1" w:rsidRDefault="000B7BDE" w:rsidP="004A63F7">
            <w:pPr>
              <w:pStyle w:val="Tabletext"/>
            </w:pPr>
            <w:r w:rsidRPr="006E56A1">
              <w:t>Services publics</w:t>
            </w:r>
          </w:p>
        </w:tc>
        <w:tc>
          <w:tcPr>
            <w:tcW w:w="1364" w:type="dxa"/>
            <w:noWrap/>
            <w:hideMark/>
          </w:tcPr>
          <w:p w14:paraId="27C27377" w14:textId="77777777" w:rsidR="000B7BDE" w:rsidRPr="006E56A1" w:rsidRDefault="000B7BDE" w:rsidP="004A63F7">
            <w:pPr>
              <w:pStyle w:val="Tabletext"/>
              <w:jc w:val="right"/>
            </w:pPr>
            <w:r w:rsidRPr="006E56A1">
              <w:t>5 000</w:t>
            </w:r>
          </w:p>
        </w:tc>
        <w:tc>
          <w:tcPr>
            <w:tcW w:w="1300" w:type="dxa"/>
            <w:noWrap/>
            <w:hideMark/>
          </w:tcPr>
          <w:p w14:paraId="69D4716C" w14:textId="77777777" w:rsidR="000B7BDE" w:rsidRPr="006E56A1" w:rsidRDefault="000B7BDE" w:rsidP="004A63F7">
            <w:pPr>
              <w:pStyle w:val="Tabletext"/>
              <w:jc w:val="right"/>
            </w:pPr>
            <w:r w:rsidRPr="006E56A1">
              <w:t>5 000</w:t>
            </w:r>
          </w:p>
        </w:tc>
        <w:tc>
          <w:tcPr>
            <w:tcW w:w="1372" w:type="dxa"/>
          </w:tcPr>
          <w:p w14:paraId="16102A3B" w14:textId="77777777" w:rsidR="000B7BDE" w:rsidRPr="006E56A1" w:rsidRDefault="000B7BDE" w:rsidP="004A63F7">
            <w:pPr>
              <w:pStyle w:val="Tabletext"/>
              <w:jc w:val="right"/>
            </w:pPr>
            <w:r w:rsidRPr="006E56A1">
              <w:t>5 000</w:t>
            </w:r>
          </w:p>
        </w:tc>
        <w:tc>
          <w:tcPr>
            <w:tcW w:w="1266" w:type="dxa"/>
          </w:tcPr>
          <w:p w14:paraId="0530E5CA" w14:textId="77777777" w:rsidR="000B7BDE" w:rsidRPr="006E56A1" w:rsidRDefault="000B7BDE" w:rsidP="004A63F7">
            <w:pPr>
              <w:pStyle w:val="Tabletext"/>
              <w:jc w:val="right"/>
            </w:pPr>
            <w:r w:rsidRPr="006E56A1">
              <w:t>5 000</w:t>
            </w:r>
          </w:p>
        </w:tc>
        <w:tc>
          <w:tcPr>
            <w:tcW w:w="1617" w:type="dxa"/>
          </w:tcPr>
          <w:p w14:paraId="3FEC2D61" w14:textId="77777777" w:rsidR="000B7BDE" w:rsidRPr="006E56A1" w:rsidRDefault="000B7BDE" w:rsidP="004A63F7">
            <w:pPr>
              <w:pStyle w:val="Tabletext"/>
              <w:jc w:val="right"/>
            </w:pPr>
            <w:r w:rsidRPr="006E56A1">
              <w:t>20 000</w:t>
            </w:r>
          </w:p>
        </w:tc>
      </w:tr>
      <w:tr w:rsidR="000B7BDE" w:rsidRPr="006E56A1" w14:paraId="54A1DD82" w14:textId="77777777" w:rsidTr="006623C9">
        <w:trPr>
          <w:cantSplit/>
          <w:jc w:val="center"/>
        </w:trPr>
        <w:tc>
          <w:tcPr>
            <w:tcW w:w="1156" w:type="dxa"/>
            <w:tcBorders>
              <w:bottom w:val="double" w:sz="4" w:space="0" w:color="auto"/>
            </w:tcBorders>
            <w:noWrap/>
            <w:hideMark/>
          </w:tcPr>
          <w:p w14:paraId="273A4779" w14:textId="77777777" w:rsidR="000B7BDE" w:rsidRPr="006E56A1" w:rsidRDefault="000B7BDE" w:rsidP="003542EE">
            <w:pPr>
              <w:pStyle w:val="Tabletext"/>
              <w:jc w:val="center"/>
            </w:pPr>
            <w:r w:rsidRPr="006E56A1">
              <w:t>Cat. 9</w:t>
            </w:r>
          </w:p>
        </w:tc>
        <w:tc>
          <w:tcPr>
            <w:tcW w:w="2087" w:type="dxa"/>
            <w:tcBorders>
              <w:bottom w:val="double" w:sz="4" w:space="0" w:color="auto"/>
            </w:tcBorders>
            <w:noWrap/>
            <w:hideMark/>
          </w:tcPr>
          <w:p w14:paraId="01D4A66E" w14:textId="77777777" w:rsidR="000B7BDE" w:rsidRPr="006E56A1" w:rsidRDefault="000B7BDE" w:rsidP="004A63F7">
            <w:pPr>
              <w:pStyle w:val="Tabletext"/>
            </w:pPr>
            <w:r w:rsidRPr="006E56A1">
              <w:t>Frais interorganisations, bancaires et divers</w:t>
            </w:r>
          </w:p>
        </w:tc>
        <w:tc>
          <w:tcPr>
            <w:tcW w:w="1364" w:type="dxa"/>
            <w:tcBorders>
              <w:bottom w:val="double" w:sz="4" w:space="0" w:color="auto"/>
            </w:tcBorders>
            <w:noWrap/>
            <w:hideMark/>
          </w:tcPr>
          <w:p w14:paraId="560189A6" w14:textId="77777777" w:rsidR="000B7BDE" w:rsidRPr="006E56A1" w:rsidRDefault="000B7BDE" w:rsidP="004A63F7">
            <w:pPr>
              <w:pStyle w:val="Tabletext"/>
              <w:jc w:val="right"/>
            </w:pPr>
            <w:r w:rsidRPr="006E56A1">
              <w:t>20 000</w:t>
            </w:r>
          </w:p>
        </w:tc>
        <w:tc>
          <w:tcPr>
            <w:tcW w:w="1300" w:type="dxa"/>
            <w:tcBorders>
              <w:bottom w:val="double" w:sz="4" w:space="0" w:color="auto"/>
            </w:tcBorders>
            <w:noWrap/>
            <w:hideMark/>
          </w:tcPr>
          <w:p w14:paraId="140A8E49" w14:textId="77777777" w:rsidR="000B7BDE" w:rsidRPr="006E56A1" w:rsidRDefault="000B7BDE" w:rsidP="004A63F7">
            <w:pPr>
              <w:pStyle w:val="Tabletext"/>
              <w:jc w:val="right"/>
            </w:pPr>
            <w:r w:rsidRPr="006E56A1">
              <w:t>20 000</w:t>
            </w:r>
          </w:p>
        </w:tc>
        <w:tc>
          <w:tcPr>
            <w:tcW w:w="1372" w:type="dxa"/>
            <w:tcBorders>
              <w:bottom w:val="double" w:sz="4" w:space="0" w:color="auto"/>
            </w:tcBorders>
          </w:tcPr>
          <w:p w14:paraId="74013CFD" w14:textId="77777777" w:rsidR="000B7BDE" w:rsidRPr="006E56A1" w:rsidRDefault="000B7BDE" w:rsidP="004A63F7">
            <w:pPr>
              <w:pStyle w:val="Tabletext"/>
              <w:jc w:val="right"/>
            </w:pPr>
            <w:r w:rsidRPr="006E56A1">
              <w:t>20 000</w:t>
            </w:r>
          </w:p>
        </w:tc>
        <w:tc>
          <w:tcPr>
            <w:tcW w:w="1266" w:type="dxa"/>
            <w:tcBorders>
              <w:bottom w:val="double" w:sz="4" w:space="0" w:color="auto"/>
            </w:tcBorders>
          </w:tcPr>
          <w:p w14:paraId="6E8DB822" w14:textId="77777777" w:rsidR="000B7BDE" w:rsidRPr="006E56A1" w:rsidRDefault="000B7BDE" w:rsidP="004A63F7">
            <w:pPr>
              <w:pStyle w:val="Tabletext"/>
              <w:jc w:val="right"/>
            </w:pPr>
            <w:r w:rsidRPr="006E56A1">
              <w:t>20 000</w:t>
            </w:r>
          </w:p>
        </w:tc>
        <w:tc>
          <w:tcPr>
            <w:tcW w:w="1617" w:type="dxa"/>
            <w:tcBorders>
              <w:bottom w:val="double" w:sz="4" w:space="0" w:color="auto"/>
            </w:tcBorders>
          </w:tcPr>
          <w:p w14:paraId="4DDDE4DD" w14:textId="77777777" w:rsidR="000B7BDE" w:rsidRPr="006E56A1" w:rsidRDefault="000B7BDE" w:rsidP="004A63F7">
            <w:pPr>
              <w:pStyle w:val="Tabletext"/>
              <w:jc w:val="right"/>
            </w:pPr>
            <w:r w:rsidRPr="006E56A1">
              <w:t>80 000</w:t>
            </w:r>
          </w:p>
        </w:tc>
      </w:tr>
      <w:tr w:rsidR="000B7BDE" w:rsidRPr="006E56A1" w14:paraId="175765A6" w14:textId="77777777" w:rsidTr="006623C9">
        <w:trPr>
          <w:cantSplit/>
          <w:jc w:val="center"/>
        </w:trPr>
        <w:tc>
          <w:tcPr>
            <w:tcW w:w="1156" w:type="dxa"/>
            <w:tcBorders>
              <w:top w:val="double" w:sz="4" w:space="0" w:color="auto"/>
              <w:right w:val="nil"/>
            </w:tcBorders>
            <w:noWrap/>
            <w:hideMark/>
          </w:tcPr>
          <w:p w14:paraId="60BB9B4B" w14:textId="77777777" w:rsidR="000B7BDE" w:rsidRPr="006E56A1" w:rsidRDefault="000B7BDE" w:rsidP="003542EE">
            <w:pPr>
              <w:pStyle w:val="Tabletext"/>
              <w:jc w:val="center"/>
              <w:rPr>
                <w:b/>
                <w:bCs/>
              </w:rPr>
            </w:pPr>
          </w:p>
        </w:tc>
        <w:tc>
          <w:tcPr>
            <w:tcW w:w="2087" w:type="dxa"/>
            <w:tcBorders>
              <w:top w:val="double" w:sz="4" w:space="0" w:color="auto"/>
              <w:left w:val="nil"/>
            </w:tcBorders>
            <w:noWrap/>
            <w:hideMark/>
          </w:tcPr>
          <w:p w14:paraId="184168A3" w14:textId="77777777" w:rsidR="000B7BDE" w:rsidRPr="006E56A1" w:rsidRDefault="000B7BDE" w:rsidP="004A63F7">
            <w:pPr>
              <w:pStyle w:val="Tabletext"/>
              <w:rPr>
                <w:b/>
                <w:bCs/>
              </w:rPr>
            </w:pPr>
            <w:r w:rsidRPr="006E56A1">
              <w:rPr>
                <w:b/>
                <w:bCs/>
              </w:rPr>
              <w:t>Coûts totaux</w:t>
            </w:r>
          </w:p>
        </w:tc>
        <w:tc>
          <w:tcPr>
            <w:tcW w:w="1364" w:type="dxa"/>
            <w:tcBorders>
              <w:top w:val="double" w:sz="4" w:space="0" w:color="auto"/>
            </w:tcBorders>
            <w:noWrap/>
            <w:hideMark/>
          </w:tcPr>
          <w:p w14:paraId="2057E745" w14:textId="77777777" w:rsidR="000B7BDE" w:rsidRPr="006E56A1" w:rsidRDefault="000B7BDE" w:rsidP="004A63F7">
            <w:pPr>
              <w:pStyle w:val="Tabletext"/>
              <w:jc w:val="right"/>
              <w:rPr>
                <w:b/>
                <w:bCs/>
              </w:rPr>
            </w:pPr>
            <w:r w:rsidRPr="006E56A1">
              <w:rPr>
                <w:b/>
                <w:bCs/>
              </w:rPr>
              <w:t>140 729</w:t>
            </w:r>
          </w:p>
        </w:tc>
        <w:tc>
          <w:tcPr>
            <w:tcW w:w="1300" w:type="dxa"/>
            <w:tcBorders>
              <w:top w:val="double" w:sz="4" w:space="0" w:color="auto"/>
            </w:tcBorders>
            <w:noWrap/>
            <w:hideMark/>
          </w:tcPr>
          <w:p w14:paraId="6750026E" w14:textId="5A73B1D7" w:rsidR="000B7BDE" w:rsidRPr="006E56A1" w:rsidRDefault="000B7BDE" w:rsidP="004A63F7">
            <w:pPr>
              <w:pStyle w:val="Tabletext"/>
              <w:jc w:val="right"/>
              <w:rPr>
                <w:b/>
                <w:bCs/>
              </w:rPr>
            </w:pPr>
            <w:r w:rsidRPr="006E56A1">
              <w:rPr>
                <w:b/>
                <w:bCs/>
              </w:rPr>
              <w:t>55 000</w:t>
            </w:r>
          </w:p>
        </w:tc>
        <w:tc>
          <w:tcPr>
            <w:tcW w:w="1372" w:type="dxa"/>
            <w:tcBorders>
              <w:top w:val="double" w:sz="4" w:space="0" w:color="auto"/>
            </w:tcBorders>
          </w:tcPr>
          <w:p w14:paraId="037A10EE" w14:textId="77777777" w:rsidR="000B7BDE" w:rsidRPr="006E56A1" w:rsidRDefault="000B7BDE" w:rsidP="004A63F7">
            <w:pPr>
              <w:pStyle w:val="Tabletext"/>
              <w:jc w:val="right"/>
              <w:rPr>
                <w:b/>
                <w:bCs/>
              </w:rPr>
            </w:pPr>
            <w:r w:rsidRPr="006E56A1">
              <w:rPr>
                <w:b/>
                <w:bCs/>
              </w:rPr>
              <w:t>105 000</w:t>
            </w:r>
          </w:p>
        </w:tc>
        <w:tc>
          <w:tcPr>
            <w:tcW w:w="1266" w:type="dxa"/>
            <w:tcBorders>
              <w:top w:val="double" w:sz="4" w:space="0" w:color="auto"/>
            </w:tcBorders>
          </w:tcPr>
          <w:p w14:paraId="7CE81B34" w14:textId="77777777" w:rsidR="000B7BDE" w:rsidRPr="006E56A1" w:rsidRDefault="000B7BDE" w:rsidP="004A63F7">
            <w:pPr>
              <w:pStyle w:val="Tabletext"/>
              <w:jc w:val="right"/>
              <w:rPr>
                <w:b/>
                <w:bCs/>
              </w:rPr>
            </w:pPr>
            <w:r w:rsidRPr="006E56A1">
              <w:rPr>
                <w:b/>
                <w:bCs/>
              </w:rPr>
              <w:t>65 583</w:t>
            </w:r>
          </w:p>
        </w:tc>
        <w:tc>
          <w:tcPr>
            <w:tcW w:w="1617" w:type="dxa"/>
            <w:tcBorders>
              <w:top w:val="double" w:sz="4" w:space="0" w:color="auto"/>
            </w:tcBorders>
          </w:tcPr>
          <w:p w14:paraId="6F688230" w14:textId="77777777" w:rsidR="000B7BDE" w:rsidRPr="006E56A1" w:rsidRDefault="000B7BDE" w:rsidP="004A63F7">
            <w:pPr>
              <w:pStyle w:val="Tabletext"/>
              <w:jc w:val="right"/>
              <w:rPr>
                <w:b/>
                <w:bCs/>
              </w:rPr>
            </w:pPr>
            <w:r w:rsidRPr="006E56A1">
              <w:rPr>
                <w:b/>
                <w:bCs/>
              </w:rPr>
              <w:t>366 312</w:t>
            </w:r>
          </w:p>
        </w:tc>
      </w:tr>
    </w:tbl>
    <w:p w14:paraId="0EE34EAD" w14:textId="77777777" w:rsidR="000B7BDE" w:rsidRPr="006E56A1" w:rsidRDefault="000B7BDE" w:rsidP="000B7BDE">
      <w:pPr>
        <w:jc w:val="center"/>
      </w:pPr>
      <w:r w:rsidRPr="006E56A1">
        <w:t>______________</w:t>
      </w:r>
      <w:bookmarkEnd w:id="7"/>
    </w:p>
    <w:sectPr w:rsidR="000B7BDE" w:rsidRPr="006E56A1" w:rsidSect="003A0B7D">
      <w:headerReference w:type="even" r:id="rId50"/>
      <w:headerReference w:type="default" r:id="rId51"/>
      <w:footerReference w:type="even" r:id="rId52"/>
      <w:footerReference w:type="default" r:id="rId53"/>
      <w:headerReference w:type="first" r:id="rId54"/>
      <w:footerReference w:type="first" r:id="rId55"/>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D9D44" w14:textId="77777777" w:rsidR="001B087B" w:rsidRDefault="001B087B">
      <w:r>
        <w:separator/>
      </w:r>
    </w:p>
  </w:endnote>
  <w:endnote w:type="continuationSeparator" w:id="0">
    <w:p w14:paraId="50049A90" w14:textId="77777777" w:rsidR="001B087B" w:rsidRDefault="001B0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4EBF8" w14:textId="77777777" w:rsidR="009A35DB" w:rsidRDefault="009A3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23E0" w14:textId="77777777" w:rsidR="009A35DB" w:rsidRDefault="009A35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3AB113A"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9A35DB">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8E67E" w14:textId="77777777" w:rsidR="001B087B" w:rsidRDefault="001B087B">
      <w:r>
        <w:t>____________________</w:t>
      </w:r>
    </w:p>
  </w:footnote>
  <w:footnote w:type="continuationSeparator" w:id="0">
    <w:p w14:paraId="0764A0BE" w14:textId="77777777" w:rsidR="001B087B" w:rsidRDefault="001B087B">
      <w:r>
        <w:continuationSeparator/>
      </w:r>
    </w:p>
  </w:footnote>
  <w:footnote w:id="1">
    <w:p w14:paraId="728B2E45" w14:textId="6053FA9A" w:rsidR="000B7BDE" w:rsidRPr="00CC3445" w:rsidRDefault="000B7BDE" w:rsidP="000B7BDE">
      <w:pPr>
        <w:pStyle w:val="FootnoteText"/>
      </w:pPr>
      <w:r>
        <w:rPr>
          <w:rStyle w:val="FootnoteReference"/>
        </w:rPr>
        <w:footnoteRef/>
      </w:r>
      <w:r w:rsidR="00BA6AA7">
        <w:tab/>
      </w:r>
      <w:r w:rsidRPr="00CC3445">
        <w:t>Le projet d'étude de faisabilité p</w:t>
      </w:r>
      <w:r>
        <w:t xml:space="preserve">our le Pacifique est disponible au lien </w:t>
      </w:r>
      <w:hyperlink r:id="rId1" w:history="1">
        <w:r w:rsidRPr="00405BA7">
          <w:rPr>
            <w:rStyle w:val="Hyperlink"/>
          </w:rPr>
          <w:t>https://www.itu.int/en/ITU-D/Regional-Presence/AsiaPacific/Documents/Projects/Pacific%20Feasibility%20Study/29092026%20ITU%20Pacific%20Regional%20Presence%20Feasibility%20Study%20Draft%20for%20Review.pdf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4EAF" w14:textId="77777777" w:rsidR="009A35DB" w:rsidRDefault="009A35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6BD7E011" w:rsidR="00BD1614" w:rsidRDefault="00BD1614" w:rsidP="001E2226">
    <w:pPr>
      <w:pStyle w:val="Header"/>
    </w:pPr>
    <w:proofErr w:type="spellStart"/>
    <w:r>
      <w:t>PP</w:t>
    </w:r>
    <w:r w:rsidR="002A7A1D">
      <w:t>2</w:t>
    </w:r>
    <w:r w:rsidR="008407A7">
      <w:t>6</w:t>
    </w:r>
    <w:proofErr w:type="spellEnd"/>
    <w:r>
      <w:t>/</w:t>
    </w:r>
    <w:r w:rsidR="000B7BDE">
      <w:t>66</w:t>
    </w:r>
    <w:r w:rsidR="00801154">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1EEE" w14:textId="77777777" w:rsidR="009A35DB" w:rsidRDefault="009A3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2C93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A895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7D036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90B6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624E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A052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EDF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46F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686E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D69E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162C08"/>
    <w:multiLevelType w:val="multilevel"/>
    <w:tmpl w:val="FA64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510A38"/>
    <w:multiLevelType w:val="multilevel"/>
    <w:tmpl w:val="7564E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6B5D7E"/>
    <w:multiLevelType w:val="hybridMultilevel"/>
    <w:tmpl w:val="CCDC9C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907094A"/>
    <w:multiLevelType w:val="multilevel"/>
    <w:tmpl w:val="230E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43CEC5"/>
    <w:multiLevelType w:val="hybridMultilevel"/>
    <w:tmpl w:val="18084AA0"/>
    <w:lvl w:ilvl="0" w:tplc="714CCAEC">
      <w:start w:val="1"/>
      <w:numFmt w:val="decimal"/>
      <w:lvlText w:val="5)"/>
      <w:lvlJc w:val="left"/>
      <w:pPr>
        <w:ind w:left="720" w:hanging="360"/>
      </w:pPr>
    </w:lvl>
    <w:lvl w:ilvl="1" w:tplc="75467840">
      <w:start w:val="1"/>
      <w:numFmt w:val="lowerLetter"/>
      <w:lvlText w:val="%2."/>
      <w:lvlJc w:val="left"/>
      <w:pPr>
        <w:ind w:left="1440" w:hanging="360"/>
      </w:pPr>
    </w:lvl>
    <w:lvl w:ilvl="2" w:tplc="AAB0A4CE">
      <w:start w:val="1"/>
      <w:numFmt w:val="lowerRoman"/>
      <w:lvlText w:val="%3."/>
      <w:lvlJc w:val="right"/>
      <w:pPr>
        <w:ind w:left="2160" w:hanging="180"/>
      </w:pPr>
    </w:lvl>
    <w:lvl w:ilvl="3" w:tplc="DCE854C2">
      <w:start w:val="1"/>
      <w:numFmt w:val="decimal"/>
      <w:lvlText w:val="%4."/>
      <w:lvlJc w:val="left"/>
      <w:pPr>
        <w:ind w:left="2880" w:hanging="360"/>
      </w:pPr>
    </w:lvl>
    <w:lvl w:ilvl="4" w:tplc="F776F90E">
      <w:start w:val="1"/>
      <w:numFmt w:val="lowerLetter"/>
      <w:lvlText w:val="%5."/>
      <w:lvlJc w:val="left"/>
      <w:pPr>
        <w:ind w:left="3600" w:hanging="360"/>
      </w:pPr>
    </w:lvl>
    <w:lvl w:ilvl="5" w:tplc="1A266F64">
      <w:start w:val="1"/>
      <w:numFmt w:val="lowerRoman"/>
      <w:lvlText w:val="%6."/>
      <w:lvlJc w:val="right"/>
      <w:pPr>
        <w:ind w:left="4320" w:hanging="180"/>
      </w:pPr>
    </w:lvl>
    <w:lvl w:ilvl="6" w:tplc="D2660DC2">
      <w:start w:val="1"/>
      <w:numFmt w:val="decimal"/>
      <w:lvlText w:val="%7."/>
      <w:lvlJc w:val="left"/>
      <w:pPr>
        <w:ind w:left="5040" w:hanging="360"/>
      </w:pPr>
    </w:lvl>
    <w:lvl w:ilvl="7" w:tplc="366AED06">
      <w:start w:val="1"/>
      <w:numFmt w:val="lowerLetter"/>
      <w:lvlText w:val="%8."/>
      <w:lvlJc w:val="left"/>
      <w:pPr>
        <w:ind w:left="5760" w:hanging="360"/>
      </w:pPr>
    </w:lvl>
    <w:lvl w:ilvl="8" w:tplc="9D6A584C">
      <w:start w:val="1"/>
      <w:numFmt w:val="lowerRoman"/>
      <w:lvlText w:val="%9."/>
      <w:lvlJc w:val="right"/>
      <w:pPr>
        <w:ind w:left="6480" w:hanging="180"/>
      </w:p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 w:numId="11" w16cid:durableId="1416587580">
    <w:abstractNumId w:val="14"/>
  </w:num>
  <w:num w:numId="12" w16cid:durableId="966547789">
    <w:abstractNumId w:val="12"/>
  </w:num>
  <w:num w:numId="13" w16cid:durableId="1936399519">
    <w:abstractNumId w:val="11"/>
  </w:num>
  <w:num w:numId="14" w16cid:durableId="1580943334">
    <w:abstractNumId w:val="10"/>
  </w:num>
  <w:num w:numId="15" w16cid:durableId="2146771281">
    <w:abstractNumId w:val="13"/>
  </w:num>
  <w:num w:numId="16" w16cid:durableId="496270154">
    <w:abstractNumId w:val="8"/>
  </w:num>
  <w:num w:numId="17" w16cid:durableId="1891111084">
    <w:abstractNumId w:val="3"/>
  </w:num>
  <w:num w:numId="18" w16cid:durableId="11616073">
    <w:abstractNumId w:val="2"/>
  </w:num>
  <w:num w:numId="19" w16cid:durableId="508911569">
    <w:abstractNumId w:val="1"/>
  </w:num>
  <w:num w:numId="20" w16cid:durableId="935478850">
    <w:abstractNumId w:val="0"/>
  </w:num>
  <w:num w:numId="21" w16cid:durableId="184834498">
    <w:abstractNumId w:val="8"/>
  </w:num>
  <w:num w:numId="22" w16cid:durableId="1475021459">
    <w:abstractNumId w:val="3"/>
  </w:num>
  <w:num w:numId="23" w16cid:durableId="1891572622">
    <w:abstractNumId w:val="2"/>
  </w:num>
  <w:num w:numId="24" w16cid:durableId="1186791844">
    <w:abstractNumId w:val="1"/>
  </w:num>
  <w:num w:numId="25" w16cid:durableId="1584492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439C7"/>
    <w:rsid w:val="00050A7C"/>
    <w:rsid w:val="00060D74"/>
    <w:rsid w:val="00072D5C"/>
    <w:rsid w:val="0008398C"/>
    <w:rsid w:val="00084308"/>
    <w:rsid w:val="000B14B6"/>
    <w:rsid w:val="000B7BDE"/>
    <w:rsid w:val="000C467B"/>
    <w:rsid w:val="000D15FB"/>
    <w:rsid w:val="000F17F5"/>
    <w:rsid w:val="000F58F7"/>
    <w:rsid w:val="001051E4"/>
    <w:rsid w:val="001354EA"/>
    <w:rsid w:val="00136FCE"/>
    <w:rsid w:val="00153BA4"/>
    <w:rsid w:val="001941AD"/>
    <w:rsid w:val="0019732C"/>
    <w:rsid w:val="001A0682"/>
    <w:rsid w:val="001B087B"/>
    <w:rsid w:val="001B4D8D"/>
    <w:rsid w:val="001C3790"/>
    <w:rsid w:val="001D31B2"/>
    <w:rsid w:val="001E1B9B"/>
    <w:rsid w:val="001E2226"/>
    <w:rsid w:val="001F0B24"/>
    <w:rsid w:val="001F6233"/>
    <w:rsid w:val="002339EC"/>
    <w:rsid w:val="002355CD"/>
    <w:rsid w:val="002524DA"/>
    <w:rsid w:val="00270B2F"/>
    <w:rsid w:val="002712F9"/>
    <w:rsid w:val="002A0E1B"/>
    <w:rsid w:val="002A7A1D"/>
    <w:rsid w:val="002C1059"/>
    <w:rsid w:val="002C2F9C"/>
    <w:rsid w:val="002E1AF7"/>
    <w:rsid w:val="00322DEA"/>
    <w:rsid w:val="003542EE"/>
    <w:rsid w:val="00355FBD"/>
    <w:rsid w:val="00371863"/>
    <w:rsid w:val="00381461"/>
    <w:rsid w:val="00391C12"/>
    <w:rsid w:val="003A0B7D"/>
    <w:rsid w:val="003A45C2"/>
    <w:rsid w:val="003B017F"/>
    <w:rsid w:val="003B6DE8"/>
    <w:rsid w:val="003B7A11"/>
    <w:rsid w:val="003C4BE2"/>
    <w:rsid w:val="003D147D"/>
    <w:rsid w:val="003D637A"/>
    <w:rsid w:val="00413CB9"/>
    <w:rsid w:val="00430015"/>
    <w:rsid w:val="004678D0"/>
    <w:rsid w:val="00482954"/>
    <w:rsid w:val="004951C0"/>
    <w:rsid w:val="004A6A26"/>
    <w:rsid w:val="004C7646"/>
    <w:rsid w:val="00524001"/>
    <w:rsid w:val="00535F08"/>
    <w:rsid w:val="00544294"/>
    <w:rsid w:val="00563698"/>
    <w:rsid w:val="00564B63"/>
    <w:rsid w:val="00575DC7"/>
    <w:rsid w:val="005836C2"/>
    <w:rsid w:val="005A4EFD"/>
    <w:rsid w:val="005A5ABE"/>
    <w:rsid w:val="005C2ECC"/>
    <w:rsid w:val="005C6744"/>
    <w:rsid w:val="005D37DA"/>
    <w:rsid w:val="005E419E"/>
    <w:rsid w:val="005F63BD"/>
    <w:rsid w:val="00611CF1"/>
    <w:rsid w:val="006201D9"/>
    <w:rsid w:val="006277DB"/>
    <w:rsid w:val="00635B7B"/>
    <w:rsid w:val="00655B98"/>
    <w:rsid w:val="006569C7"/>
    <w:rsid w:val="006623C9"/>
    <w:rsid w:val="006710E6"/>
    <w:rsid w:val="00686973"/>
    <w:rsid w:val="00696B2D"/>
    <w:rsid w:val="006A2656"/>
    <w:rsid w:val="006A3475"/>
    <w:rsid w:val="006A6342"/>
    <w:rsid w:val="006B6C9C"/>
    <w:rsid w:val="006C7AE3"/>
    <w:rsid w:val="006D55E8"/>
    <w:rsid w:val="006E1921"/>
    <w:rsid w:val="006E56A1"/>
    <w:rsid w:val="006F36F9"/>
    <w:rsid w:val="0070576B"/>
    <w:rsid w:val="00713335"/>
    <w:rsid w:val="00727C2F"/>
    <w:rsid w:val="00735F13"/>
    <w:rsid w:val="007575CC"/>
    <w:rsid w:val="007717F2"/>
    <w:rsid w:val="00772E3B"/>
    <w:rsid w:val="0078134C"/>
    <w:rsid w:val="007A47E9"/>
    <w:rsid w:val="007A5830"/>
    <w:rsid w:val="007D21FB"/>
    <w:rsid w:val="007F5FFC"/>
    <w:rsid w:val="00801154"/>
    <w:rsid w:val="00801256"/>
    <w:rsid w:val="008264FC"/>
    <w:rsid w:val="008407A7"/>
    <w:rsid w:val="008703CB"/>
    <w:rsid w:val="008B1C39"/>
    <w:rsid w:val="008B61AF"/>
    <w:rsid w:val="008C33C2"/>
    <w:rsid w:val="008C6137"/>
    <w:rsid w:val="008E2DB4"/>
    <w:rsid w:val="00901DB9"/>
    <w:rsid w:val="00901DD5"/>
    <w:rsid w:val="00901E77"/>
    <w:rsid w:val="0090735B"/>
    <w:rsid w:val="00912D5E"/>
    <w:rsid w:val="00934340"/>
    <w:rsid w:val="00945165"/>
    <w:rsid w:val="00956DC7"/>
    <w:rsid w:val="00966CD3"/>
    <w:rsid w:val="00987A20"/>
    <w:rsid w:val="009A0E15"/>
    <w:rsid w:val="009A35DB"/>
    <w:rsid w:val="009B4FEE"/>
    <w:rsid w:val="009D4037"/>
    <w:rsid w:val="009F0592"/>
    <w:rsid w:val="00A20E72"/>
    <w:rsid w:val="00A246DC"/>
    <w:rsid w:val="00A47BAF"/>
    <w:rsid w:val="00A542D3"/>
    <w:rsid w:val="00A5784F"/>
    <w:rsid w:val="00A65A06"/>
    <w:rsid w:val="00A8436E"/>
    <w:rsid w:val="00A95B66"/>
    <w:rsid w:val="00AB190D"/>
    <w:rsid w:val="00AE0667"/>
    <w:rsid w:val="00B23CD4"/>
    <w:rsid w:val="00B41E0A"/>
    <w:rsid w:val="00B56DE0"/>
    <w:rsid w:val="00B71F12"/>
    <w:rsid w:val="00B76FEC"/>
    <w:rsid w:val="00B96B1E"/>
    <w:rsid w:val="00BA6AA7"/>
    <w:rsid w:val="00BB2A6F"/>
    <w:rsid w:val="00BD1614"/>
    <w:rsid w:val="00BD382C"/>
    <w:rsid w:val="00BD5C12"/>
    <w:rsid w:val="00BD5DA6"/>
    <w:rsid w:val="00BE414D"/>
    <w:rsid w:val="00BF7D25"/>
    <w:rsid w:val="00C010C0"/>
    <w:rsid w:val="00C0405F"/>
    <w:rsid w:val="00C34E9F"/>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B3E32"/>
    <w:rsid w:val="00DE426C"/>
    <w:rsid w:val="00DF25C1"/>
    <w:rsid w:val="00DF48F7"/>
    <w:rsid w:val="00DF4964"/>
    <w:rsid w:val="00DF4D73"/>
    <w:rsid w:val="00DF79B0"/>
    <w:rsid w:val="00E1047D"/>
    <w:rsid w:val="00E13C62"/>
    <w:rsid w:val="00E359D2"/>
    <w:rsid w:val="00E4050B"/>
    <w:rsid w:val="00E443FA"/>
    <w:rsid w:val="00E54FCE"/>
    <w:rsid w:val="00E60DA1"/>
    <w:rsid w:val="00E762D8"/>
    <w:rsid w:val="00E921A2"/>
    <w:rsid w:val="00E93D35"/>
    <w:rsid w:val="00EA45DB"/>
    <w:rsid w:val="00EB135D"/>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99"/>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39"/>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39"/>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39"/>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unhideWhenUsed/>
    <w:rsid w:val="00901E77"/>
    <w:rPr>
      <w:color w:val="800080" w:themeColor="followedHyperlink"/>
      <w:u w:val="single"/>
    </w:rPr>
  </w:style>
  <w:style w:type="paragraph" w:customStyle="1" w:styleId="SpecialFooter">
    <w:name w:val="Special Footer"/>
    <w:basedOn w:val="Footer"/>
    <w:rsid w:val="000B7BDE"/>
    <w:pPr>
      <w:tabs>
        <w:tab w:val="left" w:pos="567"/>
        <w:tab w:val="left" w:pos="1134"/>
        <w:tab w:val="left" w:pos="1701"/>
        <w:tab w:val="left" w:pos="2268"/>
        <w:tab w:val="left" w:pos="2835"/>
      </w:tabs>
      <w:jc w:val="both"/>
    </w:pPr>
    <w:rPr>
      <w:rFonts w:ascii="Times New Roman" w:hAnsi="Times New Roman"/>
      <w:caps w:val="0"/>
      <w:noProof w:val="0"/>
      <w:lang w:val="en-GB"/>
    </w:rPr>
  </w:style>
  <w:style w:type="paragraph" w:customStyle="1" w:styleId="VolumeTitleS2">
    <w:name w:val="VolumeTitle_S2"/>
    <w:basedOn w:val="VolumeTitle"/>
    <w:next w:val="Normal"/>
    <w:qFormat/>
    <w:rsid w:val="000B7BDE"/>
    <w:rPr>
      <w:caps w:val="0"/>
    </w:rPr>
  </w:style>
  <w:style w:type="paragraph" w:customStyle="1" w:styleId="StyleCommitteeAfter0ptLinespacingsingle">
    <w:name w:val="Style Committee + After:  0 pt Line spacing:  single"/>
    <w:basedOn w:val="Committee"/>
    <w:rsid w:val="000B7BDE"/>
    <w:pPr>
      <w:framePr w:hSpace="0" w:wrap="around" w:hAnchor="text" w:yAlign="inline"/>
      <w:tabs>
        <w:tab w:val="clear" w:pos="1134"/>
        <w:tab w:val="clear" w:pos="1871"/>
        <w:tab w:val="clear" w:pos="2268"/>
        <w:tab w:val="left" w:pos="851"/>
      </w:tabs>
      <w:overflowPunct/>
      <w:autoSpaceDE/>
      <w:autoSpaceDN/>
      <w:adjustRightInd/>
      <w:spacing w:after="0" w:line="240" w:lineRule="auto"/>
      <w:textAlignment w:val="auto"/>
    </w:pPr>
    <w:rPr>
      <w:rFonts w:cs="Times New Roman"/>
      <w:bCs/>
      <w:szCs w:val="20"/>
      <w:lang w:eastAsia="zh-CN"/>
    </w:rPr>
  </w:style>
  <w:style w:type="paragraph" w:styleId="TOCHeading">
    <w:name w:val="TOC Heading"/>
    <w:basedOn w:val="Heading1"/>
    <w:next w:val="Normal"/>
    <w:uiPriority w:val="39"/>
    <w:unhideWhenUsed/>
    <w:qFormat/>
    <w:rsid w:val="000B7BDE"/>
    <w:pPr>
      <w:tabs>
        <w:tab w:val="clear" w:pos="567"/>
        <w:tab w:val="clear" w:pos="1134"/>
        <w:tab w:val="clear" w:pos="1701"/>
        <w:tab w:val="clear" w:pos="2268"/>
        <w:tab w:val="clear" w:pos="283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paragraph" w:styleId="NormalWeb">
    <w:name w:val="Normal (Web)"/>
    <w:basedOn w:val="Normal"/>
    <w:uiPriority w:val="99"/>
    <w:semiHidden/>
    <w:unhideWhenUsed/>
    <w:rsid w:val="000B7BDE"/>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val="en-IN" w:eastAsia="en-IN"/>
    </w:rPr>
  </w:style>
  <w:style w:type="paragraph" w:styleId="Revision">
    <w:name w:val="Revision"/>
    <w:hidden/>
    <w:uiPriority w:val="99"/>
    <w:semiHidden/>
    <w:rsid w:val="000B7BDE"/>
    <w:rPr>
      <w:rFonts w:ascii="Calibri" w:hAnsi="Calibri"/>
      <w:sz w:val="24"/>
      <w:lang w:val="en-GB" w:eastAsia="en-US"/>
    </w:rPr>
  </w:style>
  <w:style w:type="table" w:styleId="TableGrid">
    <w:name w:val="Table Grid"/>
    <w:basedOn w:val="TableNormal"/>
    <w:rsid w:val="000B7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7BDE"/>
    <w:pPr>
      <w:ind w:left="720"/>
      <w:contextualSpacing/>
    </w:pPr>
    <w:rPr>
      <w:lang w:val="en-GB"/>
    </w:rPr>
  </w:style>
  <w:style w:type="paragraph" w:styleId="CommentText">
    <w:name w:val="annotation text"/>
    <w:basedOn w:val="Normal"/>
    <w:link w:val="CommentTextChar"/>
    <w:unhideWhenUsed/>
    <w:rsid w:val="000B7BDE"/>
    <w:rPr>
      <w:sz w:val="20"/>
      <w:lang w:val="en-GB"/>
    </w:rPr>
  </w:style>
  <w:style w:type="character" w:customStyle="1" w:styleId="CommentTextChar">
    <w:name w:val="Comment Text Char"/>
    <w:basedOn w:val="DefaultParagraphFont"/>
    <w:link w:val="CommentText"/>
    <w:rsid w:val="000B7BDE"/>
    <w:rPr>
      <w:rFonts w:ascii="Calibri" w:hAnsi="Calibri"/>
      <w:lang w:val="en-GB" w:eastAsia="en-US"/>
    </w:rPr>
  </w:style>
  <w:style w:type="character" w:styleId="CommentReference">
    <w:name w:val="annotation reference"/>
    <w:basedOn w:val="DefaultParagraphFont"/>
    <w:semiHidden/>
    <w:unhideWhenUsed/>
    <w:rsid w:val="000B7BDE"/>
    <w:rPr>
      <w:sz w:val="16"/>
      <w:szCs w:val="16"/>
    </w:rPr>
  </w:style>
  <w:style w:type="paragraph" w:styleId="Caption">
    <w:name w:val="caption"/>
    <w:basedOn w:val="Normal"/>
    <w:next w:val="Normal"/>
    <w:unhideWhenUsed/>
    <w:qFormat/>
    <w:rsid w:val="000B7BDE"/>
    <w:pPr>
      <w:tabs>
        <w:tab w:val="clear" w:pos="567"/>
        <w:tab w:val="clear" w:pos="1134"/>
        <w:tab w:val="clear" w:pos="1701"/>
        <w:tab w:val="clear" w:pos="2268"/>
        <w:tab w:val="clear" w:pos="2835"/>
      </w:tabs>
      <w:overflowPunct/>
      <w:autoSpaceDE/>
      <w:autoSpaceDN/>
      <w:adjustRightInd/>
      <w:spacing w:before="0" w:after="120"/>
      <w:textAlignment w:val="auto"/>
    </w:pPr>
    <w:rPr>
      <w:rFonts w:ascii="Arial" w:eastAsia="Arial" w:hAnsi="Arial" w:cstheme="minorBidi"/>
      <w:b/>
      <w:bCs/>
      <w:i/>
      <w:color w:val="505050"/>
      <w:sz w:val="18"/>
      <w:szCs w:val="18"/>
      <w:lang w:val="en-US"/>
    </w:rPr>
  </w:style>
  <w:style w:type="table" w:styleId="PlainTable3">
    <w:name w:val="Plain Table 3"/>
    <w:basedOn w:val="TableNormal"/>
    <w:uiPriority w:val="99"/>
    <w:rsid w:val="000B7BDE"/>
    <w:rPr>
      <w:rFonts w:asciiTheme="minorHAnsi" w:eastAsiaTheme="minorEastAsia" w:hAnsiTheme="minorHAnsi" w:cstheme="minorBidi"/>
      <w:sz w:val="22"/>
      <w:szCs w:val="22"/>
      <w:lang w:eastAsia="en-US"/>
    </w:r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0B7BD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
    <w:name w:val="Figure"/>
    <w:basedOn w:val="firstfooter0"/>
    <w:rsid w:val="000B7BDE"/>
    <w:pPr>
      <w:spacing w:before="120" w:beforeAutospacing="0" w:after="240" w:afterAutospacing="0"/>
      <w:jc w:val="center"/>
    </w:pPr>
    <w:rPr>
      <w:noProof/>
    </w:rPr>
  </w:style>
  <w:style w:type="paragraph" w:customStyle="1" w:styleId="Tablefin">
    <w:name w:val="Table_fin"/>
    <w:basedOn w:val="Tabletext"/>
    <w:rsid w:val="000B7BDE"/>
    <w:pPr>
      <w:spacing w:before="0" w:after="0"/>
    </w:pPr>
    <w:rPr>
      <w:rFonts w:eastAsiaTheme="minorEastAsia"/>
      <w:lang w:val="en-US"/>
    </w:rPr>
  </w:style>
  <w:style w:type="paragraph" w:styleId="CommentSubject">
    <w:name w:val="annotation subject"/>
    <w:basedOn w:val="CommentText"/>
    <w:next w:val="CommentText"/>
    <w:link w:val="CommentSubjectChar"/>
    <w:semiHidden/>
    <w:unhideWhenUsed/>
    <w:rsid w:val="000B7BDE"/>
    <w:rPr>
      <w:b/>
      <w:bCs/>
    </w:rPr>
  </w:style>
  <w:style w:type="character" w:customStyle="1" w:styleId="CommentSubjectChar">
    <w:name w:val="Comment Subject Char"/>
    <w:basedOn w:val="CommentTextChar"/>
    <w:link w:val="CommentSubject"/>
    <w:semiHidden/>
    <w:rsid w:val="000B7BDE"/>
    <w:rPr>
      <w:rFonts w:ascii="Calibri" w:hAnsi="Calibri"/>
      <w:b/>
      <w:bCs/>
      <w:lang w:val="en-GB" w:eastAsia="en-US"/>
    </w:rPr>
  </w:style>
  <w:style w:type="character" w:styleId="Mention">
    <w:name w:val="Mention"/>
    <w:basedOn w:val="DefaultParagraphFont"/>
    <w:uiPriority w:val="99"/>
    <w:unhideWhenUsed/>
    <w:rsid w:val="000B7BDE"/>
    <w:rPr>
      <w:color w:val="2B579A"/>
      <w:shd w:val="clear" w:color="auto" w:fill="E1DFDD"/>
    </w:rPr>
  </w:style>
  <w:style w:type="character" w:styleId="PlaceholderText">
    <w:name w:val="Placeholder Text"/>
    <w:basedOn w:val="DefaultParagraphFont"/>
    <w:uiPriority w:val="99"/>
    <w:semiHidden/>
    <w:rsid w:val="000B7BDE"/>
    <w:rPr>
      <w:color w:val="666666"/>
    </w:rPr>
  </w:style>
  <w:style w:type="paragraph" w:customStyle="1" w:styleId="Data">
    <w:name w:val="Data"/>
    <w:basedOn w:val="Normal"/>
    <w:rsid w:val="000B7BDE"/>
    <w:pPr>
      <w:framePr w:hSpace="181" w:wrap="around" w:hAnchor="margin" w:xAlign="center" w:y="-674"/>
      <w:tabs>
        <w:tab w:val="left" w:pos="851"/>
      </w:tabs>
      <w:spacing w:before="0"/>
    </w:pPr>
    <w:rPr>
      <w:rFonts w:cstheme="minorHAnsi"/>
      <w:b/>
      <w:szCs w:val="24"/>
      <w:lang w:val="en-GB"/>
    </w:rPr>
  </w:style>
  <w:style w:type="paragraph" w:customStyle="1" w:styleId="Figure-with-legend">
    <w:name w:val="Figure-with-legend"/>
    <w:basedOn w:val="Figure"/>
    <w:rsid w:val="000B7BDE"/>
    <w:pPr>
      <w:keepNext/>
      <w:keepLines/>
      <w:spacing w:after="0"/>
    </w:pPr>
  </w:style>
  <w:style w:type="paragraph" w:customStyle="1" w:styleId="Figurelegend">
    <w:name w:val="Figure_legend"/>
    <w:basedOn w:val="Normal"/>
    <w:rsid w:val="000B7BDE"/>
    <w:pPr>
      <w:spacing w:before="20" w:after="240" w:line="259" w:lineRule="auto"/>
      <w:jc w:val="both"/>
    </w:pPr>
    <w:rPr>
      <w:i/>
      <w:i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6-CL-C-0119/fr" TargetMode="External"/><Relationship Id="rId18" Type="http://schemas.openxmlformats.org/officeDocument/2006/relationships/hyperlink" Target="https://www.itu.int/md/S24-CL-C-0066/en" TargetMode="External"/><Relationship Id="rId26" Type="http://schemas.openxmlformats.org/officeDocument/2006/relationships/hyperlink" Target="https://www.itu.int/md/S26-CL-C-0119/fr" TargetMode="External"/><Relationship Id="rId39" Type="http://schemas.openxmlformats.org/officeDocument/2006/relationships/hyperlink" Target="https://www.itu.int/md/S24-CL-C-0066/en" TargetMode="External"/><Relationship Id="rId21" Type="http://schemas.openxmlformats.org/officeDocument/2006/relationships/hyperlink" Target="https://www.itu.int/md/S26-CL-C-0119/en" TargetMode="External"/><Relationship Id="rId34" Type="http://schemas.openxmlformats.org/officeDocument/2006/relationships/hyperlink" Target="https://www.itu.int/md/S24-CL-C-0066/fr" TargetMode="External"/><Relationship Id="rId42" Type="http://schemas.openxmlformats.org/officeDocument/2006/relationships/hyperlink" Target="https://www.itu.int/md/S24-CL-C-0066/fr" TargetMode="External"/><Relationship Id="rId47" Type="http://schemas.openxmlformats.org/officeDocument/2006/relationships/image" Target="media/image2.png"/><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en/council/Documents/basic-texts-2023/RES-025-E.pdf" TargetMode="External"/><Relationship Id="rId29" Type="http://schemas.openxmlformats.org/officeDocument/2006/relationships/hyperlink" Target="https://www.itu.int/md/S20-CL-C-0074/fr" TargetMode="External"/><Relationship Id="rId11" Type="http://schemas.openxmlformats.org/officeDocument/2006/relationships/hyperlink" Target="https://www.itu.int/md/S26-CL-C-0024/fr" TargetMode="External"/><Relationship Id="rId24" Type="http://schemas.openxmlformats.org/officeDocument/2006/relationships/hyperlink" Target="https://www.itu.int/md/S26-CL-C-0085/fr" TargetMode="External"/><Relationship Id="rId32" Type="http://schemas.openxmlformats.org/officeDocument/2006/relationships/hyperlink" Target="https://www.itu.int/pub/D-TDC-WTDC-2025" TargetMode="External"/><Relationship Id="rId37" Type="http://schemas.openxmlformats.org/officeDocument/2006/relationships/hyperlink" Target="https://www.itu.int/pub/D-TDC-WTDC-2025" TargetMode="External"/><Relationship Id="rId40" Type="http://schemas.openxmlformats.org/officeDocument/2006/relationships/hyperlink" Target="https://www.itu.int/dms_pub/itu-d/md/26/tdag33/c/D26-TDAG33-C-0002!N1-A1!MSW-F.docx" TargetMode="External"/><Relationship Id="rId45" Type="http://schemas.openxmlformats.org/officeDocument/2006/relationships/hyperlink" Target="https://www.itu.int/net4/ITU-D/CDS/Resolutions/Resolution-94-Baku-2025.pdf" TargetMode="External"/><Relationship Id="rId53"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s://www.itu.int/md/S26-CL-C-0024/en" TargetMode="External"/><Relationship Id="rId4" Type="http://schemas.openxmlformats.org/officeDocument/2006/relationships/settings" Target="settings.xml"/><Relationship Id="rId9" Type="http://schemas.openxmlformats.org/officeDocument/2006/relationships/hyperlink" Target="https://www.itu.int/en/council/Documents/basic-texts-2023/RES-025-F.pdf" TargetMode="External"/><Relationship Id="rId14" Type="http://schemas.openxmlformats.org/officeDocument/2006/relationships/hyperlink" Target="https://www.itu.int/pub/D-TDC-WTDC-2025" TargetMode="External"/><Relationship Id="rId22" Type="http://schemas.openxmlformats.org/officeDocument/2006/relationships/hyperlink" Target="https://www.itu.int/pub/D-TDC-WTDC-2025" TargetMode="External"/><Relationship Id="rId27" Type="http://schemas.openxmlformats.org/officeDocument/2006/relationships/hyperlink" Target="https://www.itu.int/md/S26-CL-C-0119/en" TargetMode="External"/><Relationship Id="rId30" Type="http://schemas.openxmlformats.org/officeDocument/2006/relationships/hyperlink" Target="https://www.itu.int/pub/D-TDC-WTDC-2025" TargetMode="External"/><Relationship Id="rId35" Type="http://schemas.openxmlformats.org/officeDocument/2006/relationships/hyperlink" Target="https://www.itu.int/en/council/Documents/basic-texts-2023/RES-025-E.pdf" TargetMode="External"/><Relationship Id="rId43" Type="http://schemas.openxmlformats.org/officeDocument/2006/relationships/hyperlink" Target="https://www.ict.gov.pg/Press%20Statement/Pacific%20ICT%20Ministerial%20Declaration.%20Monday%2028%20August%202023.%20APEC%20Haus.pdf" TargetMode="External"/><Relationship Id="rId48" Type="http://schemas.openxmlformats.org/officeDocument/2006/relationships/hyperlink" Target="https://www.itu.int/md/S24-CL-C-0066/fr"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itu.int/md/S26-CL-C-0085/fr" TargetMode="External"/><Relationship Id="rId17" Type="http://schemas.openxmlformats.org/officeDocument/2006/relationships/hyperlink" Target="https://www.itu.int/md/S20-CL-C-0074/en" TargetMode="External"/><Relationship Id="rId25" Type="http://schemas.openxmlformats.org/officeDocument/2006/relationships/hyperlink" Target="https://www.itu.int/md/S26-CL-C-0085/en" TargetMode="External"/><Relationship Id="rId33" Type="http://schemas.openxmlformats.org/officeDocument/2006/relationships/hyperlink" Target="https://www.itu.int/md/S26-CL-C-0024/fr" TargetMode="External"/><Relationship Id="rId38" Type="http://schemas.openxmlformats.org/officeDocument/2006/relationships/hyperlink" Target="https://www.itu.int/md/S26-CL-C-0024/en" TargetMode="External"/><Relationship Id="rId46" Type="http://schemas.openxmlformats.org/officeDocument/2006/relationships/hyperlink" Target="https://www.itu.int/net4/ITU-D/CDS/Resolutions/Resolution-94-Baku-2025.pdf" TargetMode="External"/><Relationship Id="rId20" Type="http://schemas.openxmlformats.org/officeDocument/2006/relationships/hyperlink" Target="https://www.itu.int/md/S26-CL-C-0085/en" TargetMode="External"/><Relationship Id="rId41" Type="http://schemas.openxmlformats.org/officeDocument/2006/relationships/hyperlink" Target="https://www.itu.int/dms_pub/itu-d/md/26/tdag33/c/D26-TDAG33-C-0002!N1-A1!MSW-E.docx" TargetMode="External"/><Relationship Id="rId54"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footnotes" Target="footnotes.xml"/><Relationship Id="rId15" Type="http://schemas.openxmlformats.org/officeDocument/2006/relationships/hyperlink" Target="https://www.itu.int/dms_pub/itu-d/md/26/tdag33/c/D26-TDAG33-C-0002!N1-A1!MSW-E.docx" TargetMode="External"/><Relationship Id="rId23" Type="http://schemas.openxmlformats.org/officeDocument/2006/relationships/hyperlink" Target="https://www.itu.int/dms_pub/itu-d/md/26/tdag33/c/D26-TDAG33-C-0002!N1-A1!MSW-E.docx" TargetMode="External"/><Relationship Id="rId28" Type="http://schemas.openxmlformats.org/officeDocument/2006/relationships/hyperlink" Target="https://www.itu.int/en/council/Documents/basic-texts-2023/RES-025-F.pdf" TargetMode="External"/><Relationship Id="rId36" Type="http://schemas.openxmlformats.org/officeDocument/2006/relationships/hyperlink" Target="https://www.itu.int/md/S20-CL-C-0074/en" TargetMode="External"/><Relationship Id="rId49" Type="http://schemas.openxmlformats.org/officeDocument/2006/relationships/hyperlink" Target="https://www.itu.int/md/S24-CL-C-0066/en" TargetMode="External"/><Relationship Id="rId57" Type="http://schemas.openxmlformats.org/officeDocument/2006/relationships/theme" Target="theme/theme1.xml"/><Relationship Id="rId10" Type="http://schemas.openxmlformats.org/officeDocument/2006/relationships/hyperlink" Target="https://www.itu.int/md/S24-CL-C-0066/fr" TargetMode="External"/><Relationship Id="rId31" Type="http://schemas.openxmlformats.org/officeDocument/2006/relationships/hyperlink" Target="https://www.itu.int/pub/D-TDC-WTDC-2025" TargetMode="External"/><Relationship Id="rId44" Type="http://schemas.openxmlformats.org/officeDocument/2006/relationships/hyperlink" Target="https://www.ict.gov.pg/Press%20Statement/Pacific%20ICT%20Ministerial%20Declaration.%20Monday%2028%20August%202023.%20APEC%20Haus.pdf" TargetMode="External"/><Relationship Id="rId52"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en/ITU-D/Regional-Presence/AsiaPacific/Documents/Projects/Pacific%20Feasibility%20Study/29092026%20ITU%20Pacific%20Regional%20Presence%20Feasibility%20Study%20Draft%20for%20Re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5513</Words>
  <Characters>30379</Characters>
  <Application>Microsoft Office Word</Application>
  <DocSecurity>0</DocSecurity>
  <Lines>759</Lines>
  <Paragraphs>377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35515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création d'un bureau de l'UIT dans le Pacifique</dc:title>
  <dc:subject>ITU Plenipotentiary Conference (PP-26)</dc:subject>
  <cp:keywords>PP-26, PP26, ITU</cp:keywords>
  <dc:description/>
  <dcterms:created xsi:type="dcterms:W3CDTF">2026-10-22T15:37:00Z</dcterms:created>
  <dcterms:modified xsi:type="dcterms:W3CDTF">2026-10-22T15:39:00Z</dcterms:modified>
  <cp:category>Conference document</cp:category>
</cp:coreProperties>
</file>